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i w:val="0"/>
          <w:sz w:val="20"/>
        </w:rPr>
        <w:t>REGISTERED NUMBER: 13307297 (England and Wales)</w:t>
      </w:r>
    </w:p>
    <w:p/>
    <w:p/>
    <w:p/>
    <w:p/>
    <w:p/>
    <w:p/>
    <w:p/>
    <w:p/>
    <w:p/>
    <w:p/>
    <w:p/>
    <w:p/>
    <w:p/>
    <w:p/>
    <w:p>
      <w:pPr>
        <w:spacing w:before="0" w:after="80"/>
        <w:jc w:val="center"/>
      </w:pPr>
      <w:r>
        <w:rPr>
          <w:rFonts w:ascii="Times New Roman" w:hAnsi="Times New Roman"/>
          <w:b/>
          <w:i w:val="0"/>
          <w:sz w:val="22"/>
        </w:rPr>
        <w:t>Unaudited Financial Statements for the Year Ended 31 March 2025</w:t>
      </w:r>
    </w:p>
    <w:p>
      <w:pPr>
        <w:spacing w:before="0" w:after="80"/>
        <w:jc w:val="center"/>
      </w:pPr>
      <w:r>
        <w:rPr>
          <w:rFonts w:ascii="Times New Roman" w:hAnsi="Times New Roman"/>
          <w:b w:val="0"/>
          <w:i w:val="0"/>
          <w:sz w:val="22"/>
        </w:rPr>
        <w:t>for</w:t>
      </w:r>
    </w:p>
    <w:p>
      <w:pPr>
        <w:spacing w:before="0" w:after="40"/>
        <w:jc w:val="center"/>
      </w:pPr>
      <w:r>
        <w:rPr>
          <w:rFonts w:ascii="Times New Roman" w:hAnsi="Times New Roman"/>
          <w:b/>
          <w:i w:val="0"/>
          <w:sz w:val="24"/>
        </w:rPr>
        <w:t>NELIBURN LTD</w:t>
      </w:r>
    </w:p>
    <w:p>
      <w:r>
        <w:br w:type="page"/>
      </w:r>
    </w:p>
    <w:p>
      <w:pPr>
        <w:spacing w:before="0" w:after="0"/>
      </w:pPr>
      <w:r>
        <w:rPr>
          <w:rFonts w:ascii="Times New Roman" w:hAnsi="Times New Roman"/>
          <w:b/>
          <w:i w:val="0"/>
          <w:sz w:val="20"/>
        </w:rPr>
        <w:t>NELIBURN LTD (REGISTERED NUMBER: 13307297)</w:t>
      </w:r>
    </w:p>
    <w:p>
      <w:pPr>
        <w:spacing w:before="120" w:after="60"/>
      </w:pPr>
      <w:r>
        <w:rPr>
          <w:rFonts w:ascii="Times New Roman" w:hAnsi="Times New Roman"/>
          <w:b/>
          <w:i w:val="0"/>
          <w:sz w:val="20"/>
        </w:rPr>
        <w:t>Contents of the Financial Statements</w:t>
        <w:br/>
        <w:t>FOR THE YEAR ENDED 31 MARCH 2025</w:t>
      </w:r>
    </w:p>
    <w:tbl>
      <w:tblPr>
        <w:tblW w:type="auto" w:w="0"/>
        <w:jc w:val="left"/>
        <w:tblLook w:firstColumn="1" w:firstRow="1" w:lastColumn="0" w:lastRow="0" w:noHBand="0" w:noVBand="1" w:val="04A0"/>
      </w:tblPr>
      <w:tblGrid>
        <w:gridCol w:w="4536"/>
        <w:gridCol w:w="4536"/>
      </w:tblGrid>
      <w:tr>
        <w:tc>
          <w:tcPr>
            <w:tcW w:type="dxa" w:w="6803"/>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2268"/>
            <w:tcBorders>
              <w:top w:val="none"/>
              <w:left w:val="none"/>
              <w:bottom w:val="none"/>
              <w:right w:val="none"/>
              <w:insideH w:val="none"/>
              <w:insideV w:val="none"/>
            </w:tcBorders>
            <w:vAlign w:val="center"/>
          </w:tcPr>
          <w:p>
            <w:pPr>
              <w:jc w:val="center"/>
            </w:pPr>
            <w:r>
              <w:rPr>
                <w:rFonts w:ascii="Times New Roman" w:hAnsi="Times New Roman"/>
                <w:b/>
                <w:i w:val="0"/>
                <w:sz w:val="20"/>
              </w:rPr>
              <w:t>Page</w:t>
            </w:r>
          </w:p>
        </w:tc>
      </w:tr>
      <w:tr>
        <w:tc>
          <w:tcPr>
            <w:tcW w:type="dxa" w:w="6803"/>
            <w:tcBorders>
              <w:top w:val="none"/>
              <w:left w:val="none"/>
              <w:bottom w:val="none"/>
              <w:right w:val="none"/>
              <w:insideH w:val="none"/>
              <w:insideV w:val="none"/>
            </w:tcBorders>
            <w:vAlign w:val="center"/>
          </w:tcPr>
          <w:p>
            <w:pPr>
              <w:jc w:val="left"/>
            </w:pPr>
            <w:r>
              <w:rPr>
                <w:rFonts w:ascii="Times New Roman" w:hAnsi="Times New Roman"/>
                <w:b w:val="0"/>
                <w:i w:val="0"/>
                <w:sz w:val="20"/>
              </w:rPr>
              <w:t>Company Information</w:t>
            </w:r>
          </w:p>
        </w:tc>
        <w:tc>
          <w:tcPr>
            <w:tcW w:type="dxa" w:w="2268"/>
            <w:tcBorders>
              <w:top w:val="none"/>
              <w:left w:val="none"/>
              <w:bottom w:val="none"/>
              <w:right w:val="none"/>
              <w:insideH w:val="none"/>
              <w:insideV w:val="none"/>
            </w:tcBorders>
            <w:vAlign w:val="center"/>
          </w:tcPr>
          <w:p>
            <w:pPr>
              <w:jc w:val="center"/>
            </w:pPr>
            <w:r>
              <w:rPr>
                <w:rFonts w:ascii="Times New Roman" w:hAnsi="Times New Roman"/>
                <w:b w:val="0"/>
                <w:i w:val="0"/>
                <w:sz w:val="20"/>
              </w:rPr>
              <w:t>1</w:t>
            </w:r>
          </w:p>
        </w:tc>
      </w:tr>
      <w:tr>
        <w:tc>
          <w:tcPr>
            <w:tcW w:type="dxa" w:w="6803"/>
            <w:tcBorders>
              <w:top w:val="none"/>
              <w:left w:val="none"/>
              <w:bottom w:val="none"/>
              <w:right w:val="none"/>
              <w:insideH w:val="none"/>
              <w:insideV w:val="none"/>
            </w:tcBorders>
            <w:vAlign w:val="center"/>
          </w:tcPr>
          <w:p>
            <w:pPr>
              <w:jc w:val="left"/>
            </w:pPr>
            <w:r>
              <w:rPr>
                <w:rFonts w:ascii="Times New Roman" w:hAnsi="Times New Roman"/>
                <w:b w:val="0"/>
                <w:i w:val="0"/>
                <w:sz w:val="20"/>
              </w:rPr>
              <w:t>Balance Sheet</w:t>
            </w:r>
          </w:p>
        </w:tc>
        <w:tc>
          <w:tcPr>
            <w:tcW w:type="dxa" w:w="2268"/>
            <w:tcBorders>
              <w:top w:val="none"/>
              <w:left w:val="none"/>
              <w:bottom w:val="none"/>
              <w:right w:val="none"/>
              <w:insideH w:val="none"/>
              <w:insideV w:val="none"/>
            </w:tcBorders>
            <w:vAlign w:val="center"/>
          </w:tcPr>
          <w:p>
            <w:pPr>
              <w:jc w:val="center"/>
            </w:pPr>
            <w:r>
              <w:rPr>
                <w:rFonts w:ascii="Times New Roman" w:hAnsi="Times New Roman"/>
                <w:b w:val="0"/>
                <w:i w:val="0"/>
                <w:sz w:val="20"/>
              </w:rPr>
              <w:t>2</w:t>
            </w:r>
          </w:p>
        </w:tc>
      </w:tr>
      <w:tr>
        <w:tc>
          <w:tcPr>
            <w:tcW w:type="dxa" w:w="6803"/>
            <w:tcBorders>
              <w:top w:val="none"/>
              <w:left w:val="none"/>
              <w:bottom w:val="none"/>
              <w:right w:val="none"/>
              <w:insideH w:val="none"/>
              <w:insideV w:val="none"/>
            </w:tcBorders>
            <w:vAlign w:val="center"/>
          </w:tcPr>
          <w:p>
            <w:pPr>
              <w:jc w:val="left"/>
            </w:pPr>
            <w:r>
              <w:rPr>
                <w:rFonts w:ascii="Times New Roman" w:hAnsi="Times New Roman"/>
                <w:b w:val="0"/>
                <w:i w:val="0"/>
                <w:sz w:val="20"/>
              </w:rPr>
              <w:t>Notes to the Financial Statements</w:t>
            </w:r>
          </w:p>
        </w:tc>
        <w:tc>
          <w:tcPr>
            <w:tcW w:type="dxa" w:w="2268"/>
            <w:tcBorders>
              <w:top w:val="none"/>
              <w:left w:val="none"/>
              <w:bottom w:val="none"/>
              <w:right w:val="none"/>
              <w:insideH w:val="none"/>
              <w:insideV w:val="none"/>
            </w:tcBorders>
            <w:vAlign w:val="center"/>
          </w:tcPr>
          <w:p>
            <w:pPr>
              <w:jc w:val="center"/>
            </w:pPr>
            <w:r>
              <w:rPr>
                <w:rFonts w:ascii="Times New Roman" w:hAnsi="Times New Roman"/>
                <w:b w:val="0"/>
                <w:i w:val="0"/>
                <w:sz w:val="20"/>
              </w:rPr>
              <w:t>4</w:t>
            </w:r>
          </w:p>
        </w:tc>
      </w:tr>
      <w:tr>
        <w:tc>
          <w:tcPr>
            <w:tcW w:type="dxa" w:w="6803"/>
            <w:tcBorders>
              <w:top w:val="none"/>
              <w:left w:val="none"/>
              <w:bottom w:val="none"/>
              <w:right w:val="none"/>
              <w:insideH w:val="none"/>
              <w:insideV w:val="none"/>
            </w:tcBorders>
            <w:vAlign w:val="center"/>
          </w:tcPr>
          <w:p>
            <w:pPr>
              <w:jc w:val="left"/>
            </w:pPr>
            <w:r>
              <w:rPr>
                <w:rFonts w:ascii="Times New Roman" w:hAnsi="Times New Roman"/>
                <w:b w:val="0"/>
                <w:i w:val="0"/>
                <w:sz w:val="20"/>
              </w:rPr>
              <w:t>Directors' Report</w:t>
            </w:r>
          </w:p>
        </w:tc>
        <w:tc>
          <w:tcPr>
            <w:tcW w:type="dxa" w:w="2268"/>
            <w:tcBorders>
              <w:top w:val="none"/>
              <w:left w:val="none"/>
              <w:bottom w:val="none"/>
              <w:right w:val="none"/>
              <w:insideH w:val="none"/>
              <w:insideV w:val="none"/>
            </w:tcBorders>
            <w:vAlign w:val="center"/>
          </w:tcPr>
          <w:p>
            <w:pPr>
              <w:jc w:val="center"/>
            </w:pPr>
            <w:r>
              <w:rPr>
                <w:rFonts w:ascii="Times New Roman" w:hAnsi="Times New Roman"/>
                <w:b w:val="0"/>
                <w:i w:val="0"/>
                <w:sz w:val="20"/>
              </w:rPr>
              <w:t>6</w:t>
            </w:r>
          </w:p>
        </w:tc>
      </w:tr>
    </w:tbl>
    <w:p>
      <w:r>
        <w:br w:type="page"/>
      </w:r>
    </w:p>
    <w:p>
      <w:r>
        <w:rPr>
          <w:rFonts w:ascii="Times New Roman" w:hAnsi="Times New Roman"/>
          <w:b/>
          <w:i w:val="0"/>
          <w:sz w:val="20"/>
        </w:rPr>
        <w:t>NELIBURN LTD</w:t>
      </w:r>
    </w:p>
    <w:p>
      <w:pPr>
        <w:spacing w:before="80" w:after="60"/>
      </w:pPr>
      <w:r>
        <w:rPr>
          <w:rFonts w:ascii="Times New Roman" w:hAnsi="Times New Roman"/>
          <w:b/>
          <w:i w:val="0"/>
          <w:sz w:val="20"/>
        </w:rPr>
        <w:t>Company Information</w:t>
        <w:br/>
        <w:t>FOR THE YEAR ENDED 31 MARCH 2025</w:t>
      </w:r>
    </w:p>
    <w:p/>
    <w:p/>
    <w:tbl>
      <w:tblPr>
        <w:tblW w:type="auto" w:w="0"/>
        <w:tblLook w:firstColumn="1" w:firstRow="1" w:lastColumn="0" w:lastRow="0" w:noHBand="0" w:noVBand="1" w:val="04A0"/>
      </w:tblPr>
      <w:tblGrid>
        <w:gridCol w:w="4536"/>
        <w:gridCol w:w="4536"/>
      </w:tblGrid>
      <w:tr>
        <w:tc>
          <w:tcPr>
            <w:tcW w:type="dxa" w:w="2835"/>
            <w:tcBorders>
              <w:top w:val="none"/>
              <w:left w:val="none"/>
              <w:bottom w:val="none"/>
              <w:right w:val="none"/>
              <w:insideH w:val="none"/>
              <w:insideV w:val="none"/>
            </w:tcBorders>
            <w:vAlign w:val="center"/>
          </w:tcPr>
          <w:p>
            <w:pPr>
              <w:jc w:val="left"/>
            </w:pPr>
            <w:r>
              <w:rPr>
                <w:rFonts w:ascii="Times New Roman" w:hAnsi="Times New Roman"/>
                <w:b/>
                <w:i w:val="0"/>
                <w:sz w:val="20"/>
              </w:rPr>
              <w:t>DIRECTORS:</w:t>
            </w:r>
          </w:p>
        </w:tc>
        <w:tc>
          <w:tcPr>
            <w:tcW w:type="dxa" w:w="6236"/>
            <w:tcBorders>
              <w:top w:val="none"/>
              <w:left w:val="none"/>
              <w:bottom w:val="none"/>
              <w:right w:val="none"/>
              <w:insideH w:val="none"/>
              <w:insideV w:val="none"/>
            </w:tcBorders>
          </w:tcPr>
          <w:p>
            <w:r>
              <w:rPr>
                <w:rFonts w:ascii="Times New Roman" w:hAnsi="Times New Roman"/>
                <w:b w:val="0"/>
                <w:i w:val="0"/>
                <w:sz w:val="20"/>
              </w:rPr>
              <w:t>Mr Owen Neligan</w:t>
            </w:r>
          </w:p>
          <w:p>
            <w:r>
              <w:rPr>
                <w:rFonts w:ascii="Times New Roman" w:hAnsi="Times New Roman"/>
                <w:b w:val="0"/>
                <w:i w:val="0"/>
                <w:sz w:val="20"/>
              </w:rPr>
              <w:t>Mrs Frances Neligan</w:t>
            </w:r>
          </w:p>
          <w:p>
            <w:r>
              <w:rPr>
                <w:rFonts w:ascii="Times New Roman" w:hAnsi="Times New Roman"/>
                <w:b w:val="0"/>
                <w:i w:val="0"/>
                <w:sz w:val="20"/>
              </w:rPr>
              <w:t>Mrs Verity Winterburn</w:t>
            </w:r>
          </w:p>
        </w:tc>
      </w:tr>
    </w:tbl>
    <w:p/>
    <w:tbl>
      <w:tblPr>
        <w:tblW w:type="auto" w:w="0"/>
        <w:tblLook w:firstColumn="1" w:firstRow="1" w:lastColumn="0" w:lastRow="0" w:noHBand="0" w:noVBand="1" w:val="04A0"/>
      </w:tblPr>
      <w:tblGrid>
        <w:gridCol w:w="4536"/>
        <w:gridCol w:w="4536"/>
      </w:tblGrid>
      <w:tr>
        <w:tc>
          <w:tcPr>
            <w:tcW w:type="dxa" w:w="2835"/>
            <w:tcBorders>
              <w:top w:val="none"/>
              <w:left w:val="none"/>
              <w:bottom w:val="none"/>
              <w:right w:val="none"/>
              <w:insideH w:val="none"/>
              <w:insideV w:val="none"/>
            </w:tcBorders>
            <w:vAlign w:val="center"/>
          </w:tcPr>
          <w:p>
            <w:pPr>
              <w:jc w:val="left"/>
            </w:pPr>
            <w:r>
              <w:rPr>
                <w:rFonts w:ascii="Times New Roman" w:hAnsi="Times New Roman"/>
                <w:b/>
                <w:i w:val="0"/>
                <w:sz w:val="20"/>
              </w:rPr>
              <w:t>REGISTERED OFFICE:</w:t>
            </w:r>
          </w:p>
        </w:tc>
        <w:tc>
          <w:tcPr>
            <w:tcW w:type="dxa" w:w="6236"/>
            <w:tcBorders>
              <w:top w:val="none"/>
              <w:left w:val="none"/>
              <w:bottom w:val="none"/>
              <w:right w:val="none"/>
              <w:insideH w:val="none"/>
              <w:insideV w:val="none"/>
            </w:tcBorders>
          </w:tcPr>
          <w:p>
            <w:r>
              <w:rPr>
                <w:rFonts w:ascii="Times New Roman" w:hAnsi="Times New Roman"/>
                <w:b w:val="0"/>
                <w:i w:val="0"/>
                <w:sz w:val="20"/>
              </w:rPr>
              <w:t>Office LG06, 1 Quality Court</w:t>
            </w:r>
          </w:p>
          <w:p>
            <w:r>
              <w:rPr>
                <w:rFonts w:ascii="Times New Roman" w:hAnsi="Times New Roman"/>
                <w:b w:val="0"/>
                <w:i w:val="0"/>
                <w:sz w:val="20"/>
              </w:rPr>
              <w:t>Chancery Lane</w:t>
            </w:r>
          </w:p>
          <w:p>
            <w:r>
              <w:rPr>
                <w:rFonts w:ascii="Times New Roman" w:hAnsi="Times New Roman"/>
                <w:b w:val="0"/>
                <w:i w:val="0"/>
                <w:sz w:val="20"/>
              </w:rPr>
              <w:t>London</w:t>
            </w:r>
          </w:p>
          <w:p>
            <w:r>
              <w:rPr>
                <w:rFonts w:ascii="Times New Roman" w:hAnsi="Times New Roman"/>
                <w:b w:val="0"/>
                <w:i w:val="0"/>
                <w:sz w:val="20"/>
              </w:rPr>
              <w:t>United Kingdom</w:t>
            </w:r>
          </w:p>
          <w:p>
            <w:r>
              <w:rPr>
                <w:rFonts w:ascii="Times New Roman" w:hAnsi="Times New Roman"/>
                <w:b w:val="0"/>
                <w:i w:val="0"/>
                <w:sz w:val="20"/>
              </w:rPr>
              <w:t>WC2A 1HR</w:t>
            </w:r>
          </w:p>
        </w:tc>
      </w:tr>
    </w:tbl>
    <w:p/>
    <w:tbl>
      <w:tblPr>
        <w:tblW w:type="auto" w:w="0"/>
        <w:tblLook w:firstColumn="1" w:firstRow="1" w:lastColumn="0" w:lastRow="0" w:noHBand="0" w:noVBand="1" w:val="04A0"/>
      </w:tblPr>
      <w:tblGrid>
        <w:gridCol w:w="4536"/>
        <w:gridCol w:w="4536"/>
      </w:tblGrid>
      <w:tr>
        <w:tc>
          <w:tcPr>
            <w:tcW w:type="dxa" w:w="2835"/>
            <w:tcBorders>
              <w:top w:val="none"/>
              <w:left w:val="none"/>
              <w:bottom w:val="none"/>
              <w:right w:val="none"/>
              <w:insideH w:val="none"/>
              <w:insideV w:val="none"/>
            </w:tcBorders>
            <w:vAlign w:val="center"/>
          </w:tcPr>
          <w:p>
            <w:pPr>
              <w:jc w:val="left"/>
            </w:pPr>
            <w:r>
              <w:rPr>
                <w:rFonts w:ascii="Times New Roman" w:hAnsi="Times New Roman"/>
                <w:b/>
                <w:i w:val="0"/>
                <w:sz w:val="20"/>
              </w:rPr>
              <w:t>REGISTERED NUMBER:</w:t>
            </w:r>
          </w:p>
        </w:tc>
        <w:tc>
          <w:tcPr>
            <w:tcW w:type="dxa" w:w="6236"/>
            <w:tcBorders>
              <w:top w:val="none"/>
              <w:left w:val="none"/>
              <w:bottom w:val="none"/>
              <w:right w:val="none"/>
              <w:insideH w:val="none"/>
              <w:insideV w:val="none"/>
            </w:tcBorders>
          </w:tcPr>
          <w:p>
            <w:r>
              <w:rPr>
                <w:rFonts w:ascii="Times New Roman" w:hAnsi="Times New Roman"/>
                <w:b w:val="0"/>
                <w:i w:val="0"/>
                <w:sz w:val="20"/>
              </w:rPr>
              <w:t>13307297 (England and Wales)</w:t>
            </w:r>
          </w:p>
        </w:tc>
      </w:tr>
    </w:tbl>
    <w:p/>
    <w:tbl>
      <w:tblPr>
        <w:tblW w:type="auto" w:w="0"/>
        <w:tblLook w:firstColumn="1" w:firstRow="1" w:lastColumn="0" w:lastRow="0" w:noHBand="0" w:noVBand="1" w:val="04A0"/>
      </w:tblPr>
      <w:tblGrid>
        <w:gridCol w:w="4536"/>
        <w:gridCol w:w="4536"/>
      </w:tblGrid>
      <w:tr>
        <w:tc>
          <w:tcPr>
            <w:tcW w:type="dxa" w:w="2835"/>
            <w:tcBorders>
              <w:top w:val="none"/>
              <w:left w:val="none"/>
              <w:bottom w:val="none"/>
              <w:right w:val="none"/>
              <w:insideH w:val="none"/>
              <w:insideV w:val="none"/>
            </w:tcBorders>
            <w:vAlign w:val="center"/>
          </w:tcPr>
          <w:p>
            <w:pPr>
              <w:jc w:val="left"/>
            </w:pPr>
            <w:r>
              <w:rPr>
                <w:rFonts w:ascii="Times New Roman" w:hAnsi="Times New Roman"/>
                <w:b/>
                <w:i w:val="0"/>
                <w:sz w:val="20"/>
              </w:rPr>
              <w:t>ACCOUNTANTS:</w:t>
            </w:r>
          </w:p>
        </w:tc>
        <w:tc>
          <w:tcPr>
            <w:tcW w:type="dxa" w:w="6236"/>
            <w:tcBorders>
              <w:top w:val="none"/>
              <w:left w:val="none"/>
              <w:bottom w:val="none"/>
              <w:right w:val="none"/>
              <w:insideH w:val="none"/>
              <w:insideV w:val="none"/>
            </w:tcBorders>
          </w:tcPr>
          <w:p>
            <w:r>
              <w:rPr>
                <w:rFonts w:ascii="Times New Roman" w:hAnsi="Times New Roman"/>
                <w:b w:val="0"/>
                <w:i w:val="0"/>
                <w:sz w:val="20"/>
              </w:rPr>
              <w:t>Silver Arc</w:t>
            </w:r>
          </w:p>
          <w:p>
            <w:r>
              <w:rPr>
                <w:rFonts w:ascii="Times New Roman" w:hAnsi="Times New Roman"/>
                <w:b w:val="0"/>
                <w:i w:val="0"/>
                <w:sz w:val="20"/>
              </w:rPr>
              <w:t>Chartered Certified Accountants</w:t>
            </w:r>
          </w:p>
          <w:p>
            <w:r>
              <w:rPr>
                <w:rFonts w:ascii="Times New Roman" w:hAnsi="Times New Roman"/>
                <w:b w:val="0"/>
                <w:i w:val="0"/>
                <w:sz w:val="20"/>
              </w:rPr>
              <w:t>1 Quality Court</w:t>
            </w:r>
          </w:p>
          <w:p>
            <w:r>
              <w:rPr>
                <w:rFonts w:ascii="Times New Roman" w:hAnsi="Times New Roman"/>
                <w:b w:val="0"/>
                <w:i w:val="0"/>
                <w:sz w:val="20"/>
              </w:rPr>
              <w:t>Chancery Lane</w:t>
            </w:r>
          </w:p>
          <w:p>
            <w:r>
              <w:rPr>
                <w:rFonts w:ascii="Times New Roman" w:hAnsi="Times New Roman"/>
                <w:b w:val="0"/>
                <w:i w:val="0"/>
                <w:sz w:val="20"/>
              </w:rPr>
              <w:t>London</w:t>
            </w:r>
          </w:p>
          <w:p>
            <w:r>
              <w:rPr>
                <w:rFonts w:ascii="Times New Roman" w:hAnsi="Times New Roman"/>
                <w:b w:val="0"/>
                <w:i w:val="0"/>
                <w:sz w:val="20"/>
              </w:rPr>
              <w:t>WC2A 1HR</w:t>
            </w:r>
          </w:p>
        </w:tc>
      </w:tr>
    </w:tbl>
    <w:p/>
    <w:p>
      <w:pPr>
        <w:spacing w:before="600"/>
        <w:jc w:val="center"/>
      </w:pPr>
      <w:r>
        <w:rPr>
          <w:rFonts w:ascii="Times New Roman" w:hAnsi="Times New Roman"/>
          <w:b w:val="0"/>
          <w:i w:val="0"/>
          <w:sz w:val="18"/>
        </w:rPr>
        <w:t>Page 1</w:t>
      </w:r>
    </w:p>
    <w:p>
      <w:r>
        <w:br w:type="page"/>
      </w:r>
    </w:p>
    <w:p>
      <w:pPr>
        <w:spacing w:before="0" w:after="0"/>
      </w:pPr>
      <w:r>
        <w:rPr>
          <w:rFonts w:ascii="Times New Roman" w:hAnsi="Times New Roman"/>
          <w:b/>
          <w:i w:val="0"/>
          <w:sz w:val="20"/>
        </w:rPr>
        <w:t>NELIBURN LTD (REGISTERED NUMBER: 13307297)</w:t>
      </w:r>
    </w:p>
    <w:p>
      <w:pPr>
        <w:spacing w:before="80" w:after="60"/>
      </w:pPr>
      <w:r>
        <w:rPr>
          <w:rFonts w:ascii="Times New Roman" w:hAnsi="Times New Roman"/>
          <w:b/>
          <w:i w:val="0"/>
          <w:sz w:val="20"/>
        </w:rPr>
        <w:t>Balance Sheet</w:t>
        <w:br/>
        <w:t>31 MARCH 2025</w:t>
      </w:r>
    </w:p>
    <w:tbl>
      <w:tblPr>
        <w:tblW w:type="auto" w:w="0"/>
        <w:jc w:val="left"/>
        <w:tblLook w:firstColumn="1" w:firstRow="1" w:lastColumn="0" w:lastRow="0" w:noHBand="0" w:noVBand="1" w:val="04A0"/>
      </w:tblPr>
      <w:tblGrid>
        <w:gridCol w:w="1512"/>
        <w:gridCol w:w="1512"/>
        <w:gridCol w:w="1512"/>
        <w:gridCol w:w="1512"/>
        <w:gridCol w:w="1512"/>
        <w:gridCol w:w="1512"/>
      </w:tblGrid>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t>Notes</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t>31/3/25</w:t>
              <w:br/>
              <w:t>£</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t>31/3/24</w:t>
              <w:br/>
              <w:t>£</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t>FIXED ASSETS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Investment property</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t>4</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225,000</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225,000</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t>CURRENT ASSETS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Debtors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t>5</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4,915</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Cash at bank and in hand</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3,796</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27,110</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Pr>
          <w:p>
            <w:pPr>
              <w:jc w:val="right"/>
            </w:pPr>
            <w:r>
              <w:rPr>
                <w:rFonts w:ascii="Times New Roman" w:hAnsi="Times New Roman"/>
                <w:b w:val="0"/>
                <w:i w:val="0"/>
                <w:sz w:val="20"/>
              </w:rPr>
              <w:t>3,796</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Pr>
          <w:p>
            <w:pPr>
              <w:jc w:val="right"/>
            </w:pPr>
            <w:r>
              <w:rPr>
                <w:rFonts w:ascii="Times New Roman" w:hAnsi="Times New Roman"/>
                <w:b w:val="0"/>
                <w:i w:val="0"/>
                <w:sz w:val="20"/>
              </w:rPr>
              <w:t>32,025</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CREDITORS: Amounts falling due within one year</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t>6</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(64,562)</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(79,114)</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t>NET CURRENT LIABILITIES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t>(60,766)</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t>(47,089)</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t>TOTAL ASSETS LESS CURRENT LIABILITIES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i w:val="0"/>
                <w:sz w:val="20"/>
              </w:rPr>
              <w:t>164,234</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i w:val="0"/>
                <w:sz w:val="20"/>
              </w:rPr>
              <w:t>177,911</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CREDITORS: Amounts falling due after more than one year</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t>7</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(173,791)</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(173,791)</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t>NET LIABILITIES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i w:val="0"/>
                <w:sz w:val="20"/>
              </w:rPr>
              <w:t>(9,557)</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i w:val="0"/>
                <w:sz w:val="20"/>
              </w:rPr>
              <w:t>4,120</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t>CAPITAL AND RESERVES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i w:val="0"/>
                <w:sz w:val="20"/>
              </w:rPr>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Called up share capital</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3</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3</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Fair value reserve</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t>8</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22,546</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22,546</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val="0"/>
                <w:i w:val="0"/>
                <w:sz w:val="20"/>
              </w:rPr>
              <w:t>Retained earnings</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(32,106)</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t>(18,429)</w:t>
            </w:r>
          </w:p>
        </w:tc>
      </w:tr>
      <w:tr>
        <w:tc>
          <w:tcPr>
            <w:tcW w:type="dxa" w:w="4252"/>
            <w:tcBorders>
              <w:top w:val="none"/>
              <w:left w:val="none"/>
              <w:bottom w:val="none"/>
              <w:right w:val="none"/>
              <w:insideH w:val="none"/>
              <w:insideV w:val="none"/>
            </w:tcBorders>
            <w:vAlign w:val="center"/>
          </w:tcPr>
          <w:p>
            <w:pPr>
              <w:jc w:val="left"/>
            </w:pPr>
            <w:r>
              <w:rPr>
                <w:rFonts w:ascii="Times New Roman" w:hAnsi="Times New Roman"/>
                <w:b/>
                <w:i w:val="0"/>
                <w:sz w:val="20"/>
              </w:rPr>
              <w:t>TOTAL EQUITY</w:t>
            </w:r>
          </w:p>
        </w:tc>
        <w:tc>
          <w:tcPr>
            <w:tcW w:type="dxa" w:w="567"/>
            <w:tcBorders>
              <w:top w:val="none"/>
              <w:left w:val="none"/>
              <w:bottom w:val="none"/>
              <w:right w:val="none"/>
              <w:insideH w:val="none"/>
              <w:insideV w:val="none"/>
            </w:tcBorders>
            <w:vAlign w:val="center"/>
          </w:tcPr>
          <w:p>
            <w:pPr>
              <w:jc w:val="center"/>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Borders>
              <w:bottom w:val="double" w:sz="6" w:space="0" w:color="000000"/>
            </w:tcBorders>
          </w:tcPr>
          <w:p>
            <w:pPr>
              <w:jc w:val="right"/>
            </w:pPr>
            <w:r>
              <w:rPr>
                <w:rFonts w:ascii="Times New Roman" w:hAnsi="Times New Roman"/>
                <w:b/>
                <w:i w:val="0"/>
                <w:sz w:val="20"/>
              </w:rPr>
              <w:t>(9,557)</w:t>
            </w:r>
          </w:p>
        </w:tc>
        <w:tc>
          <w:tcPr>
            <w:tcW w:type="dxa" w:w="1134"/>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1134"/>
            <w:tcBorders>
              <w:top w:val="none"/>
              <w:left w:val="none"/>
              <w:bottom w:val="none"/>
              <w:right w:val="none"/>
              <w:insideH w:val="none"/>
              <w:insideV w:val="none"/>
            </w:tcBorders>
            <w:vAlign w:val="center"/>
            <w:tcBorders>
              <w:top w:val="single" w:sz="6" w:space="0" w:color="000000"/>
            </w:tcBorders>
            <w:tcBorders>
              <w:bottom w:val="double" w:sz="6" w:space="0" w:color="000000"/>
            </w:tcBorders>
          </w:tcPr>
          <w:p>
            <w:pPr>
              <w:jc w:val="right"/>
            </w:pPr>
            <w:r>
              <w:rPr>
                <w:rFonts w:ascii="Times New Roman" w:hAnsi="Times New Roman"/>
                <w:b/>
                <w:i w:val="0"/>
                <w:sz w:val="20"/>
              </w:rPr>
              <w:t>4,120</w:t>
            </w:r>
          </w:p>
        </w:tc>
      </w:tr>
    </w:tbl>
    <w:p/>
    <w:p>
      <w:pPr>
        <w:spacing w:before="40" w:after="40"/>
      </w:pPr>
      <w:r>
        <w:rPr>
          <w:rFonts w:ascii="Times New Roman" w:hAnsi="Times New Roman"/>
          <w:b w:val="0"/>
          <w:i w:val="0"/>
          <w:sz w:val="18"/>
        </w:rPr>
        <w:t>The company is entitled to exemption from audit under Section 477 of the Companies Act 2006 for the year ended 31 March 2025.</w:t>
      </w:r>
    </w:p>
    <w:p>
      <w:pPr>
        <w:spacing w:before="40" w:after="40"/>
      </w:pPr>
      <w:r>
        <w:rPr>
          <w:rFonts w:ascii="Times New Roman" w:hAnsi="Times New Roman"/>
          <w:b w:val="0"/>
          <w:i w:val="0"/>
          <w:sz w:val="18"/>
        </w:rPr>
      </w:r>
    </w:p>
    <w:p>
      <w:pPr>
        <w:spacing w:before="40" w:after="40"/>
      </w:pPr>
      <w:r>
        <w:rPr>
          <w:rFonts w:ascii="Times New Roman" w:hAnsi="Times New Roman"/>
          <w:b w:val="0"/>
          <w:i w:val="0"/>
          <w:sz w:val="18"/>
        </w:rPr>
        <w:t>The members have not required the company to obtain an audit of its financial statements for the year ended 31 March 2025 in accordance with Section 476 of the Companies Act 2006.</w:t>
      </w:r>
    </w:p>
    <w:p>
      <w:pPr>
        <w:spacing w:before="40" w:after="40"/>
      </w:pPr>
      <w:r>
        <w:rPr>
          <w:rFonts w:ascii="Times New Roman" w:hAnsi="Times New Roman"/>
          <w:b w:val="0"/>
          <w:i w:val="0"/>
          <w:sz w:val="18"/>
        </w:rPr>
      </w:r>
    </w:p>
    <w:p>
      <w:pPr>
        <w:spacing w:before="40" w:after="40"/>
      </w:pPr>
      <w:r>
        <w:rPr>
          <w:rFonts w:ascii="Times New Roman" w:hAnsi="Times New Roman"/>
          <w:b w:val="0"/>
          <w:i w:val="0"/>
          <w:sz w:val="18"/>
        </w:rPr>
        <w:t>The directors acknowledge their responsibilities for:</w:t>
      </w:r>
    </w:p>
    <w:p>
      <w:pPr>
        <w:spacing w:before="40" w:after="40"/>
        <w:ind w:left="397"/>
      </w:pPr>
      <w:r>
        <w:rPr>
          <w:rFonts w:ascii="Times New Roman" w:hAnsi="Times New Roman"/>
          <w:b w:val="0"/>
          <w:i w:val="0"/>
          <w:sz w:val="18"/>
        </w:rPr>
        <w:t>(a)  ensuring that the company keeps accounting records which comply with Sections 386 and 387 of the Companies Act 2006; and</w:t>
      </w:r>
    </w:p>
    <w:p>
      <w:pPr>
        <w:spacing w:before="40" w:after="40"/>
        <w:ind w:left="397"/>
      </w:pPr>
      <w:r>
        <w:rPr>
          <w:rFonts w:ascii="Times New Roman" w:hAnsi="Times New Roman"/>
          <w:b w:val="0"/>
          <w:i w:val="0"/>
          <w:sz w:val="18"/>
        </w:rPr>
        <w:t>(b)  preparing financial statements which give a true and fair view of the state of affairs of the company as at the end of each financial year and of its profit or loss for each financial year in accordance with the requirements of Sections 394 and 395 and which otherwise comply with the requirements of the Companies Act 2006 relating to financial statements, so far as applicable to the company.</w:t>
      </w:r>
    </w:p>
    <w:p>
      <w:pPr>
        <w:spacing w:before="80"/>
      </w:pPr>
      <w:r>
        <w:rPr>
          <w:rFonts w:ascii="Times New Roman" w:hAnsi="Times New Roman"/>
          <w:b w:val="0"/>
          <w:i w:val="0"/>
          <w:sz w:val="18"/>
        </w:rPr>
        <w:t>The financial statements have been prepared and delivered in accordance with the provisions applicable to companies subject to the small companies regime.</w:t>
      </w:r>
    </w:p>
    <w:p>
      <w:pPr>
        <w:spacing w:before="80"/>
      </w:pPr>
      <w:r>
        <w:rPr>
          <w:rFonts w:ascii="Times New Roman" w:hAnsi="Times New Roman"/>
          <w:b w:val="0"/>
          <w:i w:val="0"/>
          <w:sz w:val="18"/>
        </w:rPr>
        <w:t>In accordance with Section 444 of the Companies Act 2006, the Income Statement has not been delivered.</w:t>
      </w:r>
    </w:p>
    <w:p>
      <w:pPr>
        <w:spacing w:before="80"/>
      </w:pPr>
      <w:r>
        <w:rPr>
          <w:rFonts w:ascii="Times New Roman" w:hAnsi="Times New Roman"/>
          <w:b w:val="0"/>
          <w:i w:val="0"/>
          <w:sz w:val="18"/>
        </w:rPr>
        <w:t>The financial statements were approved by the Board of Directors and authorised for issue on _________________________ and were signed on its behalf by:</w:t>
      </w:r>
    </w:p>
    <w:p/>
    <w:p>
      <w:r>
        <w:rPr>
          <w:rFonts w:ascii="Times New Roman" w:hAnsi="Times New Roman"/>
          <w:b w:val="0"/>
          <w:i w:val="0"/>
          <w:sz w:val="20"/>
        </w:rPr>
        <w:t>Mr Owen Neligan  –  Director</w:t>
      </w:r>
    </w:p>
    <w:p>
      <w:pPr>
        <w:spacing w:before="280"/>
      </w:pPr>
      <w:r>
        <w:rPr>
          <w:rFonts w:ascii="Times New Roman" w:hAnsi="Times New Roman"/>
          <w:b w:val="0"/>
          <w:i w:val="0"/>
          <w:sz w:val="20"/>
        </w:rPr>
        <w:t>Mrs Frances Neligan  –  Director</w:t>
      </w:r>
    </w:p>
    <w:p>
      <w:pPr>
        <w:spacing w:before="160"/>
        <w:jc w:val="center"/>
      </w:pPr>
      <w:r>
        <w:rPr>
          <w:rFonts w:ascii="Times New Roman" w:hAnsi="Times New Roman"/>
          <w:b w:val="0"/>
          <w:i/>
          <w:sz w:val="18"/>
        </w:rPr>
        <w:t>The notes form part of these financial statements</w:t>
      </w:r>
    </w:p>
    <w:p>
      <w:pPr>
        <w:jc w:val="center"/>
      </w:pPr>
      <w:r>
        <w:rPr>
          <w:rFonts w:ascii="Times New Roman" w:hAnsi="Times New Roman"/>
          <w:b w:val="0"/>
          <w:i w:val="0"/>
          <w:sz w:val="18"/>
        </w:rPr>
        <w:t>Page 2</w:t>
      </w:r>
    </w:p>
    <w:p>
      <w:r>
        <w:br w:type="page"/>
      </w:r>
    </w:p>
    <w:p>
      <w:pPr>
        <w:spacing w:before="0" w:after="0"/>
      </w:pPr>
      <w:r>
        <w:rPr>
          <w:rFonts w:ascii="Times New Roman" w:hAnsi="Times New Roman"/>
          <w:b/>
          <w:i w:val="0"/>
          <w:sz w:val="20"/>
        </w:rPr>
        <w:t>NELIBURN LTD (REGISTERED NUMBER: 13307297)</w:t>
      </w:r>
    </w:p>
    <w:p>
      <w:pPr>
        <w:spacing w:before="80" w:after="60"/>
      </w:pPr>
      <w:r>
        <w:rPr>
          <w:rFonts w:ascii="Times New Roman" w:hAnsi="Times New Roman"/>
          <w:b/>
          <w:i w:val="0"/>
          <w:sz w:val="20"/>
        </w:rPr>
        <w:t>Notes to the Financial Statements</w:t>
        <w:br/>
        <w:t>FOR THE YEAR ENDED 31 MARCH 2025</w:t>
      </w:r>
    </w:p>
    <w:p>
      <w:pPr>
        <w:spacing w:before="160" w:after="40"/>
      </w:pPr>
      <w:r>
        <w:rPr>
          <w:rFonts w:ascii="Times New Roman" w:hAnsi="Times New Roman"/>
          <w:b/>
          <w:i w:val="0"/>
          <w:sz w:val="20"/>
        </w:rPr>
        <w:t>1.     STATUTORY INFORMATION</w:t>
      </w:r>
    </w:p>
    <w:p>
      <w:pPr>
        <w:spacing w:before="40" w:after="80"/>
        <w:jc w:val="left"/>
      </w:pPr>
      <w:r>
        <w:rPr>
          <w:rFonts w:ascii="Times New Roman" w:hAnsi="Times New Roman"/>
          <w:b w:val="0"/>
          <w:i w:val="0"/>
          <w:sz w:val="20"/>
        </w:rPr>
        <w:t>Neliburn Ltd is a private company limited by shares, registered in England and Wales (number 13307297). The registered office is Office LG06, 1 Quality Court, Chancery Lane, London, WC2A 1HR.</w:t>
      </w:r>
    </w:p>
    <w:p>
      <w:pPr>
        <w:spacing w:before="160" w:after="40"/>
      </w:pPr>
      <w:r>
        <w:rPr>
          <w:rFonts w:ascii="Times New Roman" w:hAnsi="Times New Roman"/>
          <w:b/>
          <w:i w:val="0"/>
          <w:sz w:val="20"/>
        </w:rPr>
        <w:t>2.     ACCOUNTING POLICIES</w:t>
      </w:r>
    </w:p>
    <w:p>
      <w:pPr>
        <w:spacing w:before="100" w:after="20"/>
        <w:ind w:left="397"/>
      </w:pPr>
      <w:r>
        <w:rPr>
          <w:rFonts w:ascii="Times New Roman" w:hAnsi="Times New Roman"/>
          <w:b/>
          <w:i w:val="0"/>
          <w:sz w:val="20"/>
        </w:rPr>
        <w:t>Basis of preparing the financial statements</w:t>
      </w:r>
    </w:p>
    <w:p>
      <w:pPr>
        <w:spacing w:before="20" w:after="80"/>
        <w:ind w:left="397"/>
      </w:pPr>
      <w:r>
        <w:rPr>
          <w:rFonts w:ascii="Times New Roman" w:hAnsi="Times New Roman"/>
          <w:b w:val="0"/>
          <w:i w:val="0"/>
          <w:sz w:val="20"/>
        </w:rPr>
        <w:t>These financial statements have been prepared in accordance with Financial Reporting Standard 102 "The Financial Reporting Standard applicable in the UK and Republic of Ireland", including the provisions of Section 1A "Small Entities", and the Companies Act 2006. The financial statements have been prepared under the historical cost convention as modified by the revaluation of the investment property to fair value.</w:t>
      </w:r>
    </w:p>
    <w:p>
      <w:pPr>
        <w:spacing w:before="100" w:after="20"/>
        <w:ind w:left="397"/>
      </w:pPr>
      <w:r>
        <w:rPr>
          <w:rFonts w:ascii="Times New Roman" w:hAnsi="Times New Roman"/>
          <w:b/>
          <w:i w:val="0"/>
          <w:sz w:val="20"/>
        </w:rPr>
        <w:t>Going concern</w:t>
      </w:r>
    </w:p>
    <w:p>
      <w:pPr>
        <w:spacing w:before="20" w:after="80"/>
        <w:ind w:left="397"/>
      </w:pPr>
      <w:r>
        <w:rPr>
          <w:rFonts w:ascii="Times New Roman" w:hAnsi="Times New Roman"/>
          <w:b w:val="0"/>
          <w:i w:val="0"/>
          <w:sz w:val="20"/>
        </w:rPr>
        <w:t>The directors have prepared these financial statements on the going concern basis. The company reports net liabilities of £9,557 at 31 March 2025. This position arises principally from the interest-only mortgage secured on the company’s investment property, which has a fair value of £225,000 against mortgage debt of £173,791. The company’s investment property is fully let and generating rental income. The directors have reviewed the company’s projected cash flows and financial commitments and are satisfied that the company has adequate resources to meet its obligations as they fall due for a period of not less than twelve months from the date of approval of these financial statements. Accordingly, the going concern basis of preparation continues to be appropriate.</w:t>
      </w:r>
    </w:p>
    <w:p>
      <w:pPr>
        <w:spacing w:before="100" w:after="20"/>
        <w:ind w:left="397"/>
      </w:pPr>
      <w:r>
        <w:rPr>
          <w:rFonts w:ascii="Times New Roman" w:hAnsi="Times New Roman"/>
          <w:b/>
          <w:i w:val="0"/>
          <w:sz w:val="20"/>
        </w:rPr>
        <w:t>Turnover</w:t>
      </w:r>
    </w:p>
    <w:p>
      <w:pPr>
        <w:spacing w:before="20" w:after="80"/>
        <w:ind w:left="397"/>
      </w:pPr>
      <w:r>
        <w:rPr>
          <w:rFonts w:ascii="Times New Roman" w:hAnsi="Times New Roman"/>
          <w:b w:val="0"/>
          <w:i w:val="0"/>
          <w:sz w:val="20"/>
        </w:rPr>
        <w:t>Turnover represents rental income receivable in respect of the period, measured at the gross contracted rent per the tenancy agreement, excluding value added tax. The company is not registered for VAT. Letting agent management fees are presented as an administrative expense.</w:t>
      </w:r>
    </w:p>
    <w:p>
      <w:pPr>
        <w:spacing w:before="100" w:after="20"/>
        <w:ind w:left="397"/>
      </w:pPr>
      <w:r>
        <w:rPr>
          <w:rFonts w:ascii="Times New Roman" w:hAnsi="Times New Roman"/>
          <w:b/>
          <w:i w:val="0"/>
          <w:sz w:val="20"/>
        </w:rPr>
        <w:t>Investment property</w:t>
      </w:r>
    </w:p>
    <w:p>
      <w:pPr>
        <w:spacing w:before="20" w:after="80"/>
        <w:ind w:left="397"/>
      </w:pPr>
      <w:r>
        <w:rPr>
          <w:rFonts w:ascii="Times New Roman" w:hAnsi="Times New Roman"/>
          <w:b w:val="0"/>
          <w:i w:val="0"/>
          <w:sz w:val="20"/>
        </w:rPr>
        <w:t>Investment property held to earn rentals is initially recognised at cost and is subsequently carried at fair value at each balance sheet date. Changes in fair value are recognised in profit or loss. At 31 March 2025 no formal independent revaluation was commissioned. The directors have assessed the fair value and are satisfied that the carrying value of £225,000, being the valuation determined by independent external valuers on 29 December 2023, remains a reasonable approximation of fair value at the balance sheet date.</w:t>
      </w:r>
    </w:p>
    <w:p>
      <w:pPr>
        <w:spacing w:before="100" w:after="20"/>
        <w:ind w:left="397"/>
      </w:pPr>
      <w:r>
        <w:rPr>
          <w:rFonts w:ascii="Times New Roman" w:hAnsi="Times New Roman"/>
          <w:b/>
          <w:i w:val="0"/>
          <w:sz w:val="20"/>
        </w:rPr>
        <w:t>Taxation</w:t>
      </w:r>
    </w:p>
    <w:p>
      <w:pPr>
        <w:spacing w:before="20" w:after="80"/>
        <w:ind w:left="397"/>
      </w:pPr>
      <w:r>
        <w:rPr>
          <w:rFonts w:ascii="Times New Roman" w:hAnsi="Times New Roman"/>
          <w:b w:val="0"/>
          <w:i w:val="0"/>
          <w:sz w:val="20"/>
        </w:rPr>
        <w:t>Corporation tax is recognised on taxable profits for the period at rates enacted at the balance sheet date. As the company is loss-making in the period, no current tax charge arises. Deferred tax is recognised in respect of timing differences that have originated but not reversed at the balance sheet date.</w:t>
      </w:r>
    </w:p>
    <w:p>
      <w:pPr>
        <w:spacing w:before="100" w:after="20"/>
        <w:ind w:left="397"/>
      </w:pPr>
      <w:r>
        <w:rPr>
          <w:rFonts w:ascii="Times New Roman" w:hAnsi="Times New Roman"/>
          <w:b/>
          <w:i w:val="0"/>
          <w:sz w:val="20"/>
        </w:rPr>
        <w:t>Financial instruments</w:t>
      </w:r>
    </w:p>
    <w:p>
      <w:pPr>
        <w:spacing w:before="20" w:after="80"/>
        <w:ind w:left="397"/>
      </w:pPr>
      <w:r>
        <w:rPr>
          <w:rFonts w:ascii="Times New Roman" w:hAnsi="Times New Roman"/>
          <w:b w:val="0"/>
          <w:i w:val="0"/>
          <w:sz w:val="20"/>
        </w:rPr>
        <w:t>Basic financial instruments are recognised at transaction price. The bank loan is carried at the outstanding capital balance. Interest payable on the bank loan is recognised on an accruals basis as a finance charge in the profit and loss account. Director loan balances are classified as current liabilities as they are repayable on demand.</w:t>
      </w:r>
    </w:p>
    <w:p>
      <w:pPr>
        <w:spacing w:before="160" w:after="40"/>
      </w:pPr>
      <w:r>
        <w:rPr>
          <w:rFonts w:ascii="Times New Roman" w:hAnsi="Times New Roman"/>
          <w:b/>
          <w:i w:val="0"/>
          <w:sz w:val="20"/>
        </w:rPr>
        <w:t>3.     EMPLOYEES AND DIRECTORS</w:t>
      </w:r>
    </w:p>
    <w:p>
      <w:pPr>
        <w:spacing w:before="40" w:after="40"/>
        <w:jc w:val="left"/>
      </w:pPr>
      <w:r>
        <w:rPr>
          <w:rFonts w:ascii="Times New Roman" w:hAnsi="Times New Roman"/>
          <w:b w:val="0"/>
          <w:i w:val="0"/>
          <w:sz w:val="20"/>
        </w:rPr>
        <w:t>The average number of employees during the year was NIL (2024 – NIL). No remuneration was paid to any director during the year (2024 – NIL).</w:t>
      </w:r>
    </w:p>
    <w:p>
      <w:pPr>
        <w:spacing w:before="160"/>
        <w:jc w:val="center"/>
      </w:pPr>
      <w:r>
        <w:rPr>
          <w:rFonts w:ascii="Times New Roman" w:hAnsi="Times New Roman"/>
          <w:b w:val="0"/>
          <w:i/>
          <w:sz w:val="18"/>
        </w:rPr>
        <w:t>The notes form part of these financial statements</w:t>
      </w:r>
    </w:p>
    <w:p>
      <w:pPr>
        <w:jc w:val="center"/>
      </w:pPr>
      <w:r>
        <w:rPr>
          <w:rFonts w:ascii="Times New Roman" w:hAnsi="Times New Roman"/>
          <w:b w:val="0"/>
          <w:i w:val="0"/>
          <w:sz w:val="18"/>
        </w:rPr>
        <w:t>Page 4</w:t>
      </w:r>
    </w:p>
    <w:p>
      <w:pPr>
        <w:jc w:val="right"/>
      </w:pPr>
      <w:r>
        <w:rPr>
          <w:rFonts w:ascii="Times New Roman" w:hAnsi="Times New Roman"/>
          <w:b w:val="0"/>
          <w:i/>
          <w:sz w:val="18"/>
        </w:rPr>
        <w:t>continued...</w:t>
      </w:r>
    </w:p>
    <w:p>
      <w:r>
        <w:br w:type="page"/>
      </w:r>
    </w:p>
    <w:p>
      <w:pPr>
        <w:spacing w:before="0" w:after="0"/>
      </w:pPr>
      <w:r>
        <w:rPr>
          <w:rFonts w:ascii="Times New Roman" w:hAnsi="Times New Roman"/>
          <w:b/>
          <w:i w:val="0"/>
          <w:sz w:val="20"/>
        </w:rPr>
        <w:t>NELIBURN LTD (REGISTERED NUMBER: 13307297)</w:t>
      </w:r>
    </w:p>
    <w:p>
      <w:pPr>
        <w:spacing w:before="80" w:after="60"/>
      </w:pPr>
      <w:r>
        <w:rPr>
          <w:rFonts w:ascii="Times New Roman" w:hAnsi="Times New Roman"/>
          <w:b/>
          <w:i w:val="0"/>
          <w:sz w:val="20"/>
        </w:rPr>
        <w:t>Notes to the Financial Statements – continued</w:t>
        <w:br/>
        <w:t>FOR THE YEAR ENDED 31 MARCH 2025</w:t>
      </w:r>
    </w:p>
    <w:p>
      <w:pPr>
        <w:spacing w:before="160" w:after="80"/>
      </w:pPr>
      <w:r>
        <w:rPr>
          <w:rFonts w:ascii="Times New Roman" w:hAnsi="Times New Roman"/>
          <w:b/>
          <w:i w:val="0"/>
          <w:sz w:val="20"/>
        </w:rPr>
        <w:t>4.     INVESTMENT PROPERTY</w:t>
      </w:r>
    </w:p>
    <w:tbl>
      <w:tblPr>
        <w:tblW w:type="auto" w:w="0"/>
        <w:tblLook w:firstColumn="1" w:firstRow="1" w:lastColumn="0" w:lastRow="0" w:noHBand="0" w:noVBand="1" w:val="04A0"/>
      </w:tblPr>
      <w:tblGrid>
        <w:gridCol w:w="4536"/>
        <w:gridCol w:w="4536"/>
      </w:tblGrid>
      <w:tr>
        <w:tc>
          <w:tcPr>
            <w:tcW w:type="dxa" w:w="6236"/>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2835"/>
            <w:tcBorders>
              <w:top w:val="none"/>
              <w:left w:val="none"/>
              <w:bottom w:val="none"/>
              <w:right w:val="none"/>
              <w:insideH w:val="none"/>
              <w:insideV w:val="none"/>
            </w:tcBorders>
            <w:vAlign w:val="center"/>
          </w:tcPr>
          <w:p>
            <w:pPr>
              <w:jc w:val="right"/>
            </w:pPr>
            <w:r>
              <w:rPr>
                <w:rFonts w:ascii="Times New Roman" w:hAnsi="Times New Roman"/>
                <w:b/>
                <w:i w:val="0"/>
                <w:sz w:val="20"/>
              </w:rPr>
              <w:t>Total</w:t>
              <w:br/>
              <w:t>£</w:t>
            </w:r>
          </w:p>
        </w:tc>
      </w:tr>
      <w:tr>
        <w:tc>
          <w:tcPr>
            <w:tcW w:type="dxa" w:w="6236"/>
            <w:tcBorders>
              <w:top w:val="none"/>
              <w:left w:val="none"/>
              <w:bottom w:val="none"/>
              <w:right w:val="none"/>
              <w:insideH w:val="none"/>
              <w:insideV w:val="none"/>
            </w:tcBorders>
            <w:vAlign w:val="center"/>
          </w:tcPr>
          <w:p>
            <w:pPr>
              <w:jc w:val="left"/>
            </w:pPr>
            <w:r>
              <w:rPr>
                <w:rFonts w:ascii="Times New Roman" w:hAnsi="Times New Roman"/>
                <w:b w:val="0"/>
                <w:i w:val="0"/>
                <w:sz w:val="20"/>
              </w:rPr>
              <w:t>Fair value at 1 April 2024</w:t>
            </w:r>
          </w:p>
        </w:tc>
        <w:tc>
          <w:tcPr>
            <w:tcW w:type="dxa" w:w="2835"/>
            <w:tcBorders>
              <w:top w:val="none"/>
              <w:left w:val="none"/>
              <w:bottom w:val="none"/>
              <w:right w:val="none"/>
              <w:insideH w:val="none"/>
              <w:insideV w:val="none"/>
            </w:tcBorders>
            <w:vAlign w:val="center"/>
          </w:tcPr>
          <w:p>
            <w:pPr>
              <w:jc w:val="right"/>
            </w:pPr>
            <w:r>
              <w:rPr>
                <w:rFonts w:ascii="Times New Roman" w:hAnsi="Times New Roman"/>
                <w:b w:val="0"/>
                <w:i w:val="0"/>
                <w:sz w:val="20"/>
              </w:rPr>
              <w:t>225,000</w:t>
            </w:r>
          </w:p>
        </w:tc>
      </w:tr>
      <w:tr>
        <w:tc>
          <w:tcPr>
            <w:tcW w:type="dxa" w:w="6236"/>
            <w:tcBorders>
              <w:top w:val="none"/>
              <w:left w:val="none"/>
              <w:bottom w:val="none"/>
              <w:right w:val="none"/>
              <w:insideH w:val="none"/>
              <w:insideV w:val="none"/>
            </w:tcBorders>
            <w:vAlign w:val="center"/>
          </w:tcPr>
          <w:p>
            <w:pPr>
              <w:jc w:val="left"/>
            </w:pPr>
            <w:r>
              <w:rPr>
                <w:rFonts w:ascii="Times New Roman" w:hAnsi="Times New Roman"/>
                <w:b w:val="0"/>
                <w:i w:val="0"/>
                <w:sz w:val="20"/>
              </w:rPr>
              <w:t>Additions in year</w:t>
            </w:r>
          </w:p>
        </w:tc>
        <w:tc>
          <w:tcPr>
            <w:tcW w:type="dxa" w:w="2835"/>
            <w:tcBorders>
              <w:top w:val="none"/>
              <w:left w:val="none"/>
              <w:bottom w:val="none"/>
              <w:right w:val="none"/>
              <w:insideH w:val="none"/>
              <w:insideV w:val="none"/>
            </w:tcBorders>
            <w:vAlign w:val="center"/>
          </w:tcPr>
          <w:p>
            <w:pPr>
              <w:jc w:val="right"/>
            </w:pPr>
            <w:r>
              <w:rPr>
                <w:rFonts w:ascii="Times New Roman" w:hAnsi="Times New Roman"/>
                <w:b w:val="0"/>
                <w:i w:val="0"/>
                <w:sz w:val="20"/>
              </w:rPr>
              <w:t>—</w:t>
            </w:r>
          </w:p>
        </w:tc>
      </w:tr>
      <w:tr>
        <w:tc>
          <w:tcPr>
            <w:tcW w:type="dxa" w:w="6236"/>
            <w:tcBorders>
              <w:top w:val="none"/>
              <w:left w:val="none"/>
              <w:bottom w:val="none"/>
              <w:right w:val="none"/>
              <w:insideH w:val="none"/>
              <w:insideV w:val="none"/>
            </w:tcBorders>
            <w:vAlign w:val="center"/>
          </w:tcPr>
          <w:p>
            <w:pPr>
              <w:jc w:val="left"/>
            </w:pPr>
            <w:r>
              <w:rPr>
                <w:rFonts w:ascii="Times New Roman" w:hAnsi="Times New Roman"/>
                <w:b w:val="0"/>
                <w:i w:val="0"/>
                <w:sz w:val="20"/>
              </w:rPr>
              <w:t>Net gains from fair value adjustments</w:t>
            </w:r>
          </w:p>
        </w:tc>
        <w:tc>
          <w:tcPr>
            <w:tcW w:type="dxa" w:w="2835"/>
            <w:tcBorders>
              <w:top w:val="none"/>
              <w:left w:val="none"/>
              <w:bottom w:val="none"/>
              <w:right w:val="none"/>
              <w:insideH w:val="none"/>
              <w:insideV w:val="none"/>
            </w:tcBorders>
            <w:vAlign w:val="center"/>
          </w:tcPr>
          <w:p>
            <w:pPr>
              <w:jc w:val="right"/>
            </w:pPr>
            <w:r>
              <w:rPr>
                <w:rFonts w:ascii="Times New Roman" w:hAnsi="Times New Roman"/>
                <w:b w:val="0"/>
                <w:i w:val="0"/>
                <w:sz w:val="20"/>
              </w:rPr>
              <w:t>—</w:t>
            </w:r>
          </w:p>
        </w:tc>
      </w:tr>
      <w:tr>
        <w:tc>
          <w:tcPr>
            <w:tcW w:type="dxa" w:w="6236"/>
            <w:tcBorders>
              <w:top w:val="none"/>
              <w:left w:val="none"/>
              <w:bottom w:val="none"/>
              <w:right w:val="none"/>
              <w:insideH w:val="none"/>
              <w:insideV w:val="none"/>
            </w:tcBorders>
            <w:vAlign w:val="center"/>
          </w:tcPr>
          <w:p>
            <w:pPr>
              <w:jc w:val="left"/>
            </w:pPr>
            <w:r>
              <w:rPr>
                <w:rFonts w:ascii="Times New Roman" w:hAnsi="Times New Roman"/>
                <w:b/>
                <w:i w:val="0"/>
                <w:sz w:val="20"/>
              </w:rPr>
              <w:t>Fair value at 31 March 2025</w:t>
            </w:r>
          </w:p>
        </w:tc>
        <w:tc>
          <w:tcPr>
            <w:tcW w:type="dxa" w:w="2835"/>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i w:val="0"/>
                <w:sz w:val="20"/>
              </w:rPr>
              <w:t>225,000</w:t>
            </w:r>
          </w:p>
        </w:tc>
      </w:tr>
      <w:tr>
        <w:tc>
          <w:tcPr>
            <w:tcW w:type="dxa" w:w="6236"/>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2835"/>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6236"/>
            <w:tcBorders>
              <w:top w:val="none"/>
              <w:left w:val="none"/>
              <w:bottom w:val="none"/>
              <w:right w:val="none"/>
              <w:insideH w:val="none"/>
              <w:insideV w:val="none"/>
            </w:tcBorders>
            <w:vAlign w:val="center"/>
          </w:tcPr>
          <w:p>
            <w:pPr>
              <w:jc w:val="left"/>
            </w:pPr>
            <w:r>
              <w:rPr>
                <w:rFonts w:ascii="Times New Roman" w:hAnsi="Times New Roman"/>
                <w:b w:val="0"/>
                <w:i w:val="0"/>
                <w:sz w:val="20"/>
              </w:rPr>
              <w:t>Fair value at 31 March 2025 is represented by:</w:t>
            </w:r>
          </w:p>
        </w:tc>
        <w:tc>
          <w:tcPr>
            <w:tcW w:type="dxa" w:w="2835"/>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6236"/>
            <w:tcBorders>
              <w:top w:val="none"/>
              <w:left w:val="none"/>
              <w:bottom w:val="none"/>
              <w:right w:val="none"/>
              <w:insideH w:val="none"/>
              <w:insideV w:val="none"/>
            </w:tcBorders>
            <w:vAlign w:val="center"/>
          </w:tcPr>
          <w:p>
            <w:pPr>
              <w:jc w:val="left"/>
            </w:pPr>
            <w:r>
              <w:rPr>
                <w:rFonts w:ascii="Times New Roman" w:hAnsi="Times New Roman"/>
                <w:b w:val="0"/>
                <w:i w:val="0"/>
                <w:sz w:val="20"/>
              </w:rPr>
              <w:t>Valuation carried out in December 2023</w:t>
            </w:r>
          </w:p>
        </w:tc>
        <w:tc>
          <w:tcPr>
            <w:tcW w:type="dxa" w:w="2835"/>
            <w:tcBorders>
              <w:top w:val="none"/>
              <w:left w:val="none"/>
              <w:bottom w:val="none"/>
              <w:right w:val="none"/>
              <w:insideH w:val="none"/>
              <w:insideV w:val="none"/>
            </w:tcBorders>
            <w:vAlign w:val="center"/>
          </w:tcPr>
          <w:p>
            <w:pPr>
              <w:jc w:val="right"/>
            </w:pPr>
            <w:r>
              <w:rPr>
                <w:rFonts w:ascii="Times New Roman" w:hAnsi="Times New Roman"/>
                <w:b w:val="0"/>
                <w:i w:val="0"/>
                <w:sz w:val="20"/>
              </w:rPr>
              <w:t>225,000</w:t>
            </w:r>
          </w:p>
        </w:tc>
      </w:tr>
    </w:tbl>
    <w:p>
      <w:pPr>
        <w:spacing w:before="120" w:after="40"/>
        <w:jc w:val="left"/>
      </w:pPr>
      <w:r>
        <w:rPr>
          <w:rFonts w:ascii="Times New Roman" w:hAnsi="Times New Roman"/>
          <w:b w:val="0"/>
          <w:i w:val="0"/>
          <w:sz w:val="20"/>
        </w:rPr>
        <w:t>Investment property was independently valued at £225,000 on an open market basis on 29 December 2023 by external valuers. No formal revaluation was carried out at 31 March 2025; the directors consider the carrying value to be a reasonable approximation of fair value at the balance sheet date.</w:t>
      </w:r>
    </w:p>
    <w:p>
      <w:pPr>
        <w:spacing w:before="80" w:after="40"/>
        <w:jc w:val="left"/>
      </w:pPr>
      <w:r>
        <w:rPr>
          <w:rFonts w:ascii="Times New Roman" w:hAnsi="Times New Roman"/>
          <w:b w:val="0"/>
          <w:i w:val="0"/>
          <w:sz w:val="20"/>
        </w:rPr>
        <w:t>If investment property had not been carried at fair value it would have been included at the following historical cost:</w:t>
      </w:r>
    </w:p>
    <w:tbl>
      <w:tblPr>
        <w:tblW w:type="auto" w:w="0"/>
        <w:tblLook w:firstColumn="1" w:firstRow="1" w:lastColumn="0" w:lastRow="0" w:noHBand="0" w:noVBand="1" w:val="04A0"/>
      </w:tblPr>
      <w:tblGrid>
        <w:gridCol w:w="3024"/>
        <w:gridCol w:w="3024"/>
        <w:gridCol w:w="3024"/>
      </w:tblGrid>
      <w:tr>
        <w:tc>
          <w:tcPr>
            <w:tcW w:type="dxa" w:w="4535"/>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31/3/25</w:t>
              <w:br/>
              <w:t>£</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31/3/24</w:t>
              <w:br/>
              <w:t>£</w:t>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t>Cost</w:t>
            </w:r>
          </w:p>
        </w:tc>
        <w:tc>
          <w:tcPr>
            <w:tcW w:type="dxa" w:w="2268"/>
            <w:tcBorders>
              <w:top w:val="none"/>
              <w:left w:val="none"/>
              <w:bottom w:val="none"/>
              <w:right w:val="none"/>
              <w:insideH w:val="none"/>
              <w:insideV w:val="none"/>
            </w:tcBorders>
            <w:vAlign w:val="center"/>
            <w:tcBorders>
              <w:bottom w:val="single" w:sz="6" w:space="0" w:color="000000"/>
            </w:tcBorders>
          </w:tcPr>
          <w:p>
            <w:pPr>
              <w:jc w:val="right"/>
            </w:pPr>
            <w:r>
              <w:rPr>
                <w:rFonts w:ascii="Times New Roman" w:hAnsi="Times New Roman"/>
                <w:b w:val="0"/>
                <w:i w:val="0"/>
                <w:sz w:val="20"/>
              </w:rPr>
              <w:t>202,454</w:t>
            </w:r>
          </w:p>
        </w:tc>
        <w:tc>
          <w:tcPr>
            <w:tcW w:type="dxa" w:w="2268"/>
            <w:tcBorders>
              <w:top w:val="none"/>
              <w:left w:val="none"/>
              <w:bottom w:val="none"/>
              <w:right w:val="none"/>
              <w:insideH w:val="none"/>
              <w:insideV w:val="none"/>
            </w:tcBorders>
            <w:vAlign w:val="center"/>
            <w:tcBorders>
              <w:bottom w:val="single" w:sz="6" w:space="0" w:color="000000"/>
            </w:tcBorders>
          </w:tcPr>
          <w:p>
            <w:pPr>
              <w:jc w:val="right"/>
            </w:pPr>
            <w:r>
              <w:rPr>
                <w:rFonts w:ascii="Times New Roman" w:hAnsi="Times New Roman"/>
                <w:b w:val="0"/>
                <w:i w:val="0"/>
                <w:sz w:val="20"/>
              </w:rPr>
              <w:t>202,454</w:t>
            </w:r>
          </w:p>
        </w:tc>
      </w:tr>
    </w:tbl>
    <w:p>
      <w:pPr>
        <w:spacing w:before="200" w:after="80"/>
      </w:pPr>
      <w:r>
        <w:rPr>
          <w:rFonts w:ascii="Times New Roman" w:hAnsi="Times New Roman"/>
          <w:b/>
          <w:i w:val="0"/>
          <w:sz w:val="20"/>
        </w:rPr>
        <w:t>5.     DEBTORS: AMOUNTS FALLING DUE WITHIN ONE YEAR</w:t>
      </w:r>
    </w:p>
    <w:tbl>
      <w:tblPr>
        <w:tblW w:type="auto" w:w="0"/>
        <w:tblLook w:firstColumn="1" w:firstRow="1" w:lastColumn="0" w:lastRow="0" w:noHBand="0" w:noVBand="1" w:val="04A0"/>
      </w:tblPr>
      <w:tblGrid>
        <w:gridCol w:w="3024"/>
        <w:gridCol w:w="3024"/>
        <w:gridCol w:w="3024"/>
      </w:tblGrid>
      <w:tr>
        <w:tc>
          <w:tcPr>
            <w:tcW w:type="dxa" w:w="4535"/>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31/3/25</w:t>
              <w:br/>
              <w:t>£</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31/3/24</w:t>
              <w:br/>
              <w:t>£</w:t>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t>Other debtors</w:t>
            </w:r>
          </w:p>
        </w:tc>
        <w:tc>
          <w:tcPr>
            <w:tcW w:type="dxa" w:w="2268"/>
            <w:tcBorders>
              <w:top w:val="none"/>
              <w:left w:val="none"/>
              <w:bottom w:val="none"/>
              <w:right w:val="none"/>
              <w:insideH w:val="none"/>
              <w:insideV w:val="none"/>
            </w:tcBorders>
            <w:vAlign w:val="center"/>
            <w:tcBorders>
              <w:bottom w:val="single" w:sz="6" w:space="0" w:color="000000"/>
            </w:tcBorders>
          </w:tcPr>
          <w:p>
            <w:pPr>
              <w:jc w:val="right"/>
            </w:pPr>
            <w:r>
              <w:rPr>
                <w:rFonts w:ascii="Times New Roman" w:hAnsi="Times New Roman"/>
                <w:b w:val="0"/>
                <w:i w:val="0"/>
                <w:sz w:val="20"/>
              </w:rPr>
              <w:t>—</w:t>
            </w:r>
          </w:p>
        </w:tc>
        <w:tc>
          <w:tcPr>
            <w:tcW w:type="dxa" w:w="2268"/>
            <w:tcBorders>
              <w:top w:val="none"/>
              <w:left w:val="none"/>
              <w:bottom w:val="none"/>
              <w:right w:val="none"/>
              <w:insideH w:val="none"/>
              <w:insideV w:val="none"/>
            </w:tcBorders>
            <w:vAlign w:val="center"/>
            <w:tcBorders>
              <w:bottom w:val="single" w:sz="6" w:space="0" w:color="000000"/>
            </w:tcBorders>
          </w:tcPr>
          <w:p>
            <w:pPr>
              <w:jc w:val="right"/>
            </w:pPr>
            <w:r>
              <w:rPr>
                <w:rFonts w:ascii="Times New Roman" w:hAnsi="Times New Roman"/>
                <w:b w:val="0"/>
                <w:i w:val="0"/>
                <w:sz w:val="20"/>
              </w:rPr>
              <w:t>4,915</w:t>
            </w:r>
          </w:p>
        </w:tc>
      </w:tr>
    </w:tbl>
    <w:p>
      <w:pPr>
        <w:spacing w:before="200" w:after="80"/>
      </w:pPr>
      <w:r>
        <w:rPr>
          <w:rFonts w:ascii="Times New Roman" w:hAnsi="Times New Roman"/>
          <w:b/>
          <w:i w:val="0"/>
          <w:sz w:val="20"/>
        </w:rPr>
        <w:t>6.     CREDITORS: AMOUNTS FALLING DUE WITHIN ONE YEAR</w:t>
      </w:r>
    </w:p>
    <w:tbl>
      <w:tblPr>
        <w:tblW w:type="auto" w:w="0"/>
        <w:tblLook w:firstColumn="1" w:firstRow="1" w:lastColumn="0" w:lastRow="0" w:noHBand="0" w:noVBand="1" w:val="04A0"/>
      </w:tblPr>
      <w:tblGrid>
        <w:gridCol w:w="3024"/>
        <w:gridCol w:w="3024"/>
        <w:gridCol w:w="3024"/>
      </w:tblGrid>
      <w:tr>
        <w:tc>
          <w:tcPr>
            <w:tcW w:type="dxa" w:w="4535"/>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31/3/25</w:t>
              <w:br/>
              <w:t>£</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31/3/24</w:t>
              <w:br/>
              <w:t>£</w:t>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t>Trade creditors</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t>—</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t>1,080</w:t>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t>Director loan accounts</w:t>
            </w:r>
          </w:p>
        </w:tc>
        <w:tc>
          <w:tcPr>
            <w:tcW w:type="dxa" w:w="2268"/>
            <w:tcBorders>
              <w:top w:val="none"/>
              <w:left w:val="none"/>
              <w:bottom w:val="none"/>
              <w:right w:val="none"/>
              <w:insideH w:val="none"/>
              <w:insideV w:val="none"/>
            </w:tcBorders>
            <w:vAlign w:val="center"/>
            <w:tcBorders>
              <w:top w:val="single" w:sz="6" w:space="0" w:color="000000"/>
            </w:tcBorders>
          </w:tcPr>
          <w:p>
            <w:pPr>
              <w:jc w:val="right"/>
            </w:pPr>
            <w:r>
              <w:rPr>
                <w:rFonts w:ascii="Times New Roman" w:hAnsi="Times New Roman"/>
                <w:b w:val="0"/>
                <w:i w:val="0"/>
                <w:sz w:val="20"/>
              </w:rPr>
              <w:t>64,562</w:t>
            </w:r>
          </w:p>
        </w:tc>
        <w:tc>
          <w:tcPr>
            <w:tcW w:type="dxa" w:w="2268"/>
            <w:tcBorders>
              <w:top w:val="none"/>
              <w:left w:val="none"/>
              <w:bottom w:val="none"/>
              <w:right w:val="none"/>
              <w:insideH w:val="none"/>
              <w:insideV w:val="none"/>
            </w:tcBorders>
            <w:vAlign w:val="center"/>
            <w:tcBorders>
              <w:top w:val="single" w:sz="6" w:space="0" w:color="000000"/>
            </w:tcBorders>
          </w:tcPr>
          <w:p>
            <w:pPr>
              <w:jc w:val="right"/>
            </w:pPr>
            <w:r>
              <w:rPr>
                <w:rFonts w:ascii="Times New Roman" w:hAnsi="Times New Roman"/>
                <w:b w:val="0"/>
                <w:i w:val="0"/>
                <w:sz w:val="20"/>
              </w:rPr>
              <w:t>78,034</w:t>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2268"/>
            <w:tcBorders>
              <w:top w:val="none"/>
              <w:left w:val="none"/>
              <w:bottom w:val="none"/>
              <w:right w:val="none"/>
              <w:insideH w:val="none"/>
              <w:insideV w:val="none"/>
            </w:tcBorders>
            <w:vAlign w:val="center"/>
            <w:tcBorders>
              <w:bottom w:val="double" w:sz="6" w:space="0" w:color="000000"/>
            </w:tcBorders>
          </w:tcPr>
          <w:p>
            <w:pPr>
              <w:jc w:val="right"/>
            </w:pPr>
            <w:r>
              <w:rPr>
                <w:rFonts w:ascii="Times New Roman" w:hAnsi="Times New Roman"/>
                <w:b/>
                <w:i w:val="0"/>
                <w:sz w:val="20"/>
              </w:rPr>
              <w:t>64,562</w:t>
            </w:r>
          </w:p>
        </w:tc>
        <w:tc>
          <w:tcPr>
            <w:tcW w:type="dxa" w:w="2268"/>
            <w:tcBorders>
              <w:top w:val="none"/>
              <w:left w:val="none"/>
              <w:bottom w:val="none"/>
              <w:right w:val="none"/>
              <w:insideH w:val="none"/>
              <w:insideV w:val="none"/>
            </w:tcBorders>
            <w:vAlign w:val="center"/>
            <w:tcBorders>
              <w:bottom w:val="double" w:sz="6" w:space="0" w:color="000000"/>
            </w:tcBorders>
          </w:tcPr>
          <w:p>
            <w:pPr>
              <w:jc w:val="right"/>
            </w:pPr>
            <w:r>
              <w:rPr>
                <w:rFonts w:ascii="Times New Roman" w:hAnsi="Times New Roman"/>
                <w:b/>
                <w:i w:val="0"/>
                <w:sz w:val="20"/>
              </w:rPr>
              <w:t>79,114</w:t>
            </w:r>
          </w:p>
        </w:tc>
      </w:tr>
    </w:tbl>
    <w:p>
      <w:pPr>
        <w:spacing w:before="100" w:after="40"/>
        <w:jc w:val="left"/>
      </w:pPr>
      <w:r>
        <w:rPr>
          <w:rFonts w:ascii="Times New Roman" w:hAnsi="Times New Roman"/>
          <w:b w:val="0"/>
          <w:i w:val="0"/>
          <w:sz w:val="20"/>
        </w:rPr>
        <w:t>The director loan accounts represent monies lent to the company by the directors. The amounts are unsecured, interest-free and repayable on demand. During the year, the company made repayments totalling £8,565 to the directors (Mr Owen Neligan: £4,565; Mrs Frances Neligan: £4,000).</w:t>
      </w:r>
    </w:p>
    <w:p>
      <w:pPr>
        <w:spacing w:before="160"/>
        <w:jc w:val="center"/>
      </w:pPr>
      <w:r>
        <w:rPr>
          <w:rFonts w:ascii="Times New Roman" w:hAnsi="Times New Roman"/>
          <w:b w:val="0"/>
          <w:i/>
          <w:sz w:val="18"/>
        </w:rPr>
        <w:t>The notes form part of these financial statements</w:t>
      </w:r>
    </w:p>
    <w:p>
      <w:pPr>
        <w:jc w:val="center"/>
      </w:pPr>
      <w:r>
        <w:rPr>
          <w:rFonts w:ascii="Times New Roman" w:hAnsi="Times New Roman"/>
          <w:b w:val="0"/>
          <w:i w:val="0"/>
          <w:sz w:val="18"/>
        </w:rPr>
        <w:t>Page 5</w:t>
      </w:r>
    </w:p>
    <w:p>
      <w:pPr>
        <w:jc w:val="right"/>
      </w:pPr>
      <w:r>
        <w:rPr>
          <w:rFonts w:ascii="Times New Roman" w:hAnsi="Times New Roman"/>
          <w:b w:val="0"/>
          <w:i/>
          <w:sz w:val="18"/>
        </w:rPr>
        <w:t>continued...</w:t>
      </w:r>
    </w:p>
    <w:p>
      <w:r>
        <w:br w:type="page"/>
      </w:r>
    </w:p>
    <w:p>
      <w:pPr>
        <w:spacing w:before="0" w:after="0"/>
      </w:pPr>
      <w:r>
        <w:rPr>
          <w:rFonts w:ascii="Times New Roman" w:hAnsi="Times New Roman"/>
          <w:b/>
          <w:i w:val="0"/>
          <w:sz w:val="20"/>
        </w:rPr>
        <w:t>NELIBURN LTD (REGISTERED NUMBER: 13307297)</w:t>
      </w:r>
    </w:p>
    <w:p>
      <w:pPr>
        <w:spacing w:before="80" w:after="60"/>
      </w:pPr>
      <w:r>
        <w:rPr>
          <w:rFonts w:ascii="Times New Roman" w:hAnsi="Times New Roman"/>
          <w:b/>
          <w:i w:val="0"/>
          <w:sz w:val="20"/>
        </w:rPr>
        <w:t>Notes to the Financial Statements – continued</w:t>
        <w:br/>
        <w:t>FOR THE YEAR ENDED 31 MARCH 2025</w:t>
      </w:r>
    </w:p>
    <w:p>
      <w:pPr>
        <w:spacing w:before="160" w:after="80"/>
      </w:pPr>
      <w:r>
        <w:rPr>
          <w:rFonts w:ascii="Times New Roman" w:hAnsi="Times New Roman"/>
          <w:b/>
          <w:i w:val="0"/>
          <w:sz w:val="20"/>
        </w:rPr>
        <w:t>7.     CREDITORS: AMOUNTS FALLING DUE AFTER MORE THAN ONE YEAR</w:t>
      </w:r>
    </w:p>
    <w:tbl>
      <w:tblPr>
        <w:tblW w:type="auto" w:w="0"/>
        <w:tblLook w:firstColumn="1" w:firstRow="1" w:lastColumn="0" w:lastRow="0" w:noHBand="0" w:noVBand="1" w:val="04A0"/>
      </w:tblPr>
      <w:tblGrid>
        <w:gridCol w:w="3024"/>
        <w:gridCol w:w="3024"/>
        <w:gridCol w:w="3024"/>
      </w:tblGrid>
      <w:tr>
        <w:tc>
          <w:tcPr>
            <w:tcW w:type="dxa" w:w="4535"/>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31/3/25</w:t>
              <w:br/>
              <w:t>£</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i w:val="0"/>
                <w:sz w:val="20"/>
              </w:rPr>
              <w:t>31/3/24</w:t>
              <w:br/>
              <w:t>£</w:t>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t>Bank loans</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t>173,791</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t>173,791</w:t>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t>Amounts falling due in more than five years:</w:t>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r>
          </w:p>
        </w:tc>
        <w:tc>
          <w:tcPr>
            <w:tcW w:type="dxa" w:w="2268"/>
            <w:tcBorders>
              <w:top w:val="none"/>
              <w:left w:val="none"/>
              <w:bottom w:val="none"/>
              <w:right w:val="none"/>
              <w:insideH w:val="none"/>
              <w:insideV w:val="none"/>
            </w:tcBorders>
            <w:vAlign w:val="center"/>
          </w:tcPr>
          <w:p>
            <w:pPr>
              <w:jc w:val="right"/>
            </w:pPr>
            <w:r>
              <w:rPr>
                <w:rFonts w:ascii="Times New Roman" w:hAnsi="Times New Roman"/>
                <w:b w:val="0"/>
                <w:i w:val="0"/>
                <w:sz w:val="20"/>
              </w:rPr>
            </w:r>
          </w:p>
        </w:tc>
      </w:tr>
      <w:tr>
        <w:tc>
          <w:tcPr>
            <w:tcW w:type="dxa" w:w="4535"/>
            <w:tcBorders>
              <w:top w:val="none"/>
              <w:left w:val="none"/>
              <w:bottom w:val="none"/>
              <w:right w:val="none"/>
              <w:insideH w:val="none"/>
              <w:insideV w:val="none"/>
            </w:tcBorders>
            <w:vAlign w:val="center"/>
          </w:tcPr>
          <w:p>
            <w:pPr>
              <w:jc w:val="left"/>
            </w:pPr>
            <w:r>
              <w:rPr>
                <w:rFonts w:ascii="Times New Roman" w:hAnsi="Times New Roman"/>
                <w:b w:val="0"/>
                <w:i w:val="0"/>
                <w:sz w:val="20"/>
              </w:rPr>
              <w:t>Bank loans – repayable at maturity</w:t>
            </w:r>
          </w:p>
        </w:tc>
        <w:tc>
          <w:tcPr>
            <w:tcW w:type="dxa" w:w="2268"/>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val="0"/>
                <w:i w:val="0"/>
                <w:sz w:val="20"/>
              </w:rPr>
              <w:t>173,791</w:t>
            </w:r>
          </w:p>
        </w:tc>
        <w:tc>
          <w:tcPr>
            <w:tcW w:type="dxa" w:w="2268"/>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val="0"/>
                <w:i w:val="0"/>
                <w:sz w:val="20"/>
              </w:rPr>
              <w:t>173,791</w:t>
            </w:r>
          </w:p>
        </w:tc>
      </w:tr>
    </w:tbl>
    <w:p>
      <w:pPr>
        <w:spacing w:before="120" w:after="40"/>
        <w:jc w:val="left"/>
      </w:pPr>
      <w:r>
        <w:rPr>
          <w:rFonts w:ascii="Times New Roman" w:hAnsi="Times New Roman"/>
          <w:b w:val="0"/>
          <w:i w:val="0"/>
          <w:sz w:val="20"/>
        </w:rPr>
        <w:t>The bank loan is a buy-to-let interest-only mortgage with Fleet Mortgages Ltd (account number 1100082162), secured by a first legal charge over the company’s investment property at 11 Hatfield Walk, York, YO24 3LX. The loan bears interest at 5.44% per annum (variable rate effective from 1 April 2024). The capital sum is repayable in full at maturity; the remaining term at the balance sheet date is approximately 26 years and 10 months. Total interest charged in the year was £9,455 (2024: not separately disclosed).</w:t>
      </w:r>
    </w:p>
    <w:p>
      <w:pPr>
        <w:spacing w:before="200" w:after="80"/>
      </w:pPr>
      <w:r>
        <w:rPr>
          <w:rFonts w:ascii="Times New Roman" w:hAnsi="Times New Roman"/>
          <w:b/>
          <w:i w:val="0"/>
          <w:sz w:val="20"/>
        </w:rPr>
        <w:t>8.     RESERVES</w:t>
      </w:r>
    </w:p>
    <w:tbl>
      <w:tblPr>
        <w:tblW w:type="auto" w:w="0"/>
        <w:tblLook w:firstColumn="1" w:firstRow="1" w:lastColumn="0" w:lastRow="0" w:noHBand="0" w:noVBand="1" w:val="04A0"/>
      </w:tblPr>
      <w:tblGrid>
        <w:gridCol w:w="4536"/>
        <w:gridCol w:w="4536"/>
      </w:tblGrid>
      <w:tr>
        <w:tc>
          <w:tcPr>
            <w:tcW w:type="dxa" w:w="5669"/>
            <w:tcBorders>
              <w:top w:val="none"/>
              <w:left w:val="none"/>
              <w:bottom w:val="none"/>
              <w:right w:val="none"/>
              <w:insideH w:val="none"/>
              <w:insideV w:val="none"/>
            </w:tcBorders>
            <w:vAlign w:val="center"/>
          </w:tcPr>
          <w:p>
            <w:pPr>
              <w:jc w:val="left"/>
            </w:pPr>
            <w:r>
              <w:rPr>
                <w:rFonts w:ascii="Times New Roman" w:hAnsi="Times New Roman"/>
                <w:b/>
                <w:i w:val="0"/>
                <w:sz w:val="20"/>
              </w:rPr>
            </w:r>
          </w:p>
        </w:tc>
        <w:tc>
          <w:tcPr>
            <w:tcW w:type="dxa" w:w="3402"/>
            <w:tcBorders>
              <w:top w:val="none"/>
              <w:left w:val="none"/>
              <w:bottom w:val="none"/>
              <w:right w:val="none"/>
              <w:insideH w:val="none"/>
              <w:insideV w:val="none"/>
            </w:tcBorders>
            <w:vAlign w:val="center"/>
          </w:tcPr>
          <w:p>
            <w:pPr>
              <w:jc w:val="right"/>
            </w:pPr>
            <w:r>
              <w:rPr>
                <w:rFonts w:ascii="Times New Roman" w:hAnsi="Times New Roman"/>
                <w:b/>
                <w:i w:val="0"/>
                <w:sz w:val="20"/>
              </w:rPr>
              <w:t>Fair value</w:t>
              <w:br/>
              <w:t>reserve</w:t>
              <w:br/>
              <w:t>£</w:t>
            </w:r>
          </w:p>
        </w:tc>
      </w:tr>
      <w:tr>
        <w:tc>
          <w:tcPr>
            <w:tcW w:type="dxa" w:w="5669"/>
            <w:tcBorders>
              <w:top w:val="none"/>
              <w:left w:val="none"/>
              <w:bottom w:val="none"/>
              <w:right w:val="none"/>
              <w:insideH w:val="none"/>
              <w:insideV w:val="none"/>
            </w:tcBorders>
            <w:vAlign w:val="center"/>
          </w:tcPr>
          <w:p>
            <w:pPr>
              <w:jc w:val="left"/>
            </w:pPr>
            <w:r>
              <w:rPr>
                <w:rFonts w:ascii="Times New Roman" w:hAnsi="Times New Roman"/>
                <w:b/>
                <w:i w:val="0"/>
                <w:sz w:val="20"/>
              </w:rPr>
              <w:t>Non-distributable reserve</w:t>
            </w:r>
          </w:p>
        </w:tc>
        <w:tc>
          <w:tcPr>
            <w:tcW w:type="dxa" w:w="3402"/>
            <w:tcBorders>
              <w:top w:val="none"/>
              <w:left w:val="none"/>
              <w:bottom w:val="none"/>
              <w:right w:val="none"/>
              <w:insideH w:val="none"/>
              <w:insideV w:val="none"/>
            </w:tcBorders>
            <w:vAlign w:val="center"/>
          </w:tcPr>
          <w:p>
            <w:pPr>
              <w:jc w:val="right"/>
            </w:pPr>
            <w:r>
              <w:rPr>
                <w:rFonts w:ascii="Times New Roman" w:hAnsi="Times New Roman"/>
                <w:b/>
                <w:i w:val="0"/>
                <w:sz w:val="20"/>
              </w:rPr>
            </w:r>
          </w:p>
        </w:tc>
      </w:tr>
      <w:tr>
        <w:tc>
          <w:tcPr>
            <w:tcW w:type="dxa" w:w="5669"/>
            <w:tcBorders>
              <w:top w:val="none"/>
              <w:left w:val="none"/>
              <w:bottom w:val="none"/>
              <w:right w:val="none"/>
              <w:insideH w:val="none"/>
              <w:insideV w:val="none"/>
            </w:tcBorders>
            <w:vAlign w:val="center"/>
          </w:tcPr>
          <w:p>
            <w:pPr>
              <w:jc w:val="left"/>
            </w:pPr>
            <w:r>
              <w:rPr>
                <w:rFonts w:ascii="Times New Roman" w:hAnsi="Times New Roman"/>
                <w:b w:val="0"/>
                <w:i w:val="0"/>
                <w:sz w:val="20"/>
              </w:rPr>
              <w:t>At 1 April 2024</w:t>
            </w:r>
          </w:p>
        </w:tc>
        <w:tc>
          <w:tcPr>
            <w:tcW w:type="dxa" w:w="3402"/>
            <w:tcBorders>
              <w:top w:val="none"/>
              <w:left w:val="none"/>
              <w:bottom w:val="none"/>
              <w:right w:val="none"/>
              <w:insideH w:val="none"/>
              <w:insideV w:val="none"/>
            </w:tcBorders>
            <w:vAlign w:val="center"/>
          </w:tcPr>
          <w:p>
            <w:pPr>
              <w:jc w:val="right"/>
            </w:pPr>
            <w:r>
              <w:rPr>
                <w:rFonts w:ascii="Times New Roman" w:hAnsi="Times New Roman"/>
                <w:b w:val="0"/>
                <w:i w:val="0"/>
                <w:sz w:val="20"/>
              </w:rPr>
              <w:t>22,546</w:t>
            </w:r>
          </w:p>
        </w:tc>
      </w:tr>
      <w:tr>
        <w:tc>
          <w:tcPr>
            <w:tcW w:type="dxa" w:w="5669"/>
            <w:tcBorders>
              <w:top w:val="none"/>
              <w:left w:val="none"/>
              <w:bottom w:val="none"/>
              <w:right w:val="none"/>
              <w:insideH w:val="none"/>
              <w:insideV w:val="none"/>
            </w:tcBorders>
            <w:vAlign w:val="center"/>
          </w:tcPr>
          <w:p>
            <w:pPr>
              <w:jc w:val="left"/>
            </w:pPr>
            <w:r>
              <w:rPr>
                <w:rFonts w:ascii="Times New Roman" w:hAnsi="Times New Roman"/>
                <w:b w:val="0"/>
                <w:i w:val="0"/>
                <w:sz w:val="20"/>
              </w:rPr>
              <w:t>Movement in year</w:t>
            </w:r>
          </w:p>
        </w:tc>
        <w:tc>
          <w:tcPr>
            <w:tcW w:type="dxa" w:w="3402"/>
            <w:tcBorders>
              <w:top w:val="none"/>
              <w:left w:val="none"/>
              <w:bottom w:val="none"/>
              <w:right w:val="none"/>
              <w:insideH w:val="none"/>
              <w:insideV w:val="none"/>
            </w:tcBorders>
            <w:vAlign w:val="center"/>
          </w:tcPr>
          <w:p>
            <w:pPr>
              <w:jc w:val="right"/>
            </w:pPr>
            <w:r>
              <w:rPr>
                <w:rFonts w:ascii="Times New Roman" w:hAnsi="Times New Roman"/>
                <w:b w:val="0"/>
                <w:i w:val="0"/>
                <w:sz w:val="20"/>
              </w:rPr>
              <w:t>—</w:t>
            </w:r>
          </w:p>
        </w:tc>
      </w:tr>
      <w:tr>
        <w:tc>
          <w:tcPr>
            <w:tcW w:type="dxa" w:w="5669"/>
            <w:tcBorders>
              <w:top w:val="none"/>
              <w:left w:val="none"/>
              <w:bottom w:val="none"/>
              <w:right w:val="none"/>
              <w:insideH w:val="none"/>
              <w:insideV w:val="none"/>
            </w:tcBorders>
            <w:vAlign w:val="center"/>
          </w:tcPr>
          <w:p>
            <w:pPr>
              <w:jc w:val="left"/>
            </w:pPr>
            <w:r>
              <w:rPr>
                <w:rFonts w:ascii="Times New Roman" w:hAnsi="Times New Roman"/>
                <w:b/>
                <w:i w:val="0"/>
                <w:sz w:val="20"/>
              </w:rPr>
              <w:t>At 31 March 2025</w:t>
            </w:r>
          </w:p>
        </w:tc>
        <w:tc>
          <w:tcPr>
            <w:tcW w:type="dxa" w:w="3402"/>
            <w:tcBorders>
              <w:top w:val="none"/>
              <w:left w:val="none"/>
              <w:bottom w:val="none"/>
              <w:right w:val="none"/>
              <w:insideH w:val="none"/>
              <w:insideV w:val="none"/>
            </w:tcBorders>
            <w:vAlign w:val="center"/>
            <w:tcBorders>
              <w:top w:val="single" w:sz="6" w:space="0" w:color="000000"/>
            </w:tcBorders>
            <w:tcBorders>
              <w:bottom w:val="single" w:sz="6" w:space="0" w:color="000000"/>
            </w:tcBorders>
          </w:tcPr>
          <w:p>
            <w:pPr>
              <w:jc w:val="right"/>
            </w:pPr>
            <w:r>
              <w:rPr>
                <w:rFonts w:ascii="Times New Roman" w:hAnsi="Times New Roman"/>
                <w:b/>
                <w:i w:val="0"/>
                <w:sz w:val="20"/>
              </w:rPr>
              <w:t>22,546</w:t>
            </w:r>
          </w:p>
        </w:tc>
      </w:tr>
    </w:tbl>
    <w:p>
      <w:pPr>
        <w:spacing w:before="120" w:after="40"/>
        <w:jc w:val="left"/>
      </w:pPr>
      <w:r>
        <w:rPr>
          <w:rFonts w:ascii="Times New Roman" w:hAnsi="Times New Roman"/>
          <w:b w:val="0"/>
          <w:i w:val="0"/>
          <w:sz w:val="20"/>
        </w:rPr>
        <w:t>The fair value reserve represents the non-distributable cumulative surplus arising on the revaluation of the investment property above historical cost (£225,000 less £202,454 = £22,546), recognised in the year ended 31 March 2024.</w:t>
      </w:r>
    </w:p>
    <w:p>
      <w:pPr>
        <w:spacing w:before="200" w:after="40"/>
      </w:pPr>
      <w:r>
        <w:rPr>
          <w:rFonts w:ascii="Times New Roman" w:hAnsi="Times New Roman"/>
          <w:b/>
          <w:i w:val="0"/>
          <w:sz w:val="20"/>
        </w:rPr>
        <w:t>9.     RELATED PARTY TRANSACTIONS</w:t>
      </w:r>
    </w:p>
    <w:p>
      <w:pPr>
        <w:spacing w:before="40" w:after="40"/>
        <w:jc w:val="left"/>
      </w:pPr>
      <w:r>
        <w:rPr>
          <w:rFonts w:ascii="Times New Roman" w:hAnsi="Times New Roman"/>
          <w:b w:val="0"/>
          <w:i w:val="0"/>
          <w:sz w:val="20"/>
        </w:rPr>
        <w:t>The directors are the sole shareholders of the company. Director loan account balances and movements during the year are disclosed in Note 6. No other related party transactions requiring disclosure under FRS 102 Section 33 have been identified during the year.</w:t>
      </w:r>
    </w:p>
    <w:p>
      <w:pPr>
        <w:spacing w:before="200" w:after="40"/>
      </w:pPr>
      <w:r>
        <w:rPr>
          <w:rFonts w:ascii="Times New Roman" w:hAnsi="Times New Roman"/>
          <w:b/>
          <w:i w:val="0"/>
          <w:sz w:val="20"/>
        </w:rPr>
        <w:t>10.    POST BALANCE SHEET EVENTS</w:t>
      </w:r>
    </w:p>
    <w:p>
      <w:pPr>
        <w:spacing w:before="40" w:after="40"/>
        <w:jc w:val="left"/>
      </w:pPr>
      <w:r>
        <w:rPr>
          <w:rFonts w:ascii="Times New Roman" w:hAnsi="Times New Roman"/>
          <w:b w:val="0"/>
          <w:i w:val="0"/>
          <w:sz w:val="20"/>
        </w:rPr>
        <w:t>There are no post balance sheet events requiring disclosure.</w:t>
      </w:r>
    </w:p>
    <w:p>
      <w:pPr>
        <w:spacing w:before="160"/>
        <w:jc w:val="center"/>
      </w:pPr>
      <w:r>
        <w:rPr>
          <w:rFonts w:ascii="Times New Roman" w:hAnsi="Times New Roman"/>
          <w:b w:val="0"/>
          <w:i/>
          <w:sz w:val="18"/>
        </w:rPr>
        <w:t>The notes form part of these financial statements</w:t>
      </w:r>
    </w:p>
    <w:p>
      <w:pPr>
        <w:jc w:val="center"/>
      </w:pPr>
      <w:r>
        <w:rPr>
          <w:rFonts w:ascii="Times New Roman" w:hAnsi="Times New Roman"/>
          <w:b w:val="0"/>
          <w:i w:val="0"/>
          <w:sz w:val="18"/>
        </w:rPr>
        <w:t>Page 6</w:t>
      </w:r>
    </w:p>
    <w:p>
      <w:r>
        <w:br w:type="page"/>
      </w:r>
    </w:p>
    <w:p>
      <w:pPr>
        <w:spacing w:before="0" w:after="0"/>
      </w:pPr>
      <w:r>
        <w:rPr>
          <w:rFonts w:ascii="Times New Roman" w:hAnsi="Times New Roman"/>
          <w:b/>
          <w:i w:val="0"/>
          <w:sz w:val="20"/>
        </w:rPr>
        <w:t>NELIBURN LTD (REGISTERED NUMBER: 13307297)</w:t>
      </w:r>
    </w:p>
    <w:p>
      <w:pPr>
        <w:spacing w:before="80" w:after="60"/>
      </w:pPr>
      <w:r>
        <w:rPr>
          <w:rFonts w:ascii="Times New Roman" w:hAnsi="Times New Roman"/>
          <w:b/>
          <w:i w:val="0"/>
          <w:sz w:val="20"/>
        </w:rPr>
        <w:t>Directors' Report</w:t>
        <w:br/>
        <w:t>FOR THE YEAR ENDED 31 MARCH 2025</w:t>
      </w:r>
    </w:p>
    <w:p>
      <w:pPr>
        <w:spacing w:before="200" w:after="40"/>
        <w:jc w:val="left"/>
      </w:pPr>
      <w:r>
        <w:rPr>
          <w:rFonts w:ascii="Times New Roman" w:hAnsi="Times New Roman"/>
          <w:b w:val="0"/>
          <w:i w:val="0"/>
          <w:sz w:val="20"/>
        </w:rPr>
        <w:t>The directors present their report for the year ended 31 March 2025. The company’s principal activity during the year was the holding and letting of a single residential investment property at 11 Hatfield Walk, York, YO24 3LX, which was subject to a programme of renovation works during the period April to June 2024 before being let to tenants through Ashtons Lettings &amp; Management from July 2024. The company recorded a loss before taxation of £13,677 for the year (2024: loss of £11,488), principally reflecting renovation expenditure incurred during the void period prior to first letting and the full year’s mortgage interest charge of £9,455. The directors do not recommend the payment of a dividend. The directors who served throughout the year were Mr Owen Neligan, Mrs Frances Neligan and Mrs Verity Winterburn.</w:t>
      </w:r>
    </w:p>
    <w:p/>
    <w:p/>
    <w:p>
      <w:r>
        <w:rPr>
          <w:rFonts w:ascii="Times New Roman" w:hAnsi="Times New Roman"/>
          <w:b w:val="0"/>
          <w:i w:val="0"/>
          <w:sz w:val="20"/>
        </w:rPr>
        <w:t>Signed on behalf of the Board:</w:t>
      </w:r>
    </w:p>
    <w:p/>
    <w:p>
      <w:r>
        <w:rPr>
          <w:rFonts w:ascii="Times New Roman" w:hAnsi="Times New Roman"/>
          <w:b w:val="0"/>
          <w:i w:val="0"/>
          <w:sz w:val="20"/>
        </w:rPr>
        <w:t>Mr Owen Neligan  –  Director</w:t>
      </w:r>
    </w:p>
    <w:p>
      <w:pPr>
        <w:spacing w:before="360"/>
      </w:pPr>
      <w:r>
        <w:rPr>
          <w:rFonts w:ascii="Times New Roman" w:hAnsi="Times New Roman"/>
          <w:b w:val="0"/>
          <w:i w:val="0"/>
          <w:sz w:val="20"/>
        </w:rPr>
        <w:t>Date:  _______________________</w:t>
      </w:r>
    </w:p>
    <w:p>
      <w:pPr>
        <w:spacing w:before="80"/>
      </w:pPr>
      <w:r>
        <w:rPr>
          <w:rFonts w:ascii="Times New Roman" w:hAnsi="Times New Roman"/>
          <w:b w:val="0"/>
          <w:i w:val="0"/>
          <w:sz w:val="20"/>
        </w:rPr>
        <w:t>Registered office: Office LG06, 1 Quality Court, Chancery Lane, London, WC2A 1HR</w:t>
      </w:r>
    </w:p>
    <w:p>
      <w:pPr>
        <w:spacing w:before="400"/>
        <w:jc w:val="center"/>
      </w:pPr>
      <w:r>
        <w:rPr>
          <w:rFonts w:ascii="Times New Roman" w:hAnsi="Times New Roman"/>
          <w:b w:val="0"/>
          <w:i w:val="0"/>
          <w:sz w:val="18"/>
        </w:rPr>
        <w:t>Page 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