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right"/>
      </w:pPr>
      <w:r>
        <w:rPr>
          <w:rFonts w:ascii="Times New Roman" w:hAnsi="Times New Roman"/>
          <w:b/>
          <w:i w:val="0"/>
          <w:sz w:val="20"/>
          <w:u w:val="none"/>
        </w:rPr>
        <w:t>REGISTERED NUMBER: 13307297 (England and Wales)</w:t>
      </w:r>
    </w:p>
    <w:p/>
    <w:p/>
    <w:p/>
    <w:p/>
    <w:p/>
    <w:p/>
    <w:p/>
    <w:p/>
    <w:p/>
    <w:p/>
    <w:p/>
    <w:p/>
    <w:p/>
    <w:p/>
    <w:p>
      <w:pPr>
        <w:spacing w:before="40" w:after="40"/>
        <w:jc w:val="center"/>
      </w:pPr>
      <w:r>
        <w:rPr>
          <w:rFonts w:ascii="Times New Roman" w:hAnsi="Times New Roman"/>
          <w:b/>
          <w:i w:val="0"/>
          <w:sz w:val="22"/>
          <w:u w:val="none"/>
        </w:rPr>
        <w:t>Unaudited Financial Statements for the Year Ended 31 March 2025</w:t>
      </w:r>
    </w:p>
    <w:p>
      <w:pPr>
        <w:spacing w:before="40" w:after="40"/>
        <w:jc w:val="center"/>
      </w:pPr>
      <w:r>
        <w:rPr>
          <w:rFonts w:ascii="Times New Roman" w:hAnsi="Times New Roman"/>
          <w:b w:val="0"/>
          <w:i w:val="0"/>
          <w:sz w:val="22"/>
          <w:u w:val="none"/>
        </w:rPr>
        <w:t>for</w:t>
      </w:r>
    </w:p>
    <w:p>
      <w:pPr>
        <w:spacing w:before="40" w:after="40"/>
        <w:jc w:val="center"/>
      </w:pPr>
      <w:r>
        <w:rPr>
          <w:rFonts w:ascii="Times New Roman" w:hAnsi="Times New Roman"/>
          <w:b/>
          <w:i w:val="0"/>
          <w:sz w:val="24"/>
          <w:u w:val="none"/>
        </w:rPr>
        <w:t>NELIBURN LTD</w:t>
      </w:r>
    </w:p>
    <w:p>
      <w:r>
        <w:br w:type="page"/>
      </w:r>
    </w:p>
    <w:p>
      <w:pPr>
        <w:spacing w:before="0"/>
        <w:jc w:val="left"/>
      </w:pPr>
      <w:r>
        <w:rPr>
          <w:rFonts w:ascii="Times New Roman" w:hAnsi="Times New Roman"/>
          <w:b/>
          <w:i w:val="0"/>
          <w:sz w:val="20"/>
          <w:u w:val="none"/>
        </w:rPr>
        <w:t>NELIBURN LTD (REGISTERED NUMBER: 13307297)</w:t>
      </w:r>
    </w:p>
    <w:p>
      <w:pPr>
        <w:spacing w:before="160" w:after="80"/>
        <w:jc w:val="left"/>
      </w:pPr>
      <w:r>
        <w:rPr>
          <w:rFonts w:ascii="Times New Roman" w:hAnsi="Times New Roman"/>
          <w:b/>
          <w:i w:val="0"/>
          <w:sz w:val="20"/>
          <w:u w:val="none"/>
        </w:rPr>
        <w:t>Contents of the Financial Statements</w:t>
        <w:br/>
        <w:t>FOR THE YEAR ENDED 31 MARCH 2025</w:t>
      </w:r>
    </w:p>
    <w:tbl>
      <w:tblPr>
        <w:tblW w:type="auto" w:w="0"/>
        <w:jc w:val="left"/>
        <w:tblLook w:firstColumn="1" w:firstRow="1" w:lastColumn="0" w:lastRow="0" w:noHBand="0" w:noVBand="1" w:val="04A0"/>
      </w:tblPr>
      <w:tblGrid>
        <w:gridCol w:w="4536"/>
        <w:gridCol w:w="4536"/>
      </w:tblGrid>
      <w:tr>
        <w:tc>
          <w:tcPr>
            <w:tcW w:type="dxa" w:w="6803"/>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2268"/>
            <w:tcBorders>
              <w:top w:val="none"/>
              <w:left w:val="none"/>
              <w:bottom w:val="none"/>
              <w:right w:val="none"/>
              <w:insideH w:val="none"/>
              <w:insideV w:val="none"/>
            </w:tcBorders>
            <w:vAlign w:val="center"/>
          </w:tcPr>
          <w:p>
            <w:pPr>
              <w:jc w:val="center"/>
            </w:pPr>
            <w:r>
              <w:rPr>
                <w:rFonts w:ascii="Times New Roman" w:hAnsi="Times New Roman"/>
                <w:b/>
                <w:i w:val="0"/>
                <w:sz w:val="20"/>
                <w:u w:val="none"/>
              </w:rPr>
              <w:t>Page</w:t>
            </w:r>
          </w:p>
        </w:tc>
      </w:tr>
      <w:tr>
        <w:tc>
          <w:tcPr>
            <w:tcW w:type="dxa" w:w="6803"/>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Company Information</w:t>
            </w:r>
          </w:p>
        </w:tc>
        <w:tc>
          <w:tcPr>
            <w:tcW w:type="dxa" w:w="2268"/>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1</w:t>
            </w:r>
          </w:p>
        </w:tc>
      </w:tr>
      <w:tr>
        <w:tc>
          <w:tcPr>
            <w:tcW w:type="dxa" w:w="6803"/>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Balance Sheet</w:t>
            </w:r>
          </w:p>
        </w:tc>
        <w:tc>
          <w:tcPr>
            <w:tcW w:type="dxa" w:w="2268"/>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2</w:t>
            </w:r>
          </w:p>
        </w:tc>
      </w:tr>
      <w:tr>
        <w:tc>
          <w:tcPr>
            <w:tcW w:type="dxa" w:w="6803"/>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Notes to the Financial Statements</w:t>
            </w:r>
          </w:p>
        </w:tc>
        <w:tc>
          <w:tcPr>
            <w:tcW w:type="dxa" w:w="2268"/>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4</w:t>
            </w:r>
          </w:p>
        </w:tc>
      </w:tr>
      <w:tr>
        <w:tc>
          <w:tcPr>
            <w:tcW w:type="dxa" w:w="6803"/>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Directors' Report</w:t>
            </w:r>
          </w:p>
        </w:tc>
        <w:tc>
          <w:tcPr>
            <w:tcW w:type="dxa" w:w="2268"/>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6</w:t>
            </w:r>
          </w:p>
        </w:tc>
      </w:tr>
    </w:tbl>
    <w:p>
      <w:r>
        <w:br w:type="page"/>
      </w:r>
    </w:p>
    <w:p>
      <w:r>
        <w:rPr>
          <w:rFonts w:ascii="Times New Roman" w:hAnsi="Times New Roman"/>
          <w:b/>
          <w:i w:val="0"/>
          <w:sz w:val="20"/>
          <w:u w:val="none"/>
        </w:rPr>
        <w:t>NELIBURN LTD</w:t>
      </w:r>
    </w:p>
    <w:p>
      <w:pPr>
        <w:spacing w:before="80" w:after="80"/>
        <w:jc w:val="left"/>
      </w:pPr>
      <w:r>
        <w:rPr>
          <w:rFonts w:ascii="Times New Roman" w:hAnsi="Times New Roman"/>
          <w:b/>
          <w:i w:val="0"/>
          <w:sz w:val="20"/>
          <w:u w:val="none"/>
        </w:rPr>
        <w:t>Company Information</w:t>
        <w:br/>
        <w:t>FOR THE YEAR ENDED 31 MARCH 2025</w:t>
      </w:r>
    </w:p>
    <w:p/>
    <w:p/>
    <w:tbl>
      <w:tblPr>
        <w:tblW w:type="auto" w:w="0"/>
        <w:jc w:val="center"/>
        <w:tblLook w:firstColumn="1" w:firstRow="1" w:lastColumn="0" w:lastRow="0" w:noHBand="0" w:noVBand="1" w:val="04A0"/>
      </w:tblPr>
      <w:tblGrid>
        <w:gridCol w:w="4536"/>
        <w:gridCol w:w="4536"/>
      </w:tblGrid>
      <w:tr>
        <w:tc>
          <w:tcPr>
            <w:tcW w:type="dxa" w:w="2835"/>
            <w:tcBorders>
              <w:top w:val="none"/>
              <w:left w:val="none"/>
              <w:bottom w:val="none"/>
              <w:right w:val="none"/>
              <w:insideH w:val="none"/>
              <w:insideV w:val="none"/>
            </w:tcBorders>
            <w:vAlign w:val="center"/>
          </w:tcPr>
          <w:p>
            <w:pPr>
              <w:jc w:val="left"/>
            </w:pPr>
            <w:r>
              <w:rPr>
                <w:rFonts w:ascii="Times New Roman" w:hAnsi="Times New Roman"/>
                <w:b/>
                <w:i w:val="0"/>
                <w:sz w:val="20"/>
                <w:u w:val="none"/>
              </w:rPr>
              <w:t>DIRECTORS:</w:t>
            </w:r>
          </w:p>
        </w:tc>
        <w:tc>
          <w:tcPr>
            <w:tcW w:type="dxa" w:w="6236"/>
            <w:tcBorders>
              <w:top w:val="none"/>
              <w:left w:val="none"/>
              <w:bottom w:val="none"/>
              <w:right w:val="none"/>
              <w:insideH w:val="none"/>
              <w:insideV w:val="none"/>
            </w:tcBorders>
          </w:tcPr>
          <w:p>
            <w:r>
              <w:rPr>
                <w:rFonts w:ascii="Times New Roman" w:hAnsi="Times New Roman"/>
                <w:b w:val="0"/>
                <w:i w:val="0"/>
                <w:sz w:val="20"/>
                <w:u w:val="none"/>
              </w:rPr>
              <w:t>Mr Owen Neligan</w:t>
            </w:r>
          </w:p>
          <w:p>
            <w:r>
              <w:rPr>
                <w:rFonts w:ascii="Times New Roman" w:hAnsi="Times New Roman"/>
                <w:b w:val="0"/>
                <w:i w:val="0"/>
                <w:sz w:val="20"/>
                <w:u w:val="none"/>
              </w:rPr>
              <w:t>Mrs Frances Neligan</w:t>
            </w:r>
            <w:r>
              <w:rPr>
                <w:rFonts w:ascii="Times New Roman" w:hAnsi="Times New Roman"/>
                <w:b w:val="0"/>
                <w:i w:val="0"/>
                <w:sz w:val="20"/>
                <w:u w:val="none"/>
              </w:rPr>
            </w:r>
          </w:p>
          <w:p>
            <w:r>
              <w:rPr>
                <w:rFonts w:ascii="Times New Roman" w:hAnsi="Times New Roman"/>
                <w:b w:val="0"/>
                <w:i w:val="0"/>
                <w:sz w:val="20"/>
                <w:u w:val="none"/>
              </w:rPr>
              <w:t>Mrs Verity Winterburn</w:t>
            </w:r>
            <w:r>
              <w:rPr>
                <w:rFonts w:ascii="Times New Roman" w:hAnsi="Times New Roman"/>
                <w:b w:val="0"/>
                <w:i w:val="0"/>
                <w:sz w:val="20"/>
                <w:u w:val="none"/>
              </w:rPr>
            </w:r>
          </w:p>
        </w:tc>
      </w:tr>
    </w:tbl>
    <w:p/>
    <w:tbl>
      <w:tblPr>
        <w:tblW w:type="auto" w:w="0"/>
        <w:jc w:val="center"/>
        <w:tblLook w:firstColumn="1" w:firstRow="1" w:lastColumn="0" w:lastRow="0" w:noHBand="0" w:noVBand="1" w:val="04A0"/>
      </w:tblPr>
      <w:tblGrid>
        <w:gridCol w:w="4536"/>
        <w:gridCol w:w="4536"/>
      </w:tblGrid>
      <w:tr>
        <w:tc>
          <w:tcPr>
            <w:tcW w:type="dxa" w:w="2835"/>
            <w:tcBorders>
              <w:top w:val="none"/>
              <w:left w:val="none"/>
              <w:bottom w:val="none"/>
              <w:right w:val="none"/>
              <w:insideH w:val="none"/>
              <w:insideV w:val="none"/>
            </w:tcBorders>
            <w:vAlign w:val="center"/>
          </w:tcPr>
          <w:p>
            <w:pPr>
              <w:jc w:val="left"/>
            </w:pPr>
            <w:r>
              <w:rPr>
                <w:rFonts w:ascii="Times New Roman" w:hAnsi="Times New Roman"/>
                <w:b/>
                <w:i w:val="0"/>
                <w:sz w:val="20"/>
                <w:u w:val="none"/>
              </w:rPr>
              <w:t>REGISTERED OFFICE:</w:t>
            </w:r>
          </w:p>
        </w:tc>
        <w:tc>
          <w:tcPr>
            <w:tcW w:type="dxa" w:w="6236"/>
            <w:tcBorders>
              <w:top w:val="none"/>
              <w:left w:val="none"/>
              <w:bottom w:val="none"/>
              <w:right w:val="none"/>
              <w:insideH w:val="none"/>
              <w:insideV w:val="none"/>
            </w:tcBorders>
          </w:tcPr>
          <w:p>
            <w:r>
              <w:rPr>
                <w:rFonts w:ascii="Times New Roman" w:hAnsi="Times New Roman"/>
                <w:b w:val="0"/>
                <w:i w:val="0"/>
                <w:sz w:val="20"/>
                <w:u w:val="none"/>
              </w:rPr>
              <w:t>Office LG06, 1 Quality Court</w:t>
            </w:r>
          </w:p>
          <w:p>
            <w:r>
              <w:rPr>
                <w:rFonts w:ascii="Times New Roman" w:hAnsi="Times New Roman"/>
                <w:b w:val="0"/>
                <w:i w:val="0"/>
                <w:sz w:val="20"/>
                <w:u w:val="none"/>
              </w:rPr>
              <w:t>Chancery Lane</w:t>
            </w:r>
            <w:r>
              <w:rPr>
                <w:rFonts w:ascii="Times New Roman" w:hAnsi="Times New Roman"/>
                <w:b w:val="0"/>
                <w:i w:val="0"/>
                <w:sz w:val="20"/>
                <w:u w:val="none"/>
              </w:rPr>
            </w:r>
          </w:p>
          <w:p>
            <w:r>
              <w:rPr>
                <w:rFonts w:ascii="Times New Roman" w:hAnsi="Times New Roman"/>
                <w:b w:val="0"/>
                <w:i w:val="0"/>
                <w:sz w:val="20"/>
                <w:u w:val="none"/>
              </w:rPr>
              <w:t>London</w:t>
            </w:r>
            <w:r>
              <w:rPr>
                <w:rFonts w:ascii="Times New Roman" w:hAnsi="Times New Roman"/>
                <w:b w:val="0"/>
                <w:i w:val="0"/>
                <w:sz w:val="20"/>
                <w:u w:val="none"/>
              </w:rPr>
            </w:r>
          </w:p>
          <w:p>
            <w:r>
              <w:rPr>
                <w:rFonts w:ascii="Times New Roman" w:hAnsi="Times New Roman"/>
                <w:b w:val="0"/>
                <w:i w:val="0"/>
                <w:sz w:val="20"/>
                <w:u w:val="none"/>
              </w:rPr>
              <w:t>United Kingdom</w:t>
            </w:r>
            <w:r>
              <w:rPr>
                <w:rFonts w:ascii="Times New Roman" w:hAnsi="Times New Roman"/>
                <w:b w:val="0"/>
                <w:i w:val="0"/>
                <w:sz w:val="20"/>
                <w:u w:val="none"/>
              </w:rPr>
            </w:r>
          </w:p>
          <w:p>
            <w:r>
              <w:rPr>
                <w:rFonts w:ascii="Times New Roman" w:hAnsi="Times New Roman"/>
                <w:b w:val="0"/>
                <w:i w:val="0"/>
                <w:sz w:val="20"/>
                <w:u w:val="none"/>
              </w:rPr>
              <w:t>WC2A 1HR</w:t>
            </w:r>
            <w:r>
              <w:rPr>
                <w:rFonts w:ascii="Times New Roman" w:hAnsi="Times New Roman"/>
                <w:b w:val="0"/>
                <w:i w:val="0"/>
                <w:sz w:val="20"/>
                <w:u w:val="none"/>
              </w:rPr>
            </w:r>
          </w:p>
        </w:tc>
      </w:tr>
    </w:tbl>
    <w:p/>
    <w:tbl>
      <w:tblPr>
        <w:tblW w:type="auto" w:w="0"/>
        <w:jc w:val="center"/>
        <w:tblLook w:firstColumn="1" w:firstRow="1" w:lastColumn="0" w:lastRow="0" w:noHBand="0" w:noVBand="1" w:val="04A0"/>
      </w:tblPr>
      <w:tblGrid>
        <w:gridCol w:w="4536"/>
        <w:gridCol w:w="4536"/>
      </w:tblGrid>
      <w:tr>
        <w:tc>
          <w:tcPr>
            <w:tcW w:type="dxa" w:w="2835"/>
            <w:tcBorders>
              <w:top w:val="none"/>
              <w:left w:val="none"/>
              <w:bottom w:val="none"/>
              <w:right w:val="none"/>
              <w:insideH w:val="none"/>
              <w:insideV w:val="none"/>
            </w:tcBorders>
            <w:vAlign w:val="center"/>
          </w:tcPr>
          <w:p>
            <w:pPr>
              <w:jc w:val="left"/>
            </w:pPr>
            <w:r>
              <w:rPr>
                <w:rFonts w:ascii="Times New Roman" w:hAnsi="Times New Roman"/>
                <w:b/>
                <w:i w:val="0"/>
                <w:sz w:val="20"/>
                <w:u w:val="none"/>
              </w:rPr>
              <w:t>REGISTERED NUMBER:</w:t>
            </w:r>
          </w:p>
        </w:tc>
        <w:tc>
          <w:tcPr>
            <w:tcW w:type="dxa" w:w="6236"/>
            <w:tcBorders>
              <w:top w:val="none"/>
              <w:left w:val="none"/>
              <w:bottom w:val="none"/>
              <w:right w:val="none"/>
              <w:insideH w:val="none"/>
              <w:insideV w:val="none"/>
            </w:tcBorders>
          </w:tcPr>
          <w:p>
            <w:r>
              <w:rPr>
                <w:rFonts w:ascii="Times New Roman" w:hAnsi="Times New Roman"/>
                <w:b w:val="0"/>
                <w:i w:val="0"/>
                <w:sz w:val="20"/>
                <w:u w:val="none"/>
              </w:rPr>
              <w:t>13307297 (England and Wales)</w:t>
            </w:r>
          </w:p>
        </w:tc>
      </w:tr>
    </w:tbl>
    <w:p/>
    <w:tbl>
      <w:tblPr>
        <w:tblW w:type="auto" w:w="0"/>
        <w:jc w:val="center"/>
        <w:tblLook w:firstColumn="1" w:firstRow="1" w:lastColumn="0" w:lastRow="0" w:noHBand="0" w:noVBand="1" w:val="04A0"/>
      </w:tblPr>
      <w:tblGrid>
        <w:gridCol w:w="4536"/>
        <w:gridCol w:w="4536"/>
      </w:tblGrid>
      <w:tr>
        <w:tc>
          <w:tcPr>
            <w:tcW w:type="dxa" w:w="2835"/>
            <w:tcBorders>
              <w:top w:val="none"/>
              <w:left w:val="none"/>
              <w:bottom w:val="none"/>
              <w:right w:val="none"/>
              <w:insideH w:val="none"/>
              <w:insideV w:val="none"/>
            </w:tcBorders>
            <w:vAlign w:val="center"/>
          </w:tcPr>
          <w:p>
            <w:pPr>
              <w:jc w:val="left"/>
            </w:pPr>
            <w:r>
              <w:rPr>
                <w:rFonts w:ascii="Times New Roman" w:hAnsi="Times New Roman"/>
                <w:b/>
                <w:i w:val="0"/>
                <w:sz w:val="20"/>
                <w:u w:val="none"/>
              </w:rPr>
              <w:t>ACCOUNTANTS:</w:t>
            </w:r>
          </w:p>
        </w:tc>
        <w:tc>
          <w:tcPr>
            <w:tcW w:type="dxa" w:w="6236"/>
            <w:tcBorders>
              <w:top w:val="none"/>
              <w:left w:val="none"/>
              <w:bottom w:val="none"/>
              <w:right w:val="none"/>
              <w:insideH w:val="none"/>
              <w:insideV w:val="none"/>
            </w:tcBorders>
          </w:tcPr>
          <w:p>
            <w:r>
              <w:rPr>
                <w:rFonts w:ascii="Times New Roman" w:hAnsi="Times New Roman"/>
                <w:b w:val="0"/>
                <w:i w:val="0"/>
                <w:sz w:val="20"/>
                <w:u w:val="none"/>
              </w:rPr>
              <w:t>Silver Arc</w:t>
            </w:r>
          </w:p>
          <w:p>
            <w:r>
              <w:rPr>
                <w:rFonts w:ascii="Times New Roman" w:hAnsi="Times New Roman"/>
                <w:b w:val="0"/>
                <w:i w:val="0"/>
                <w:sz w:val="20"/>
                <w:u w:val="none"/>
              </w:rPr>
              <w:t>Chartered Certified Accountants</w:t>
            </w:r>
            <w:r>
              <w:rPr>
                <w:rFonts w:ascii="Times New Roman" w:hAnsi="Times New Roman"/>
                <w:b w:val="0"/>
                <w:i w:val="0"/>
                <w:sz w:val="20"/>
                <w:u w:val="none"/>
              </w:rPr>
            </w:r>
          </w:p>
          <w:p>
            <w:r>
              <w:rPr>
                <w:rFonts w:ascii="Times New Roman" w:hAnsi="Times New Roman"/>
                <w:b w:val="0"/>
                <w:i w:val="0"/>
                <w:sz w:val="20"/>
                <w:u w:val="none"/>
              </w:rPr>
              <w:t>1 Quality Court</w:t>
            </w:r>
            <w:r>
              <w:rPr>
                <w:rFonts w:ascii="Times New Roman" w:hAnsi="Times New Roman"/>
                <w:b w:val="0"/>
                <w:i w:val="0"/>
                <w:sz w:val="20"/>
                <w:u w:val="none"/>
              </w:rPr>
            </w:r>
          </w:p>
          <w:p>
            <w:r>
              <w:rPr>
                <w:rFonts w:ascii="Times New Roman" w:hAnsi="Times New Roman"/>
                <w:b w:val="0"/>
                <w:i w:val="0"/>
                <w:sz w:val="20"/>
                <w:u w:val="none"/>
              </w:rPr>
              <w:t>Chancery Lane</w:t>
            </w:r>
            <w:r>
              <w:rPr>
                <w:rFonts w:ascii="Times New Roman" w:hAnsi="Times New Roman"/>
                <w:b w:val="0"/>
                <w:i w:val="0"/>
                <w:sz w:val="20"/>
                <w:u w:val="none"/>
              </w:rPr>
            </w:r>
          </w:p>
          <w:p>
            <w:r>
              <w:rPr>
                <w:rFonts w:ascii="Times New Roman" w:hAnsi="Times New Roman"/>
                <w:b w:val="0"/>
                <w:i w:val="0"/>
                <w:sz w:val="20"/>
                <w:u w:val="none"/>
              </w:rPr>
              <w:t>London</w:t>
            </w:r>
            <w:r>
              <w:rPr>
                <w:rFonts w:ascii="Times New Roman" w:hAnsi="Times New Roman"/>
                <w:b w:val="0"/>
                <w:i w:val="0"/>
                <w:sz w:val="20"/>
                <w:u w:val="none"/>
              </w:rPr>
            </w:r>
          </w:p>
          <w:p>
            <w:r>
              <w:rPr>
                <w:rFonts w:ascii="Times New Roman" w:hAnsi="Times New Roman"/>
                <w:b w:val="0"/>
                <w:i w:val="0"/>
                <w:sz w:val="20"/>
                <w:u w:val="none"/>
              </w:rPr>
              <w:t>WC2A 1HR</w:t>
            </w:r>
            <w:r>
              <w:rPr>
                <w:rFonts w:ascii="Times New Roman" w:hAnsi="Times New Roman"/>
                <w:b w:val="0"/>
                <w:i w:val="0"/>
                <w:sz w:val="20"/>
                <w:u w:val="none"/>
              </w:rPr>
            </w:r>
          </w:p>
        </w:tc>
      </w:tr>
    </w:tbl>
    <w:p/>
    <w:p>
      <w:pPr>
        <w:spacing w:before="600"/>
        <w:jc w:val="center"/>
      </w:pPr>
      <w:r>
        <w:rPr>
          <w:rFonts w:ascii="Times New Roman" w:hAnsi="Times New Roman"/>
          <w:b w:val="0"/>
          <w:i w:val="0"/>
          <w:sz w:val="18"/>
          <w:u w:val="none"/>
        </w:rPr>
        <w:t>Page 1</w:t>
      </w:r>
    </w:p>
    <w:p>
      <w:r>
        <w:br w:type="page"/>
      </w:r>
    </w:p>
    <w:p>
      <w:r>
        <w:rPr>
          <w:rFonts w:ascii="Times New Roman" w:hAnsi="Times New Roman"/>
          <w:b/>
          <w:i w:val="0"/>
          <w:sz w:val="20"/>
          <w:u w:val="none"/>
        </w:rPr>
        <w:t>NELIBURN LTD (REGISTERED NUMBER: 13307297)</w:t>
      </w:r>
    </w:p>
    <w:p>
      <w:pPr>
        <w:spacing w:before="80" w:after="80"/>
        <w:jc w:val="left"/>
      </w:pPr>
      <w:r>
        <w:rPr>
          <w:rFonts w:ascii="Times New Roman" w:hAnsi="Times New Roman"/>
          <w:b/>
          <w:i w:val="0"/>
          <w:sz w:val="20"/>
          <w:u w:val="none"/>
        </w:rPr>
        <w:t>Balance Sheet</w:t>
        <w:br/>
        <w:t>31 MARCH 2025</w:t>
      </w:r>
    </w:p>
    <w:tbl>
      <w:tblPr>
        <w:tblW w:type="auto" w:w="0"/>
        <w:jc w:val="left"/>
        <w:tblLook w:firstColumn="1" w:firstRow="1" w:lastColumn="0" w:lastRow="0" w:noHBand="0" w:noVBand="1" w:val="04A0"/>
      </w:tblPr>
      <w:tblGrid>
        <w:gridCol w:w="1512"/>
        <w:gridCol w:w="1512"/>
        <w:gridCol w:w="1512"/>
        <w:gridCol w:w="1512"/>
        <w:gridCol w:w="1512"/>
        <w:gridCol w:w="1512"/>
      </w:tblGrid>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Notes</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t>31/3/25</w:t>
              <w:br/>
              <w:t>£</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t>31/3/24</w:t>
              <w:br/>
              <w:t>£</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FIXED ASSETS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Investment property</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4</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225,000</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225,000</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CURRENT ASSETS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Debtors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5</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3,874</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4,915</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Cash at bank and in hand</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3,796</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27,110</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7,670</w:t>
            </w:r>
          </w:p>
        </w:tc>
        <w:tc>
          <w:tcPr>
            <w:tcW w:type="dxa" w:w="1134"/>
            <w:tcBorders>
              <w:top w:val="none"/>
              <w:left w:val="none"/>
              <w:bottom w:val="none"/>
              <w:right w:val="none"/>
              <w:insideH w:val="none"/>
              <w:insideV w:val="none"/>
            </w:tcBorders>
            <w:vAlign w:val="center"/>
            <w:tcBorders>
              <w:top w:val="single" w:sz="6" w:space="0" w:color="000000"/>
            </w:tcBorders>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32,025</w:t>
            </w:r>
          </w:p>
        </w:tc>
        <w:tc>
          <w:tcPr>
            <w:tcW w:type="dxa" w:w="1134"/>
            <w:tcBorders>
              <w:top w:val="none"/>
              <w:left w:val="none"/>
              <w:bottom w:val="none"/>
              <w:right w:val="none"/>
              <w:insideH w:val="none"/>
              <w:insideV w:val="none"/>
            </w:tcBorders>
            <w:vAlign w:val="center"/>
            <w:tcBorders>
              <w:top w:val="single" w:sz="6" w:space="0" w:color="000000"/>
            </w:tcBorders>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CREDITORS: Amounts falling due within one year</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6</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(68,436)</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(79,114)</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NET CURRENT LIABILITIES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t>(60,766)</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t>(47,089)</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TOTAL ASSETS LESS CURRENT LIABILITIES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i w:val="0"/>
                <w:sz w:val="20"/>
                <w:u w:val="none"/>
              </w:rPr>
              <w:t>164,234</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i w:val="0"/>
                <w:sz w:val="20"/>
                <w:u w:val="none"/>
              </w:rPr>
              <w:t>177,911</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CREDITORS: Amounts falling due after more than one year</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7</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(173,791)</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(173,791)</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NET LIABILITIES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i w:val="0"/>
                <w:sz w:val="20"/>
                <w:u w:val="none"/>
              </w:rPr>
              <w:t>(9,557)</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i w:val="0"/>
                <w:sz w:val="20"/>
                <w:u w:val="none"/>
              </w:rPr>
              <w:t>4,120</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CAPITAL AND RESERVES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Called up share capital</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3</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3</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Fair value reserve</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t>8</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22,546</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22,546</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Retained earnings</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(32,106)</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(18,429)</w:t>
            </w:r>
          </w:p>
        </w:tc>
      </w:tr>
      <w:tr>
        <w:tc>
          <w:tcPr>
            <w:tcW w:type="dxa" w:w="4252"/>
            <w:tcBorders>
              <w:top w:val="none"/>
              <w:left w:val="none"/>
              <w:bottom w:val="none"/>
              <w:right w:val="none"/>
              <w:insideH w:val="none"/>
              <w:insideV w:val="none"/>
            </w:tcBorders>
            <w:vAlign w:val="center"/>
          </w:tcPr>
          <w:p>
            <w:pPr>
              <w:jc w:val="left"/>
            </w:pPr>
            <w:r>
              <w:rPr>
                <w:rFonts w:ascii="Times New Roman" w:hAnsi="Times New Roman"/>
                <w:b/>
                <w:i w:val="0"/>
                <w:sz w:val="20"/>
                <w:u w:val="none"/>
              </w:rPr>
              <w:t>TOTAL EQUITY</w:t>
            </w:r>
          </w:p>
        </w:tc>
        <w:tc>
          <w:tcPr>
            <w:tcW w:type="dxa" w:w="567"/>
            <w:tcBorders>
              <w:top w:val="none"/>
              <w:left w:val="none"/>
              <w:bottom w:val="none"/>
              <w:right w:val="none"/>
              <w:insideH w:val="none"/>
              <w:insideV w:val="none"/>
            </w:tcBorders>
            <w:vAlign w:val="center"/>
          </w:tcPr>
          <w:p>
            <w:pPr>
              <w:jc w:val="center"/>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Borders>
              <w:top w:val="single" w:sz="6" w:space="0" w:color="000000"/>
            </w:tcBorders>
            <w:tcBorders>
              <w:bottom w:val="double" w:sz="6" w:space="0" w:color="000000"/>
            </w:tcBorders>
          </w:tcPr>
          <w:p>
            <w:pPr>
              <w:jc w:val="right"/>
            </w:pPr>
            <w:r>
              <w:rPr>
                <w:rFonts w:ascii="Times New Roman" w:hAnsi="Times New Roman"/>
                <w:b/>
                <w:i w:val="0"/>
                <w:sz w:val="20"/>
                <w:u w:val="none"/>
              </w:rPr>
              <w:t>(9,557)</w:t>
            </w:r>
          </w:p>
        </w:tc>
        <w:tc>
          <w:tcPr>
            <w:tcW w:type="dxa" w:w="1134"/>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1134"/>
            <w:tcBorders>
              <w:top w:val="none"/>
              <w:left w:val="none"/>
              <w:bottom w:val="none"/>
              <w:right w:val="none"/>
              <w:insideH w:val="none"/>
              <w:insideV w:val="none"/>
            </w:tcBorders>
            <w:vAlign w:val="center"/>
            <w:tcBorders>
              <w:top w:val="single" w:sz="6" w:space="0" w:color="000000"/>
            </w:tcBorders>
            <w:tcBorders>
              <w:bottom w:val="double" w:sz="6" w:space="0" w:color="000000"/>
            </w:tcBorders>
          </w:tcPr>
          <w:p>
            <w:pPr>
              <w:jc w:val="right"/>
            </w:pPr>
            <w:r>
              <w:rPr>
                <w:rFonts w:ascii="Times New Roman" w:hAnsi="Times New Roman"/>
                <w:b/>
                <w:i w:val="0"/>
                <w:sz w:val="20"/>
                <w:u w:val="none"/>
              </w:rPr>
              <w:t>4,120</w:t>
            </w:r>
          </w:p>
        </w:tc>
      </w:tr>
    </w:tbl>
    <w:p/>
    <w:p>
      <w:pPr>
        <w:spacing w:before="40" w:after="40"/>
      </w:pPr>
      <w:r>
        <w:rPr>
          <w:rFonts w:ascii="Times New Roman" w:hAnsi="Times New Roman"/>
          <w:b w:val="0"/>
          <w:i w:val="0"/>
          <w:sz w:val="18"/>
          <w:u w:val="none"/>
        </w:rPr>
        <w:t>The company is entitled to exemption from audit under Section 477 of the Companies Act 2006 for the year ended 31 March 2025.</w:t>
      </w:r>
    </w:p>
    <w:p>
      <w:pPr>
        <w:spacing w:before="40" w:after="40"/>
      </w:pPr>
      <w:r>
        <w:rPr>
          <w:rFonts w:ascii="Times New Roman" w:hAnsi="Times New Roman"/>
          <w:b w:val="0"/>
          <w:i w:val="0"/>
          <w:sz w:val="18"/>
          <w:u w:val="none"/>
        </w:rPr>
      </w:r>
    </w:p>
    <w:p>
      <w:pPr>
        <w:spacing w:before="40" w:after="40"/>
      </w:pPr>
      <w:r>
        <w:rPr>
          <w:rFonts w:ascii="Times New Roman" w:hAnsi="Times New Roman"/>
          <w:b w:val="0"/>
          <w:i w:val="0"/>
          <w:sz w:val="18"/>
          <w:u w:val="none"/>
        </w:rPr>
        <w:t>The members have not required the company to obtain an audit of its financial statements for the year ended 31 March 2025 in accordance with Section 476 of the Companies Act 2006.</w:t>
      </w:r>
    </w:p>
    <w:p>
      <w:pPr>
        <w:spacing w:before="40" w:after="40"/>
      </w:pPr>
      <w:r>
        <w:rPr>
          <w:rFonts w:ascii="Times New Roman" w:hAnsi="Times New Roman"/>
          <w:b w:val="0"/>
          <w:i w:val="0"/>
          <w:sz w:val="18"/>
          <w:u w:val="none"/>
        </w:rPr>
      </w:r>
    </w:p>
    <w:p>
      <w:pPr>
        <w:spacing w:before="40" w:after="40"/>
      </w:pPr>
      <w:r>
        <w:rPr>
          <w:rFonts w:ascii="Times New Roman" w:hAnsi="Times New Roman"/>
          <w:b w:val="0"/>
          <w:i w:val="0"/>
          <w:sz w:val="18"/>
          <w:u w:val="none"/>
        </w:rPr>
        <w:t>The directors acknowledge their responsibilities for:</w:t>
      </w:r>
    </w:p>
    <w:p>
      <w:pPr>
        <w:spacing w:before="40" w:after="40"/>
        <w:ind w:left="397"/>
      </w:pPr>
      <w:r>
        <w:rPr>
          <w:rFonts w:ascii="Times New Roman" w:hAnsi="Times New Roman"/>
          <w:b w:val="0"/>
          <w:i w:val="0"/>
          <w:sz w:val="18"/>
          <w:u w:val="none"/>
        </w:rPr>
        <w:t>(a)  ensuring that the company keeps accounting records which comply with Sections 386 and 387 of the Companies Act 2006; and</w:t>
      </w:r>
    </w:p>
    <w:p>
      <w:pPr>
        <w:spacing w:before="40" w:after="40"/>
        <w:ind w:left="397"/>
      </w:pPr>
      <w:r>
        <w:rPr>
          <w:rFonts w:ascii="Times New Roman" w:hAnsi="Times New Roman"/>
          <w:b w:val="0"/>
          <w:i w:val="0"/>
          <w:sz w:val="18"/>
          <w:u w:val="none"/>
        </w:rPr>
        <w:t>(b)  preparing financial statements which give a true and fair view of the state of affairs of the company as at the end of each financial year and of its profit or loss for each financial year in accordance with the requirements of Sections 394 and 395 and which otherwise comply with the requirements of the Companies Act 2006 relating to financial statements, so far as applicable to the company.</w:t>
      </w:r>
    </w:p>
    <w:p>
      <w:pPr>
        <w:spacing w:before="160"/>
      </w:pPr>
      <w:r>
        <w:rPr>
          <w:rFonts w:ascii="Times New Roman" w:hAnsi="Times New Roman"/>
          <w:b w:val="0"/>
          <w:i w:val="0"/>
          <w:sz w:val="18"/>
          <w:u w:val="none"/>
        </w:rPr>
        <w:t>The financial statements have been prepared and delivered in accordance with the provisions applicable to companies subject to the small companies regime.</w:t>
      </w:r>
    </w:p>
    <w:p>
      <w:pPr>
        <w:spacing w:before="80"/>
      </w:pPr>
      <w:r>
        <w:rPr>
          <w:rFonts w:ascii="Times New Roman" w:hAnsi="Times New Roman"/>
          <w:b w:val="0"/>
          <w:i w:val="0"/>
          <w:sz w:val="18"/>
          <w:u w:val="none"/>
        </w:rPr>
        <w:t>In accordance with Section 444 of the Companies Act 2006, the Income Statement has not been delivered.</w:t>
      </w:r>
    </w:p>
    <w:p>
      <w:pPr>
        <w:spacing w:before="80"/>
      </w:pPr>
      <w:r>
        <w:rPr>
          <w:rFonts w:ascii="Times New Roman" w:hAnsi="Times New Roman"/>
          <w:b w:val="0"/>
          <w:i w:val="0"/>
          <w:sz w:val="18"/>
          <w:u w:val="none"/>
        </w:rPr>
        <w:t>The financial statements were approved by the Board of Directors and authorised for issue on _________________________ and were signed on its behalf by:</w:t>
      </w:r>
    </w:p>
    <w:p/>
    <w:p>
      <w:r>
        <w:rPr>
          <w:rFonts w:ascii="Times New Roman" w:hAnsi="Times New Roman"/>
          <w:b w:val="0"/>
          <w:i w:val="0"/>
          <w:sz w:val="20"/>
          <w:u w:val="none"/>
        </w:rPr>
        <w:t>Mr Owen Neligan  –  Director</w:t>
      </w:r>
    </w:p>
    <w:p>
      <w:pPr>
        <w:spacing w:before="160"/>
      </w:pPr>
      <w:r>
        <w:rPr>
          <w:rFonts w:ascii="Times New Roman" w:hAnsi="Times New Roman"/>
          <w:b w:val="0"/>
          <w:i w:val="0"/>
          <w:sz w:val="20"/>
          <w:u w:val="none"/>
        </w:rPr>
        <w:t>Mrs Frances Neligan  –  Director</w:t>
      </w:r>
    </w:p>
    <w:p>
      <w:pPr>
        <w:spacing w:before="160"/>
        <w:jc w:val="center"/>
      </w:pPr>
      <w:r>
        <w:rPr>
          <w:rFonts w:ascii="Times New Roman" w:hAnsi="Times New Roman"/>
          <w:b w:val="0"/>
          <w:i/>
          <w:sz w:val="18"/>
          <w:u w:val="none"/>
        </w:rPr>
        <w:t>The notes form part of these financial statements</w:t>
      </w:r>
    </w:p>
    <w:p>
      <w:pPr>
        <w:jc w:val="center"/>
      </w:pPr>
      <w:r>
        <w:rPr>
          <w:rFonts w:ascii="Times New Roman" w:hAnsi="Times New Roman"/>
          <w:b w:val="0"/>
          <w:i w:val="0"/>
          <w:sz w:val="18"/>
          <w:u w:val="none"/>
        </w:rPr>
        <w:t>Page 2</w:t>
      </w:r>
    </w:p>
    <w:p>
      <w:pPr>
        <w:jc w:val="right"/>
      </w:pPr>
      <w:r>
        <w:rPr>
          <w:rFonts w:ascii="Times New Roman" w:hAnsi="Times New Roman"/>
          <w:b w:val="0"/>
          <w:i/>
          <w:sz w:val="18"/>
          <w:u w:val="none"/>
        </w:rPr>
        <w:t>continued...</w:t>
      </w:r>
    </w:p>
    <w:p>
      <w:r>
        <w:br w:type="page"/>
      </w:r>
    </w:p>
    <w:p>
      <w:r>
        <w:rPr>
          <w:rFonts w:ascii="Times New Roman" w:hAnsi="Times New Roman"/>
          <w:b/>
          <w:i w:val="0"/>
          <w:sz w:val="20"/>
          <w:u w:val="none"/>
        </w:rPr>
        <w:t>NELIBURN LTD (REGISTERED NUMBER: 13307297)</w:t>
      </w:r>
    </w:p>
    <w:p>
      <w:pPr>
        <w:spacing w:before="80" w:after="80"/>
        <w:jc w:val="left"/>
      </w:pPr>
      <w:r>
        <w:rPr>
          <w:rFonts w:ascii="Times New Roman" w:hAnsi="Times New Roman"/>
          <w:b/>
          <w:i w:val="0"/>
          <w:sz w:val="20"/>
          <w:u w:val="none"/>
        </w:rPr>
        <w:t>Balance Sheet – continued</w:t>
        <w:br/>
        <w:t>31 MARCH 2025</w:t>
      </w:r>
    </w:p>
    <w:p>
      <w:pPr>
        <w:spacing w:before="80"/>
      </w:pPr>
      <w:r>
        <w:rPr>
          <w:rFonts w:ascii="Times New Roman" w:hAnsi="Times New Roman"/>
          <w:b w:val="0"/>
          <w:i w:val="0"/>
          <w:sz w:val="20"/>
          <w:u w:val="none"/>
        </w:rPr>
        <w:t>These financial statements have been prepared and delivered in accordance with the provisions applicable to companies subject to the small companies regime.</w:t>
      </w:r>
    </w:p>
    <w:p>
      <w:pPr>
        <w:spacing w:before="80"/>
      </w:pPr>
      <w:r>
        <w:rPr>
          <w:rFonts w:ascii="Times New Roman" w:hAnsi="Times New Roman"/>
          <w:b w:val="0"/>
          <w:i w:val="0"/>
          <w:sz w:val="20"/>
          <w:u w:val="none"/>
        </w:rPr>
        <w:t>In accordance with Section 444 of the Companies Act 2006, the Income Statement has not been delivered.</w:t>
      </w:r>
    </w:p>
    <w:p>
      <w:pPr>
        <w:spacing w:before="160"/>
      </w:pPr>
      <w:r>
        <w:rPr>
          <w:rFonts w:ascii="Times New Roman" w:hAnsi="Times New Roman"/>
          <w:b w:val="0"/>
          <w:i w:val="0"/>
          <w:sz w:val="20"/>
          <w:u w:val="none"/>
        </w:rPr>
        <w:t>The financial statements were approved by the Board of Directors and authorised for issue on _________________________ and were signed on its behalf by:</w:t>
      </w:r>
    </w:p>
    <w:p/>
    <w:p>
      <w:r>
        <w:rPr>
          <w:rFonts w:ascii="Times New Roman" w:hAnsi="Times New Roman"/>
          <w:b w:val="0"/>
          <w:i w:val="0"/>
          <w:sz w:val="20"/>
          <w:u w:val="none"/>
        </w:rPr>
        <w:t>Mr Owen Neligan  –  Director</w:t>
      </w:r>
    </w:p>
    <w:p>
      <w:pPr>
        <w:spacing w:before="400"/>
      </w:pPr>
      <w:r>
        <w:rPr>
          <w:rFonts w:ascii="Times New Roman" w:hAnsi="Times New Roman"/>
          <w:b w:val="0"/>
          <w:i w:val="0"/>
          <w:sz w:val="20"/>
          <w:u w:val="none"/>
        </w:rPr>
        <w:t>Mrs Frances Neligan  –  Director</w:t>
      </w:r>
    </w:p>
    <w:p>
      <w:pPr>
        <w:spacing w:before="400"/>
        <w:jc w:val="center"/>
      </w:pPr>
      <w:r>
        <w:rPr>
          <w:rFonts w:ascii="Times New Roman" w:hAnsi="Times New Roman"/>
          <w:b w:val="0"/>
          <w:i/>
          <w:sz w:val="18"/>
          <w:u w:val="none"/>
        </w:rPr>
        <w:t>The notes form part of these financial statements</w:t>
      </w:r>
    </w:p>
    <w:p>
      <w:pPr>
        <w:jc w:val="center"/>
      </w:pPr>
      <w:r>
        <w:rPr>
          <w:rFonts w:ascii="Times New Roman" w:hAnsi="Times New Roman"/>
          <w:b w:val="0"/>
          <w:i w:val="0"/>
          <w:sz w:val="18"/>
          <w:u w:val="none"/>
        </w:rPr>
        <w:t>Page 3</w:t>
      </w:r>
    </w:p>
    <w:p>
      <w:r>
        <w:br w:type="page"/>
      </w:r>
    </w:p>
    <w:p>
      <w:r>
        <w:rPr>
          <w:rFonts w:ascii="Times New Roman" w:hAnsi="Times New Roman"/>
          <w:b/>
          <w:i w:val="0"/>
          <w:sz w:val="20"/>
          <w:u w:val="none"/>
        </w:rPr>
        <w:t>NELIBURN LTD (REGISTERED NUMBER: 13307297)</w:t>
      </w:r>
    </w:p>
    <w:p>
      <w:pPr>
        <w:spacing w:before="80" w:after="80"/>
        <w:jc w:val="left"/>
      </w:pPr>
      <w:r>
        <w:rPr>
          <w:rFonts w:ascii="Times New Roman" w:hAnsi="Times New Roman"/>
          <w:b/>
          <w:i w:val="0"/>
          <w:sz w:val="20"/>
          <w:u w:val="none"/>
        </w:rPr>
        <w:t>Notes to the Financial Statements</w:t>
        <w:br/>
        <w:t>FOR THE YEAR ENDED 31 MARCH 2025</w:t>
      </w:r>
    </w:p>
    <w:p>
      <w:pPr>
        <w:spacing w:before="160" w:after="40"/>
        <w:jc w:val="left"/>
      </w:pPr>
      <w:r>
        <w:rPr>
          <w:rFonts w:ascii="Times New Roman" w:hAnsi="Times New Roman"/>
          <w:b/>
          <w:i w:val="0"/>
          <w:sz w:val="20"/>
          <w:u w:val="none"/>
        </w:rPr>
        <w:t>1.     STATUTORY INFORMATION</w:t>
      </w:r>
    </w:p>
    <w:p>
      <w:pPr>
        <w:spacing w:before="40" w:after="80"/>
        <w:jc w:val="left"/>
      </w:pPr>
      <w:r>
        <w:rPr>
          <w:rFonts w:ascii="Times New Roman" w:hAnsi="Times New Roman"/>
          <w:b w:val="0"/>
          <w:i w:val="0"/>
          <w:sz w:val="20"/>
          <w:u w:val="none"/>
        </w:rPr>
        <w:t>Neliburn Ltd is a private company limited by shares, registered in England and Wales (number 13307297). The registered office is Office LG06, 1 Quality Court, Chancery Lane, London, WC2A 1HR.</w:t>
      </w:r>
    </w:p>
    <w:p>
      <w:pPr>
        <w:spacing w:before="160" w:after="40"/>
        <w:jc w:val="left"/>
      </w:pPr>
      <w:r>
        <w:rPr>
          <w:rFonts w:ascii="Times New Roman" w:hAnsi="Times New Roman"/>
          <w:b/>
          <w:i w:val="0"/>
          <w:sz w:val="20"/>
          <w:u w:val="none"/>
        </w:rPr>
        <w:t>2.     ACCOUNTING POLICIES</w:t>
      </w:r>
    </w:p>
    <w:p>
      <w:pPr>
        <w:spacing w:before="120" w:after="20"/>
        <w:ind w:left="397"/>
      </w:pPr>
      <w:r>
        <w:rPr>
          <w:rFonts w:ascii="Times New Roman" w:hAnsi="Times New Roman"/>
          <w:b/>
          <w:i w:val="0"/>
          <w:sz w:val="20"/>
          <w:u w:val="none"/>
        </w:rPr>
        <w:t>Basis of preparing the financial statements</w:t>
      </w:r>
    </w:p>
    <w:p>
      <w:pPr>
        <w:spacing w:before="20" w:after="60"/>
        <w:ind w:left="397"/>
      </w:pPr>
      <w:r>
        <w:rPr>
          <w:rFonts w:ascii="Times New Roman" w:hAnsi="Times New Roman"/>
          <w:b w:val="0"/>
          <w:i w:val="0"/>
          <w:sz w:val="20"/>
          <w:u w:val="none"/>
        </w:rPr>
        <w:t>These financial statements have been prepared in accordance with Financial Reporting Standard 102 "The Financial Reporting Standard applicable in the UK and Republic of Ireland", including the provisions of Section 1A "Small Entities", and the Companies Act 2006. The financial statements have been prepared under the historical cost convention as modified by the revaluation of the investment property.</w:t>
      </w:r>
    </w:p>
    <w:p>
      <w:pPr>
        <w:spacing w:before="120" w:after="20"/>
        <w:ind w:left="397"/>
      </w:pPr>
      <w:r>
        <w:rPr>
          <w:rFonts w:ascii="Times New Roman" w:hAnsi="Times New Roman"/>
          <w:b/>
          <w:i w:val="0"/>
          <w:sz w:val="20"/>
          <w:u w:val="none"/>
        </w:rPr>
        <w:t>Turnover</w:t>
      </w:r>
    </w:p>
    <w:p>
      <w:pPr>
        <w:spacing w:before="20" w:after="60"/>
        <w:ind w:left="397"/>
      </w:pPr>
      <w:r>
        <w:rPr>
          <w:rFonts w:ascii="Times New Roman" w:hAnsi="Times New Roman"/>
          <w:b w:val="0"/>
          <w:i w:val="0"/>
          <w:sz w:val="20"/>
          <w:u w:val="none"/>
        </w:rPr>
        <w:t>Turnover represents rental income receivable in respect of the period, measured at the gross contracted rent per the tenancy agreement. The company is not registered for VAT. Agent management fees are presented as an expense rather than netted against income.</w:t>
      </w:r>
    </w:p>
    <w:p>
      <w:pPr>
        <w:spacing w:before="120" w:after="20"/>
        <w:ind w:left="397"/>
      </w:pPr>
      <w:r>
        <w:rPr>
          <w:rFonts w:ascii="Times New Roman" w:hAnsi="Times New Roman"/>
          <w:b/>
          <w:i w:val="0"/>
          <w:sz w:val="20"/>
          <w:u w:val="none"/>
        </w:rPr>
        <w:t>Investment property</w:t>
      </w:r>
    </w:p>
    <w:p>
      <w:pPr>
        <w:spacing w:before="20" w:after="60"/>
        <w:ind w:left="397"/>
      </w:pPr>
      <w:r>
        <w:rPr>
          <w:rFonts w:ascii="Times New Roman" w:hAnsi="Times New Roman"/>
          <w:b w:val="0"/>
          <w:i w:val="0"/>
          <w:sz w:val="20"/>
          <w:u w:val="none"/>
        </w:rPr>
        <w:t>Investment property is initially recognised at cost and is subsequently carried at fair value at each balance sheet date, with changes in fair value recognised in the profit and loss account. At 31 March 2025 no formal independent revaluation was commissioned; the directors are satisfied that the carrying value of £225,000, being the valuation determined by external valuers on 29 December 2023, remains a reasonable approximation of fair value at the balance sheet date.</w:t>
      </w:r>
    </w:p>
    <w:p>
      <w:pPr>
        <w:spacing w:before="120" w:after="20"/>
        <w:ind w:left="397"/>
      </w:pPr>
      <w:r>
        <w:rPr>
          <w:rFonts w:ascii="Times New Roman" w:hAnsi="Times New Roman"/>
          <w:b/>
          <w:i w:val="0"/>
          <w:sz w:val="20"/>
          <w:u w:val="none"/>
        </w:rPr>
        <w:t>Taxation</w:t>
      </w:r>
    </w:p>
    <w:p>
      <w:pPr>
        <w:spacing w:before="20" w:after="60"/>
        <w:ind w:left="397"/>
      </w:pPr>
      <w:r>
        <w:rPr>
          <w:rFonts w:ascii="Times New Roman" w:hAnsi="Times New Roman"/>
          <w:b w:val="0"/>
          <w:i w:val="0"/>
          <w:sz w:val="20"/>
          <w:u w:val="none"/>
        </w:rPr>
        <w:t>Corporation Tax is recognised on taxable profits at rates enacted at the balance sheet date. As the company is loss-making in the period, no current tax charge arises. Deferred tax is recognised only where it is probable that a timing difference will reverse.</w:t>
      </w:r>
    </w:p>
    <w:p>
      <w:pPr>
        <w:spacing w:before="120" w:after="20"/>
        <w:ind w:left="397"/>
      </w:pPr>
      <w:r>
        <w:rPr>
          <w:rFonts w:ascii="Times New Roman" w:hAnsi="Times New Roman"/>
          <w:b/>
          <w:i w:val="0"/>
          <w:sz w:val="20"/>
          <w:u w:val="none"/>
        </w:rPr>
        <w:t>Cash and cash equivalents</w:t>
      </w:r>
    </w:p>
    <w:p>
      <w:pPr>
        <w:spacing w:before="20" w:after="60"/>
        <w:ind w:left="397"/>
      </w:pPr>
      <w:r>
        <w:rPr>
          <w:rFonts w:ascii="Times New Roman" w:hAnsi="Times New Roman"/>
          <w:b w:val="0"/>
          <w:i w:val="0"/>
          <w:sz w:val="20"/>
          <w:u w:val="none"/>
        </w:rPr>
        <w:t>Cash and cash equivalents comprise cash held in bank accounts. There are no short-term investments.</w:t>
      </w:r>
    </w:p>
    <w:p>
      <w:pPr>
        <w:spacing w:before="120" w:after="20"/>
        <w:ind w:left="397"/>
      </w:pPr>
      <w:r>
        <w:rPr>
          <w:rFonts w:ascii="Times New Roman" w:hAnsi="Times New Roman"/>
          <w:b/>
          <w:i w:val="0"/>
          <w:sz w:val="20"/>
          <w:u w:val="none"/>
        </w:rPr>
        <w:t>Financial instruments</w:t>
      </w:r>
    </w:p>
    <w:p>
      <w:pPr>
        <w:spacing w:before="20" w:after="60"/>
        <w:ind w:left="397"/>
      </w:pPr>
      <w:r>
        <w:rPr>
          <w:rFonts w:ascii="Times New Roman" w:hAnsi="Times New Roman"/>
          <w:b w:val="0"/>
          <w:i w:val="0"/>
          <w:sz w:val="20"/>
          <w:u w:val="none"/>
        </w:rPr>
        <w:t>Basic financial instruments, including trade debtors, trade creditors, and director loan accounts, are recognised at transaction price. The bank loan is carried at the amount outstanding. Interest payable on the bank loan is recognised on an accruals basis.</w:t>
      </w:r>
    </w:p>
    <w:p>
      <w:pPr>
        <w:spacing w:before="160" w:after="40"/>
        <w:jc w:val="left"/>
      </w:pPr>
      <w:r>
        <w:rPr>
          <w:rFonts w:ascii="Times New Roman" w:hAnsi="Times New Roman"/>
          <w:b/>
          <w:i w:val="0"/>
          <w:sz w:val="20"/>
          <w:u w:val="none"/>
        </w:rPr>
        <w:t>3.     EMPLOYEES AND DIRECTORS</w:t>
      </w:r>
    </w:p>
    <w:p>
      <w:pPr>
        <w:spacing w:before="40" w:after="40"/>
        <w:jc w:val="left"/>
      </w:pPr>
      <w:r>
        <w:rPr>
          <w:rFonts w:ascii="Times New Roman" w:hAnsi="Times New Roman"/>
          <w:b w:val="0"/>
          <w:i w:val="0"/>
          <w:sz w:val="20"/>
          <w:u w:val="none"/>
        </w:rPr>
        <w:t>The average number of employees during the year was NIL (2024 – NIL). No directors’ remuneration was paid during the year (2024 – NIL).</w:t>
      </w:r>
    </w:p>
    <w:p>
      <w:pPr>
        <w:spacing w:before="320"/>
        <w:jc w:val="center"/>
      </w:pPr>
      <w:r>
        <w:rPr>
          <w:rFonts w:ascii="Times New Roman" w:hAnsi="Times New Roman"/>
          <w:b w:val="0"/>
          <w:i/>
          <w:sz w:val="18"/>
          <w:u w:val="none"/>
        </w:rPr>
        <w:t>The notes form part of these financial statements</w:t>
      </w:r>
    </w:p>
    <w:p>
      <w:pPr>
        <w:jc w:val="center"/>
      </w:pPr>
      <w:r>
        <w:rPr>
          <w:rFonts w:ascii="Times New Roman" w:hAnsi="Times New Roman"/>
          <w:b w:val="0"/>
          <w:i w:val="0"/>
          <w:sz w:val="18"/>
          <w:u w:val="none"/>
        </w:rPr>
        <w:t>Page 4</w:t>
      </w:r>
    </w:p>
    <w:p>
      <w:pPr>
        <w:jc w:val="right"/>
      </w:pPr>
      <w:r>
        <w:rPr>
          <w:rFonts w:ascii="Times New Roman" w:hAnsi="Times New Roman"/>
          <w:b w:val="0"/>
          <w:i/>
          <w:sz w:val="18"/>
          <w:u w:val="none"/>
        </w:rPr>
        <w:t>continued...</w:t>
      </w:r>
    </w:p>
    <w:p>
      <w:r>
        <w:br w:type="page"/>
      </w:r>
    </w:p>
    <w:p>
      <w:r>
        <w:rPr>
          <w:rFonts w:ascii="Times New Roman" w:hAnsi="Times New Roman"/>
          <w:b/>
          <w:i w:val="0"/>
          <w:sz w:val="20"/>
          <w:u w:val="none"/>
        </w:rPr>
        <w:t>NELIBURN LTD (REGISTERED NUMBER: 13307297)</w:t>
      </w:r>
    </w:p>
    <w:p>
      <w:pPr>
        <w:spacing w:before="80" w:after="80"/>
        <w:jc w:val="left"/>
      </w:pPr>
      <w:r>
        <w:rPr>
          <w:rFonts w:ascii="Times New Roman" w:hAnsi="Times New Roman"/>
          <w:b/>
          <w:i w:val="0"/>
          <w:sz w:val="20"/>
          <w:u w:val="none"/>
        </w:rPr>
        <w:t>Notes to the Financial Statements – continued</w:t>
        <w:br/>
        <w:t>FOR THE YEAR ENDED 31 MARCH 2025</w:t>
      </w:r>
    </w:p>
    <w:p>
      <w:pPr>
        <w:spacing w:before="160" w:after="80"/>
        <w:jc w:val="left"/>
      </w:pPr>
      <w:r>
        <w:rPr>
          <w:rFonts w:ascii="Times New Roman" w:hAnsi="Times New Roman"/>
          <w:b/>
          <w:i w:val="0"/>
          <w:sz w:val="20"/>
          <w:u w:val="none"/>
        </w:rPr>
        <w:t>4.     INVESTMENT PROPERTY</w:t>
      </w:r>
    </w:p>
    <w:tbl>
      <w:tblPr>
        <w:tblW w:type="auto" w:w="0"/>
        <w:jc w:val="left"/>
        <w:tblLook w:firstColumn="1" w:firstRow="1" w:lastColumn="0" w:lastRow="0" w:noHBand="0" w:noVBand="1" w:val="04A0"/>
      </w:tblPr>
      <w:tblGrid>
        <w:gridCol w:w="4536"/>
        <w:gridCol w:w="4536"/>
      </w:tblGrid>
      <w:tr>
        <w:tc>
          <w:tcPr>
            <w:tcW w:type="dxa" w:w="6236"/>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2835"/>
            <w:tcBorders>
              <w:top w:val="none"/>
              <w:left w:val="none"/>
              <w:bottom w:val="none"/>
              <w:right w:val="none"/>
              <w:insideH w:val="none"/>
              <w:insideV w:val="none"/>
            </w:tcBorders>
            <w:vAlign w:val="center"/>
          </w:tcPr>
          <w:p>
            <w:pPr>
              <w:jc w:val="right"/>
            </w:pPr>
            <w:r>
              <w:rPr>
                <w:rFonts w:ascii="Times New Roman" w:hAnsi="Times New Roman"/>
                <w:b/>
                <w:i w:val="0"/>
                <w:sz w:val="20"/>
                <w:u w:val="none"/>
              </w:rPr>
              <w:t>Total £</w:t>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i w:val="0"/>
                <w:sz w:val="20"/>
                <w:u w:val="none"/>
              </w:rPr>
              <w:t>FAIR VALUE</w:t>
            </w:r>
          </w:p>
        </w:tc>
        <w:tc>
          <w:tcPr>
            <w:tcW w:type="dxa" w:w="2835"/>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At 1 April 2024</w:t>
            </w:r>
          </w:p>
        </w:tc>
        <w:tc>
          <w:tcPr>
            <w:tcW w:type="dxa" w:w="2835"/>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225,000</w:t>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Revaluations in the year</w:t>
            </w:r>
          </w:p>
        </w:tc>
        <w:tc>
          <w:tcPr>
            <w:tcW w:type="dxa" w:w="2835"/>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w:t>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i w:val="0"/>
                <w:sz w:val="20"/>
                <w:u w:val="none"/>
              </w:rPr>
              <w:t>At 31 March 2025</w:t>
            </w:r>
          </w:p>
        </w:tc>
        <w:tc>
          <w:tcPr>
            <w:tcW w:type="dxa" w:w="2835"/>
            <w:tcBorders>
              <w:top w:val="none"/>
              <w:left w:val="none"/>
              <w:bottom w:val="none"/>
              <w:right w:val="none"/>
              <w:insideH w:val="none"/>
              <w:insideV w:val="none"/>
            </w:tcBorders>
            <w:vAlign w:val="center"/>
            <w:tcBorders>
              <w:top w:val="single" w:sz="6" w:space="0" w:color="000000"/>
            </w:tcBorders>
          </w:tcPr>
          <w:p>
            <w:pPr>
              <w:jc w:val="right"/>
            </w:pPr>
            <w:r>
              <w:rPr>
                <w:rFonts w:ascii="Times New Roman" w:hAnsi="Times New Roman"/>
                <w:b/>
                <w:i w:val="0"/>
                <w:sz w:val="20"/>
                <w:u w:val="none"/>
              </w:rPr>
              <w:t>225,000</w:t>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i w:val="0"/>
                <w:sz w:val="20"/>
                <w:u w:val="none"/>
              </w:rPr>
              <w:t>NET BOOK VALUE</w:t>
            </w:r>
          </w:p>
        </w:tc>
        <w:tc>
          <w:tcPr>
            <w:tcW w:type="dxa" w:w="2835"/>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i w:val="0"/>
                <w:sz w:val="20"/>
                <w:u w:val="none"/>
              </w:rPr>
              <w:t>At 31 March 2025</w:t>
            </w:r>
          </w:p>
        </w:tc>
        <w:tc>
          <w:tcPr>
            <w:tcW w:type="dxa" w:w="2835"/>
            <w:tcBorders>
              <w:top w:val="none"/>
              <w:left w:val="none"/>
              <w:bottom w:val="none"/>
              <w:right w:val="none"/>
              <w:insideH w:val="none"/>
              <w:insideV w:val="none"/>
            </w:tcBorders>
            <w:vAlign w:val="center"/>
            <w:tcBorders>
              <w:bottom w:val="single" w:sz="6" w:space="0" w:color="000000"/>
            </w:tcBorders>
          </w:tcPr>
          <w:p>
            <w:pPr>
              <w:jc w:val="right"/>
            </w:pPr>
            <w:r>
              <w:rPr>
                <w:rFonts w:ascii="Times New Roman" w:hAnsi="Times New Roman"/>
                <w:b/>
                <w:i w:val="0"/>
                <w:sz w:val="20"/>
                <w:u w:val="none"/>
              </w:rPr>
              <w:t>225,000</w:t>
            </w:r>
          </w:p>
        </w:tc>
      </w:tr>
      <w:tr>
        <w:tc>
          <w:tcPr>
            <w:tcW w:type="dxa" w:w="6236"/>
            <w:tcBorders>
              <w:top w:val="none"/>
              <w:left w:val="none"/>
              <w:bottom w:val="none"/>
              <w:right w:val="none"/>
              <w:insideH w:val="none"/>
              <w:insideV w:val="none"/>
            </w:tcBorders>
            <w:vAlign w:val="center"/>
          </w:tcPr>
          <w:p>
            <w:pPr>
              <w:jc w:val="left"/>
            </w:pPr>
            <w:r>
              <w:rPr>
                <w:rFonts w:ascii="Times New Roman" w:hAnsi="Times New Roman"/>
                <w:b/>
                <w:i w:val="0"/>
                <w:sz w:val="20"/>
                <w:u w:val="none"/>
              </w:rPr>
              <w:t>At 31 March 2024</w:t>
            </w:r>
          </w:p>
        </w:tc>
        <w:tc>
          <w:tcPr>
            <w:tcW w:type="dxa" w:w="2835"/>
            <w:tcBorders>
              <w:top w:val="none"/>
              <w:left w:val="none"/>
              <w:bottom w:val="none"/>
              <w:right w:val="none"/>
              <w:insideH w:val="none"/>
              <w:insideV w:val="none"/>
            </w:tcBorders>
            <w:vAlign w:val="center"/>
            <w:tcBorders>
              <w:bottom w:val="double" w:sz="6" w:space="0" w:color="000000"/>
            </w:tcBorders>
          </w:tcPr>
          <w:p>
            <w:pPr>
              <w:jc w:val="right"/>
            </w:pPr>
            <w:r>
              <w:rPr>
                <w:rFonts w:ascii="Times New Roman" w:hAnsi="Times New Roman"/>
                <w:b/>
                <w:i w:val="0"/>
                <w:sz w:val="20"/>
                <w:u w:val="none"/>
              </w:rPr>
              <w:t>225,000</w:t>
            </w:r>
          </w:p>
        </w:tc>
      </w:tr>
    </w:tbl>
    <w:p>
      <w:pPr>
        <w:spacing w:before="120" w:after="40"/>
        <w:jc w:val="left"/>
      </w:pPr>
      <w:r>
        <w:rPr>
          <w:rFonts w:ascii="Times New Roman" w:hAnsi="Times New Roman"/>
          <w:b w:val="0"/>
          <w:i w:val="0"/>
          <w:sz w:val="20"/>
          <w:u w:val="none"/>
        </w:rPr>
        <w:t>Investment property was independently valued on an open market basis on 29 December 2023 by external valuers. No formal revaluation was carried out at 31 March 2025; the directors consider the carrying value to represent a reasonable approximation of fair value at the balance sheet date.</w:t>
      </w:r>
    </w:p>
    <w:p>
      <w:pPr>
        <w:spacing w:before="80"/>
      </w:pPr>
      <w:r>
        <w:rPr>
          <w:rFonts w:ascii="Times New Roman" w:hAnsi="Times New Roman"/>
          <w:b w:val="0"/>
          <w:i w:val="0"/>
          <w:sz w:val="20"/>
          <w:u w:val="none"/>
        </w:rPr>
        <w:t>If investment property had not been revalued it would have been included at the following historical cost:</w:t>
      </w:r>
    </w:p>
    <w:tbl>
      <w:tblPr>
        <w:tblW w:type="auto" w:w="0"/>
        <w:jc w:val="left"/>
        <w:tblLook w:firstColumn="1" w:firstRow="1" w:lastColumn="0" w:lastRow="0" w:noHBand="0" w:noVBand="1" w:val="04A0"/>
      </w:tblPr>
      <w:tblGrid>
        <w:gridCol w:w="3024"/>
        <w:gridCol w:w="3024"/>
        <w:gridCol w:w="3024"/>
      </w:tblGrid>
      <w:tr>
        <w:tc>
          <w:tcPr>
            <w:tcW w:type="dxa" w:w="4535"/>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31/3/25</w:t>
              <w:br/>
              <w:t>£</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31/3/24</w:t>
              <w:br/>
              <w:t>£</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Cost</w:t>
            </w:r>
          </w:p>
        </w:tc>
        <w:tc>
          <w:tcPr>
            <w:tcW w:type="dxa" w:w="2268"/>
            <w:tcBorders>
              <w:top w:val="none"/>
              <w:left w:val="none"/>
              <w:bottom w:val="none"/>
              <w:right w:val="none"/>
              <w:insideH w:val="none"/>
              <w:insideV w:val="none"/>
            </w:tcBorders>
            <w:vAlign w:val="center"/>
            <w:tcBorders>
              <w:bottom w:val="single" w:sz="6" w:space="0" w:color="000000"/>
            </w:tcBorders>
          </w:tcPr>
          <w:p>
            <w:pPr>
              <w:jc w:val="right"/>
            </w:pPr>
            <w:r>
              <w:rPr>
                <w:rFonts w:ascii="Times New Roman" w:hAnsi="Times New Roman"/>
                <w:b w:val="0"/>
                <w:i w:val="0"/>
                <w:sz w:val="20"/>
                <w:u w:val="none"/>
              </w:rPr>
              <w:t>202,454</w:t>
            </w:r>
          </w:p>
        </w:tc>
        <w:tc>
          <w:tcPr>
            <w:tcW w:type="dxa" w:w="2268"/>
            <w:tcBorders>
              <w:top w:val="none"/>
              <w:left w:val="none"/>
              <w:bottom w:val="none"/>
              <w:right w:val="none"/>
              <w:insideH w:val="none"/>
              <w:insideV w:val="none"/>
            </w:tcBorders>
            <w:vAlign w:val="center"/>
            <w:tcBorders>
              <w:bottom w:val="single" w:sz="6" w:space="0" w:color="000000"/>
            </w:tcBorders>
          </w:tcPr>
          <w:p>
            <w:pPr>
              <w:jc w:val="right"/>
            </w:pPr>
            <w:r>
              <w:rPr>
                <w:rFonts w:ascii="Times New Roman" w:hAnsi="Times New Roman"/>
                <w:b w:val="0"/>
                <w:i w:val="0"/>
                <w:sz w:val="20"/>
                <w:u w:val="none"/>
              </w:rPr>
              <w:t>202,454</w:t>
            </w:r>
          </w:p>
        </w:tc>
      </w:tr>
    </w:tbl>
    <w:p>
      <w:pPr>
        <w:spacing w:before="200" w:after="80"/>
        <w:jc w:val="left"/>
      </w:pPr>
      <w:r>
        <w:rPr>
          <w:rFonts w:ascii="Times New Roman" w:hAnsi="Times New Roman"/>
          <w:b/>
          <w:i w:val="0"/>
          <w:sz w:val="20"/>
          <w:u w:val="none"/>
        </w:rPr>
        <w:t>5.     DEBTORS: AMOUNTS FALLING DUE WITHIN ONE YEAR</w:t>
      </w:r>
    </w:p>
    <w:tbl>
      <w:tblPr>
        <w:tblW w:type="auto" w:w="0"/>
        <w:jc w:val="left"/>
        <w:tblLook w:firstColumn="1" w:firstRow="1" w:lastColumn="0" w:lastRow="0" w:noHBand="0" w:noVBand="1" w:val="04A0"/>
      </w:tblPr>
      <w:tblGrid>
        <w:gridCol w:w="3024"/>
        <w:gridCol w:w="3024"/>
        <w:gridCol w:w="3024"/>
      </w:tblGrid>
      <w:tr>
        <w:tc>
          <w:tcPr>
            <w:tcW w:type="dxa" w:w="4535"/>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31/3/25</w:t>
              <w:br/>
              <w:t>£</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31/3/24</w:t>
              <w:br/>
              <w:t>£</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Other debtors</w:t>
            </w:r>
          </w:p>
        </w:tc>
        <w:tc>
          <w:tcPr>
            <w:tcW w:type="dxa" w:w="2268"/>
            <w:tcBorders>
              <w:top w:val="none"/>
              <w:left w:val="none"/>
              <w:bottom w:val="none"/>
              <w:right w:val="none"/>
              <w:insideH w:val="none"/>
              <w:insideV w:val="none"/>
            </w:tcBorders>
            <w:vAlign w:val="center"/>
            <w:tcBorders>
              <w:bottom w:val="single" w:sz="6" w:space="0" w:color="000000"/>
            </w:tcBorders>
          </w:tcPr>
          <w:p>
            <w:pPr>
              <w:jc w:val="right"/>
            </w:pPr>
            <w:r>
              <w:rPr>
                <w:rFonts w:ascii="Times New Roman" w:hAnsi="Times New Roman"/>
                <w:b w:val="0"/>
                <w:i w:val="0"/>
                <w:sz w:val="20"/>
                <w:u w:val="none"/>
              </w:rPr>
              <w:t>3,874</w:t>
            </w:r>
          </w:p>
        </w:tc>
        <w:tc>
          <w:tcPr>
            <w:tcW w:type="dxa" w:w="2268"/>
            <w:tcBorders>
              <w:top w:val="none"/>
              <w:left w:val="none"/>
              <w:bottom w:val="none"/>
              <w:right w:val="none"/>
              <w:insideH w:val="none"/>
              <w:insideV w:val="none"/>
            </w:tcBorders>
            <w:vAlign w:val="center"/>
            <w:tcBorders>
              <w:bottom w:val="single" w:sz="6" w:space="0" w:color="000000"/>
            </w:tcBorders>
          </w:tcPr>
          <w:p>
            <w:pPr>
              <w:jc w:val="right"/>
            </w:pPr>
            <w:r>
              <w:rPr>
                <w:rFonts w:ascii="Times New Roman" w:hAnsi="Times New Roman"/>
                <w:b w:val="0"/>
                <w:i w:val="0"/>
                <w:sz w:val="20"/>
                <w:u w:val="none"/>
              </w:rPr>
              <w:t>4,915</w:t>
            </w:r>
          </w:p>
        </w:tc>
      </w:tr>
    </w:tbl>
    <w:p>
      <w:pPr>
        <w:spacing w:before="200" w:after="80"/>
        <w:jc w:val="left"/>
      </w:pPr>
      <w:r>
        <w:rPr>
          <w:rFonts w:ascii="Times New Roman" w:hAnsi="Times New Roman"/>
          <w:b/>
          <w:i w:val="0"/>
          <w:sz w:val="20"/>
          <w:u w:val="none"/>
        </w:rPr>
        <w:t>6.     CREDITORS: AMOUNTS FALLING DUE WITHIN ONE YEAR</w:t>
      </w:r>
    </w:p>
    <w:tbl>
      <w:tblPr>
        <w:tblW w:type="auto" w:w="0"/>
        <w:jc w:val="left"/>
        <w:tblLook w:firstColumn="1" w:firstRow="1" w:lastColumn="0" w:lastRow="0" w:noHBand="0" w:noVBand="1" w:val="04A0"/>
      </w:tblPr>
      <w:tblGrid>
        <w:gridCol w:w="3024"/>
        <w:gridCol w:w="3024"/>
        <w:gridCol w:w="3024"/>
      </w:tblGrid>
      <w:tr>
        <w:tc>
          <w:tcPr>
            <w:tcW w:type="dxa" w:w="4535"/>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31/3/25</w:t>
              <w:br/>
              <w:t>£</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31/3/24</w:t>
              <w:br/>
              <w:t>£</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Trade creditors</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1,080</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Director loan accounts</w:t>
            </w:r>
          </w:p>
        </w:tc>
        <w:tc>
          <w:tcPr>
            <w:tcW w:type="dxa" w:w="2268"/>
            <w:tcBorders>
              <w:top w:val="none"/>
              <w:left w:val="none"/>
              <w:bottom w:val="none"/>
              <w:right w:val="none"/>
              <w:insideH w:val="none"/>
              <w:insideV w:val="none"/>
            </w:tcBorders>
            <w:vAlign w:val="center"/>
            <w:tcBorders>
              <w:top w:val="single" w:sz="6" w:space="0" w:color="000000"/>
            </w:tcBorders>
          </w:tcPr>
          <w:p>
            <w:pPr>
              <w:jc w:val="right"/>
            </w:pPr>
            <w:r>
              <w:rPr>
                <w:rFonts w:ascii="Times New Roman" w:hAnsi="Times New Roman"/>
                <w:b w:val="0"/>
                <w:i w:val="0"/>
                <w:sz w:val="20"/>
                <w:u w:val="none"/>
              </w:rPr>
              <w:t>68,436</w:t>
            </w:r>
          </w:p>
        </w:tc>
        <w:tc>
          <w:tcPr>
            <w:tcW w:type="dxa" w:w="2268"/>
            <w:tcBorders>
              <w:top w:val="none"/>
              <w:left w:val="none"/>
              <w:bottom w:val="none"/>
              <w:right w:val="none"/>
              <w:insideH w:val="none"/>
              <w:insideV w:val="none"/>
            </w:tcBorders>
            <w:vAlign w:val="center"/>
            <w:tcBorders>
              <w:top w:val="single" w:sz="6" w:space="0" w:color="000000"/>
            </w:tcBorders>
          </w:tcPr>
          <w:p>
            <w:pPr>
              <w:jc w:val="right"/>
            </w:pPr>
            <w:r>
              <w:rPr>
                <w:rFonts w:ascii="Times New Roman" w:hAnsi="Times New Roman"/>
                <w:b w:val="0"/>
                <w:i w:val="0"/>
                <w:sz w:val="20"/>
                <w:u w:val="none"/>
              </w:rPr>
              <w:t>78,034</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i w:val="0"/>
                <w:sz w:val="20"/>
                <w:u w:val="none"/>
              </w:rPr>
              <w:t>Total</w:t>
            </w:r>
          </w:p>
        </w:tc>
        <w:tc>
          <w:tcPr>
            <w:tcW w:type="dxa" w:w="2268"/>
            <w:tcBorders>
              <w:top w:val="none"/>
              <w:left w:val="none"/>
              <w:bottom w:val="none"/>
              <w:right w:val="none"/>
              <w:insideH w:val="none"/>
              <w:insideV w:val="none"/>
            </w:tcBorders>
            <w:vAlign w:val="center"/>
            <w:tcBorders>
              <w:bottom w:val="double" w:sz="6" w:space="0" w:color="000000"/>
            </w:tcBorders>
          </w:tcPr>
          <w:p>
            <w:pPr>
              <w:jc w:val="right"/>
            </w:pPr>
            <w:r>
              <w:rPr>
                <w:rFonts w:ascii="Times New Roman" w:hAnsi="Times New Roman"/>
                <w:b/>
                <w:i w:val="0"/>
                <w:sz w:val="20"/>
                <w:u w:val="none"/>
              </w:rPr>
              <w:t>68,436</w:t>
            </w:r>
          </w:p>
        </w:tc>
        <w:tc>
          <w:tcPr>
            <w:tcW w:type="dxa" w:w="2268"/>
            <w:tcBorders>
              <w:top w:val="none"/>
              <w:left w:val="none"/>
              <w:bottom w:val="none"/>
              <w:right w:val="none"/>
              <w:insideH w:val="none"/>
              <w:insideV w:val="none"/>
            </w:tcBorders>
            <w:vAlign w:val="center"/>
            <w:tcBorders>
              <w:bottom w:val="double" w:sz="6" w:space="0" w:color="000000"/>
            </w:tcBorders>
          </w:tcPr>
          <w:p>
            <w:pPr>
              <w:jc w:val="right"/>
            </w:pPr>
            <w:r>
              <w:rPr>
                <w:rFonts w:ascii="Times New Roman" w:hAnsi="Times New Roman"/>
                <w:b/>
                <w:i w:val="0"/>
                <w:sz w:val="20"/>
                <w:u w:val="none"/>
              </w:rPr>
              <w:t>79,114</w:t>
            </w:r>
          </w:p>
        </w:tc>
      </w:tr>
    </w:tbl>
    <w:p>
      <w:pPr>
        <w:spacing w:before="120" w:after="40"/>
        <w:jc w:val="left"/>
      </w:pPr>
      <w:r>
        <w:rPr>
          <w:rFonts w:ascii="Times New Roman" w:hAnsi="Times New Roman"/>
          <w:b w:val="0"/>
          <w:i w:val="0"/>
          <w:sz w:val="20"/>
          <w:u w:val="none"/>
        </w:rPr>
        <w:t>The director loan accounts represent monies lent to the company by the directors. The amounts are unsecured, interest-free and repayable on demand. During the year ended 31 March 2025, the company repaid £4,565 to Mr Owen Neligan and £4,000 to Mrs Frances Neligan.</w:t>
      </w:r>
    </w:p>
    <w:p>
      <w:pPr>
        <w:spacing w:before="200"/>
        <w:jc w:val="center"/>
      </w:pPr>
      <w:r>
        <w:rPr>
          <w:rFonts w:ascii="Times New Roman" w:hAnsi="Times New Roman"/>
          <w:b w:val="0"/>
          <w:i/>
          <w:sz w:val="18"/>
          <w:u w:val="none"/>
        </w:rPr>
        <w:t>The notes form part of these financial statements</w:t>
      </w:r>
    </w:p>
    <w:p>
      <w:pPr>
        <w:jc w:val="center"/>
      </w:pPr>
      <w:r>
        <w:rPr>
          <w:rFonts w:ascii="Times New Roman" w:hAnsi="Times New Roman"/>
          <w:b w:val="0"/>
          <w:i w:val="0"/>
          <w:sz w:val="18"/>
          <w:u w:val="none"/>
        </w:rPr>
        <w:t>Page 5</w:t>
      </w:r>
    </w:p>
    <w:p>
      <w:pPr>
        <w:jc w:val="right"/>
      </w:pPr>
      <w:r>
        <w:rPr>
          <w:rFonts w:ascii="Times New Roman" w:hAnsi="Times New Roman"/>
          <w:b w:val="0"/>
          <w:i/>
          <w:sz w:val="18"/>
          <w:u w:val="none"/>
        </w:rPr>
        <w:t>continued...</w:t>
      </w:r>
    </w:p>
    <w:p>
      <w:r>
        <w:br w:type="page"/>
      </w:r>
    </w:p>
    <w:p>
      <w:r>
        <w:rPr>
          <w:rFonts w:ascii="Times New Roman" w:hAnsi="Times New Roman"/>
          <w:b/>
          <w:i w:val="0"/>
          <w:sz w:val="20"/>
          <w:u w:val="none"/>
        </w:rPr>
        <w:t>NELIBURN LTD (REGISTERED NUMBER: 13307297)</w:t>
      </w:r>
    </w:p>
    <w:p>
      <w:pPr>
        <w:spacing w:before="80" w:after="80"/>
        <w:jc w:val="left"/>
      </w:pPr>
      <w:r>
        <w:rPr>
          <w:rFonts w:ascii="Times New Roman" w:hAnsi="Times New Roman"/>
          <w:b/>
          <w:i w:val="0"/>
          <w:sz w:val="20"/>
          <w:u w:val="none"/>
        </w:rPr>
        <w:t>Notes to the Financial Statements – continued</w:t>
        <w:br/>
        <w:t>FOR THE YEAR ENDED 31 MARCH 2025</w:t>
      </w:r>
    </w:p>
    <w:p>
      <w:pPr>
        <w:spacing w:before="160" w:after="80"/>
        <w:jc w:val="left"/>
      </w:pPr>
      <w:r>
        <w:rPr>
          <w:rFonts w:ascii="Times New Roman" w:hAnsi="Times New Roman"/>
          <w:b/>
          <w:i w:val="0"/>
          <w:sz w:val="20"/>
          <w:u w:val="none"/>
        </w:rPr>
        <w:t>7.     CREDITORS: AMOUNTS FALLING DUE AFTER MORE THAN ONE YEAR</w:t>
      </w:r>
    </w:p>
    <w:tbl>
      <w:tblPr>
        <w:tblW w:type="auto" w:w="0"/>
        <w:jc w:val="left"/>
        <w:tblLook w:firstColumn="1" w:firstRow="1" w:lastColumn="0" w:lastRow="0" w:noHBand="0" w:noVBand="1" w:val="04A0"/>
      </w:tblPr>
      <w:tblGrid>
        <w:gridCol w:w="3024"/>
        <w:gridCol w:w="3024"/>
        <w:gridCol w:w="3024"/>
      </w:tblGrid>
      <w:tr>
        <w:tc>
          <w:tcPr>
            <w:tcW w:type="dxa" w:w="4535"/>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31/3/25</w:t>
              <w:br/>
              <w:t>£</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i w:val="0"/>
                <w:sz w:val="20"/>
                <w:u w:val="none"/>
              </w:rPr>
              <w:t>31/3/24</w:t>
              <w:br/>
              <w:t>£</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Bank loans</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173,791</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173,791</w:t>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Amounts falling due in more than five years:</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Repayable by instalments</w:t>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c>
          <w:tcPr>
            <w:tcW w:type="dxa" w:w="2268"/>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r>
          </w:p>
        </w:tc>
      </w:tr>
      <w:tr>
        <w:tc>
          <w:tcPr>
            <w:tcW w:type="dxa" w:w="4535"/>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Bank loans more than 5 years by instalment</w:t>
            </w:r>
          </w:p>
        </w:tc>
        <w:tc>
          <w:tcPr>
            <w:tcW w:type="dxa" w:w="2268"/>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val="0"/>
                <w:i w:val="0"/>
                <w:sz w:val="20"/>
                <w:u w:val="none"/>
              </w:rPr>
              <w:t>173,791</w:t>
            </w:r>
          </w:p>
        </w:tc>
        <w:tc>
          <w:tcPr>
            <w:tcW w:type="dxa" w:w="2268"/>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val="0"/>
                <w:i w:val="0"/>
                <w:sz w:val="20"/>
                <w:u w:val="none"/>
              </w:rPr>
              <w:t>173,791</w:t>
            </w:r>
          </w:p>
        </w:tc>
      </w:tr>
    </w:tbl>
    <w:p>
      <w:pPr>
        <w:spacing w:before="120" w:after="40"/>
        <w:jc w:val="left"/>
      </w:pPr>
      <w:r>
        <w:rPr>
          <w:rFonts w:ascii="Times New Roman" w:hAnsi="Times New Roman"/>
          <w:b w:val="0"/>
          <w:i w:val="0"/>
          <w:sz w:val="20"/>
          <w:u w:val="none"/>
        </w:rPr>
        <w:t>The bank loan relates to a buy-to-let mortgage with Fleet Mortgages Ltd (account number 1100082162), secured by a first legal charge over the company's investment property at 11 Hatfield Walk, York, YO24 3LX. The mortgage is interest only at a variable rate of 5.44% per annum (effective from 1 April 2024). The remaining term at the balance sheet date is approximately 26 years and 10 months. Total interest charged in the year amounted to £9,455 (2024: not separately disclosed).</w:t>
      </w:r>
    </w:p>
    <w:p>
      <w:pPr>
        <w:spacing w:before="200" w:after="80"/>
        <w:jc w:val="left"/>
      </w:pPr>
      <w:r>
        <w:rPr>
          <w:rFonts w:ascii="Times New Roman" w:hAnsi="Times New Roman"/>
          <w:b/>
          <w:i w:val="0"/>
          <w:sz w:val="20"/>
          <w:u w:val="none"/>
        </w:rPr>
        <w:t>8.     RESERVES</w:t>
      </w:r>
    </w:p>
    <w:tbl>
      <w:tblPr>
        <w:tblW w:type="auto" w:w="0"/>
        <w:jc w:val="left"/>
        <w:tblLook w:firstColumn="1" w:firstRow="1" w:lastColumn="0" w:lastRow="0" w:noHBand="0" w:noVBand="1" w:val="04A0"/>
      </w:tblPr>
      <w:tblGrid>
        <w:gridCol w:w="4536"/>
        <w:gridCol w:w="4536"/>
      </w:tblGrid>
      <w:tr>
        <w:tc>
          <w:tcPr>
            <w:tcW w:type="dxa" w:w="5669"/>
            <w:tcBorders>
              <w:top w:val="none"/>
              <w:left w:val="none"/>
              <w:bottom w:val="none"/>
              <w:right w:val="none"/>
              <w:insideH w:val="none"/>
              <w:insideV w:val="none"/>
            </w:tcBorders>
            <w:vAlign w:val="center"/>
          </w:tcPr>
          <w:p>
            <w:pPr>
              <w:jc w:val="left"/>
            </w:pPr>
            <w:r>
              <w:rPr>
                <w:rFonts w:ascii="Times New Roman" w:hAnsi="Times New Roman"/>
                <w:b/>
                <w:i w:val="0"/>
                <w:sz w:val="20"/>
                <w:u w:val="none"/>
              </w:rPr>
            </w:r>
          </w:p>
        </w:tc>
        <w:tc>
          <w:tcPr>
            <w:tcW w:type="dxa" w:w="3402"/>
            <w:tcBorders>
              <w:top w:val="none"/>
              <w:left w:val="none"/>
              <w:bottom w:val="none"/>
              <w:right w:val="none"/>
              <w:insideH w:val="none"/>
              <w:insideV w:val="none"/>
            </w:tcBorders>
            <w:vAlign w:val="center"/>
          </w:tcPr>
          <w:p>
            <w:pPr>
              <w:jc w:val="right"/>
            </w:pPr>
            <w:r>
              <w:rPr>
                <w:rFonts w:ascii="Times New Roman" w:hAnsi="Times New Roman"/>
                <w:b/>
                <w:i w:val="0"/>
                <w:sz w:val="20"/>
                <w:u w:val="none"/>
              </w:rPr>
              <w:t>Fair value</w:t>
              <w:br/>
              <w:t>reserve £</w:t>
            </w:r>
          </w:p>
        </w:tc>
      </w:tr>
      <w:tr>
        <w:tc>
          <w:tcPr>
            <w:tcW w:type="dxa" w:w="5669"/>
            <w:tcBorders>
              <w:top w:val="none"/>
              <w:left w:val="none"/>
              <w:bottom w:val="none"/>
              <w:right w:val="none"/>
              <w:insideH w:val="none"/>
              <w:insideV w:val="none"/>
            </w:tcBorders>
            <w:vAlign w:val="center"/>
          </w:tcPr>
          <w:p>
            <w:pPr>
              <w:jc w:val="left"/>
            </w:pPr>
            <w:r>
              <w:rPr>
                <w:rFonts w:ascii="Times New Roman" w:hAnsi="Times New Roman"/>
                <w:b/>
                <w:i w:val="0"/>
                <w:sz w:val="20"/>
                <w:u w:val="none"/>
              </w:rPr>
              <w:t>Non-distributable reserve</w:t>
            </w:r>
          </w:p>
        </w:tc>
        <w:tc>
          <w:tcPr>
            <w:tcW w:type="dxa" w:w="3402"/>
            <w:tcBorders>
              <w:top w:val="none"/>
              <w:left w:val="none"/>
              <w:bottom w:val="none"/>
              <w:right w:val="none"/>
              <w:insideH w:val="none"/>
              <w:insideV w:val="none"/>
            </w:tcBorders>
            <w:vAlign w:val="center"/>
          </w:tcPr>
          <w:p>
            <w:pPr>
              <w:jc w:val="right"/>
            </w:pPr>
            <w:r>
              <w:rPr>
                <w:rFonts w:ascii="Times New Roman" w:hAnsi="Times New Roman"/>
                <w:b/>
                <w:i w:val="0"/>
                <w:sz w:val="20"/>
                <w:u w:val="none"/>
              </w:rPr>
            </w:r>
          </w:p>
        </w:tc>
      </w:tr>
      <w:tr>
        <w:tc>
          <w:tcPr>
            <w:tcW w:type="dxa" w:w="5669"/>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At 1 April 2024</w:t>
            </w:r>
          </w:p>
        </w:tc>
        <w:tc>
          <w:tcPr>
            <w:tcW w:type="dxa" w:w="3402"/>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22,546</w:t>
            </w:r>
          </w:p>
        </w:tc>
      </w:tr>
      <w:tr>
        <w:tc>
          <w:tcPr>
            <w:tcW w:type="dxa" w:w="5669"/>
            <w:tcBorders>
              <w:top w:val="none"/>
              <w:left w:val="none"/>
              <w:bottom w:val="none"/>
              <w:right w:val="none"/>
              <w:insideH w:val="none"/>
              <w:insideV w:val="none"/>
            </w:tcBorders>
            <w:vAlign w:val="center"/>
          </w:tcPr>
          <w:p>
            <w:pPr>
              <w:jc w:val="left"/>
            </w:pPr>
            <w:r>
              <w:rPr>
                <w:rFonts w:ascii="Times New Roman" w:hAnsi="Times New Roman"/>
                <w:b w:val="0"/>
                <w:i w:val="0"/>
                <w:sz w:val="20"/>
                <w:u w:val="none"/>
              </w:rPr>
              <w:t>Movement in year</w:t>
            </w:r>
          </w:p>
        </w:tc>
        <w:tc>
          <w:tcPr>
            <w:tcW w:type="dxa" w:w="3402"/>
            <w:tcBorders>
              <w:top w:val="none"/>
              <w:left w:val="none"/>
              <w:bottom w:val="none"/>
              <w:right w:val="none"/>
              <w:insideH w:val="none"/>
              <w:insideV w:val="none"/>
            </w:tcBorders>
            <w:vAlign w:val="center"/>
          </w:tcPr>
          <w:p>
            <w:pPr>
              <w:jc w:val="right"/>
            </w:pPr>
            <w:r>
              <w:rPr>
                <w:rFonts w:ascii="Times New Roman" w:hAnsi="Times New Roman"/>
                <w:b w:val="0"/>
                <w:i w:val="0"/>
                <w:sz w:val="20"/>
                <w:u w:val="none"/>
              </w:rPr>
              <w:t>—</w:t>
            </w:r>
          </w:p>
        </w:tc>
      </w:tr>
      <w:tr>
        <w:tc>
          <w:tcPr>
            <w:tcW w:type="dxa" w:w="5669"/>
            <w:tcBorders>
              <w:top w:val="none"/>
              <w:left w:val="none"/>
              <w:bottom w:val="none"/>
              <w:right w:val="none"/>
              <w:insideH w:val="none"/>
              <w:insideV w:val="none"/>
            </w:tcBorders>
            <w:vAlign w:val="center"/>
          </w:tcPr>
          <w:p>
            <w:pPr>
              <w:jc w:val="left"/>
            </w:pPr>
            <w:r>
              <w:rPr>
                <w:rFonts w:ascii="Times New Roman" w:hAnsi="Times New Roman"/>
                <w:b/>
                <w:i w:val="0"/>
                <w:sz w:val="20"/>
                <w:u w:val="none"/>
              </w:rPr>
              <w:t>At 31 March 2025</w:t>
            </w:r>
          </w:p>
        </w:tc>
        <w:tc>
          <w:tcPr>
            <w:tcW w:type="dxa" w:w="3402"/>
            <w:tcBorders>
              <w:top w:val="none"/>
              <w:left w:val="none"/>
              <w:bottom w:val="none"/>
              <w:right w:val="none"/>
              <w:insideH w:val="none"/>
              <w:insideV w:val="none"/>
            </w:tcBorders>
            <w:vAlign w:val="center"/>
            <w:tcBorders>
              <w:top w:val="single" w:sz="6" w:space="0" w:color="000000"/>
            </w:tcBorders>
            <w:tcBorders>
              <w:bottom w:val="single" w:sz="6" w:space="0" w:color="000000"/>
            </w:tcBorders>
          </w:tcPr>
          <w:p>
            <w:pPr>
              <w:jc w:val="right"/>
            </w:pPr>
            <w:r>
              <w:rPr>
                <w:rFonts w:ascii="Times New Roman" w:hAnsi="Times New Roman"/>
                <w:b/>
                <w:i w:val="0"/>
                <w:sz w:val="20"/>
                <w:u w:val="none"/>
              </w:rPr>
              <w:t>22,546</w:t>
            </w:r>
          </w:p>
        </w:tc>
      </w:tr>
    </w:tbl>
    <w:p>
      <w:pPr>
        <w:spacing w:before="120" w:after="40"/>
        <w:jc w:val="left"/>
      </w:pPr>
      <w:r>
        <w:rPr>
          <w:rFonts w:ascii="Times New Roman" w:hAnsi="Times New Roman"/>
          <w:b w:val="0"/>
          <w:i w:val="0"/>
          <w:sz w:val="20"/>
          <w:u w:val="none"/>
        </w:rPr>
        <w:t>The fair value reserve represents the cumulative uplift of the investment property from historical cost (£202,454) to fair value (£225,000), arising on revaluation in the year ended 31 March 2024. This reserve is non-distributable.</w:t>
      </w:r>
    </w:p>
    <w:p>
      <w:pPr>
        <w:spacing w:before="200" w:after="80"/>
        <w:jc w:val="left"/>
      </w:pPr>
      <w:r>
        <w:rPr>
          <w:rFonts w:ascii="Times New Roman" w:hAnsi="Times New Roman"/>
          <w:b/>
          <w:i w:val="0"/>
          <w:sz w:val="20"/>
          <w:u w:val="none"/>
        </w:rPr>
        <w:t>9.     RELATED PARTY TRANSACTIONS</w:t>
      </w:r>
    </w:p>
    <w:p>
      <w:pPr>
        <w:spacing w:before="40" w:after="40"/>
        <w:jc w:val="left"/>
      </w:pPr>
      <w:r>
        <w:rPr>
          <w:rFonts w:ascii="Times New Roman" w:hAnsi="Times New Roman"/>
          <w:b w:val="0"/>
          <w:i w:val="0"/>
          <w:sz w:val="20"/>
          <w:u w:val="none"/>
        </w:rPr>
        <w:t>The directors are the beneficial owners of the company. Director loan account balances are disclosed in Note 6. The amounts are unsecured, interest-free and repayable on demand. No other related party transactions requiring disclosure under FRS 102 Section 1A have been identified during the year.</w:t>
      </w:r>
    </w:p>
    <w:p>
      <w:pPr>
        <w:spacing w:before="200" w:after="80"/>
        <w:jc w:val="left"/>
      </w:pPr>
      <w:r>
        <w:rPr>
          <w:rFonts w:ascii="Times New Roman" w:hAnsi="Times New Roman"/>
          <w:b/>
          <w:i w:val="0"/>
          <w:sz w:val="20"/>
          <w:u w:val="none"/>
        </w:rPr>
        <w:t>10.    POST BALANCE SHEET EVENTS</w:t>
      </w:r>
    </w:p>
    <w:p>
      <w:pPr>
        <w:spacing w:before="40" w:after="40"/>
        <w:jc w:val="left"/>
      </w:pPr>
      <w:r>
        <w:rPr>
          <w:rFonts w:ascii="Times New Roman" w:hAnsi="Times New Roman"/>
          <w:b w:val="0"/>
          <w:i w:val="0"/>
          <w:sz w:val="20"/>
          <w:u w:val="none"/>
        </w:rPr>
        <w:t>There are no post balance sheet events requiring disclosure.</w:t>
      </w:r>
    </w:p>
    <w:p>
      <w:pPr>
        <w:spacing w:before="320"/>
        <w:jc w:val="center"/>
      </w:pPr>
      <w:r>
        <w:rPr>
          <w:rFonts w:ascii="Times New Roman" w:hAnsi="Times New Roman"/>
          <w:b w:val="0"/>
          <w:i/>
          <w:sz w:val="18"/>
          <w:u w:val="none"/>
        </w:rPr>
        <w:t>The notes form part of these financial statements</w:t>
      </w:r>
    </w:p>
    <w:p>
      <w:pPr>
        <w:jc w:val="center"/>
      </w:pPr>
      <w:r>
        <w:rPr>
          <w:rFonts w:ascii="Times New Roman" w:hAnsi="Times New Roman"/>
          <w:b w:val="0"/>
          <w:i w:val="0"/>
          <w:sz w:val="18"/>
          <w:u w:val="none"/>
        </w:rPr>
        <w:t>Page 6</w:t>
      </w:r>
    </w:p>
    <w:p>
      <w:r>
        <w:br w:type="page"/>
      </w:r>
    </w:p>
    <w:p>
      <w:r>
        <w:rPr>
          <w:rFonts w:ascii="Times New Roman" w:hAnsi="Times New Roman"/>
          <w:b/>
          <w:i w:val="0"/>
          <w:sz w:val="20"/>
          <w:u w:val="none"/>
        </w:rPr>
        <w:t>NELIBURN LTD (REGISTERED NUMBER: 13307297)</w:t>
      </w:r>
    </w:p>
    <w:p>
      <w:pPr>
        <w:spacing w:before="80" w:after="80"/>
        <w:jc w:val="left"/>
      </w:pPr>
      <w:r>
        <w:rPr>
          <w:rFonts w:ascii="Times New Roman" w:hAnsi="Times New Roman"/>
          <w:b/>
          <w:i w:val="0"/>
          <w:sz w:val="20"/>
          <w:u w:val="none"/>
        </w:rPr>
        <w:t>Directors' Report</w:t>
        <w:br/>
        <w:t>FOR THE YEAR ENDED 31 MARCH 2025</w:t>
      </w:r>
    </w:p>
    <w:p>
      <w:pPr>
        <w:spacing w:before="160" w:after="40"/>
        <w:jc w:val="left"/>
      </w:pPr>
      <w:r>
        <w:rPr>
          <w:rFonts w:ascii="Times New Roman" w:hAnsi="Times New Roman"/>
          <w:b w:val="0"/>
          <w:i w:val="0"/>
          <w:sz w:val="20"/>
          <w:u w:val="none"/>
        </w:rPr>
        <w:t>The directors present their report for the year ended 31 March 2025. The company's principal activity during the year was the holding and letting of a single residential investment property at 11 Hatfield Walk, York, YO24 3LX, which was subject to a programme of renovation works during the period April to June 2024 before being let to tenants through Ashtons Lettings &amp; Management from July 2024. The company incurred a loss before taxation of £13,677 for the year (2024: loss of £11,488), principally reflecting renovation expenditure during the void period and the full year's mortgage interest charge of £9,455. The directors do not recommend the payment of a dividend. The directors who served during the year were Mr Owen Neligan, Mrs Frances Neligan and Mrs Verity Winterburn.</w:t>
      </w:r>
    </w:p>
    <w:p/>
    <w:p/>
    <w:p>
      <w:r>
        <w:rPr>
          <w:rFonts w:ascii="Times New Roman" w:hAnsi="Times New Roman"/>
          <w:b w:val="0"/>
          <w:i w:val="0"/>
          <w:sz w:val="20"/>
          <w:u w:val="none"/>
        </w:rPr>
        <w:t>Signed on behalf of the Board:</w:t>
      </w:r>
    </w:p>
    <w:p/>
    <w:p>
      <w:r>
        <w:rPr>
          <w:rFonts w:ascii="Times New Roman" w:hAnsi="Times New Roman"/>
          <w:b w:val="0"/>
          <w:i w:val="0"/>
          <w:sz w:val="20"/>
          <w:u w:val="none"/>
        </w:rPr>
        <w:t>Mr Owen Neligan  –  Director</w:t>
      </w:r>
    </w:p>
    <w:p>
      <w:pPr>
        <w:spacing w:before="400"/>
      </w:pPr>
      <w:r>
        <w:rPr>
          <w:rFonts w:ascii="Times New Roman" w:hAnsi="Times New Roman"/>
          <w:b w:val="0"/>
          <w:i w:val="0"/>
          <w:sz w:val="20"/>
          <w:u w:val="none"/>
        </w:rPr>
        <w:t>Date: _______________________</w:t>
      </w:r>
    </w:p>
    <w:p>
      <w:pPr>
        <w:spacing w:before="80"/>
      </w:pPr>
      <w:r>
        <w:rPr>
          <w:rFonts w:ascii="Times New Roman" w:hAnsi="Times New Roman"/>
          <w:b w:val="0"/>
          <w:i w:val="0"/>
          <w:sz w:val="20"/>
          <w:u w:val="none"/>
        </w:rPr>
        <w:t>Registered office: Office LG06, 1 Quality Court, Chancery Lane, London, WC2A 1HR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