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equations"/>
    <w:p>
      <w:pPr>
        <w:pStyle w:val="Heading1"/>
      </w:pPr>
      <w:r>
        <w:t xml:space="preserve">Equations</w:t>
      </w:r>
    </w:p>
    <w:p>
      <w:pPr>
        <w:pStyle w:val="FirstParagraph"/>
      </w:pPr>
      <w:r>
        <w:t xml:space="preserve">Inline: the ratio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 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index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both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the root</w:t>
      </w:r>
      <w:r>
        <w:t xml:space="preserve"> </w:t>
      </w:r>
      <m:oMath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.</w:t>
      </w:r>
    </w:p>
    <w:p>
      <w:pPr>
        <w:pStyle w:val="BodyText"/>
      </w:pPr>
      <w:r>
        <w:t xml:space="preserve">Greek and symbols inline: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≤</m:t>
        </m:r>
        <m:r>
          <m:t>γ</m:t>
        </m:r>
        <m:r>
          <m:rPr>
            <m:sty m:val="p"/>
          </m:rPr>
          <m:t>≠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±</m:t>
        </m:r>
        <m:r>
          <m:rPr>
            <m:sty m:val="p"/>
          </m:rPr>
          <m:t>×</m:t>
        </m:r>
        <m:r>
          <m:rPr>
            <m:sty m:val="p"/>
          </m:rPr>
          <m:t>⋅</m:t>
        </m:r>
        <m:r>
          <m:rPr>
            <m:sty m:val="p"/>
          </m:rPr>
          <m:t>≈</m:t>
        </m:r>
      </m:oMath>
      <w:r>
        <w:t xml:space="preserve">.</w:t>
      </w:r>
    </w:p>
    <w:p>
      <w:pPr>
        <w:pStyle w:val="BodyText"/>
      </w:pPr>
      <w:r>
        <w:t xml:space="preserve">Display fraction: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num>
            <m:den>
              <m:r>
                <m:t>c</m:t>
              </m:r>
              <m:r>
                <m:rPr>
                  <m:sty m:val="p"/>
                </m:rPr>
                <m:t>−</m:t>
              </m:r>
              <m:r>
                <m:t>d</m:t>
              </m:r>
            </m:den>
          </m:f>
        </m:oMath>
      </m:oMathPara>
    </w:p>
    <w:p>
      <w:pPr>
        <w:pStyle w:val="FirstParagraph"/>
      </w:pPr>
      <w:r>
        <w:t xml:space="preserve">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a</m:t>
                  </m:r>
                  <m:r>
                    <m:t>c</m:t>
                  </m:r>
                </m:e>
              </m:rad>
            </m:num>
            <m:den>
              <m:r>
                <m:t>2</m:t>
              </m:r>
              <m:r>
                <m:t>a</m:t>
              </m:r>
            </m:den>
          </m:f>
        </m:oMath>
      </m:oMathPara>
    </w:p>
    <w:p>
      <w:pPr>
        <w:pStyle w:val="FirstParagraph"/>
      </w:pPr>
      <w:r>
        <w:t xml:space="preserve">Nth root:</w:t>
      </w:r>
    </w:p>
    <w:p>
      <w:pPr>
        <w:pStyle w:val="BodyText"/>
      </w:pPr>
      <m:oMathPara>
        <m:oMathParaPr>
          <m:jc m:val="center"/>
        </m:oMathParaPr>
        <m:oMath>
          <m:rad>
            <m:deg>
              <m:r>
                <m:t>3</m:t>
              </m:r>
            </m:deg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rad>
        </m:oMath>
      </m:oMathPara>
    </w:p>
    <w:p>
      <w:pPr>
        <w:pStyle w:val="FirstParagraph"/>
      </w:pPr>
      <w:r>
        <w:t xml:space="preserve">Sum with limits: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e>
          </m:nary>
        </m:oMath>
      </m:oMathPara>
    </w:p>
    <w:p>
      <w:pPr>
        <w:pStyle w:val="FirstParagraph"/>
      </w:pPr>
      <w:r>
        <w:t xml:space="preserve">Integral with limits: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Double integral and product: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A</m:t>
          </m:r>
          <m:r>
            <m:t>  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Matrix in parentheses: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</m:mr>
                <m:mr>
                  <m:e>
                    <m:r>
                      <m:t>c</m:t>
                    </m:r>
                  </m:e>
                  <m:e>
                    <m:r>
                      <m:t>d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Matrix in brackets: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Determinant bars: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</m:mr>
                <m:mr>
                  <m:e>
                    <m:r>
                      <m:t>c</m:t>
                    </m:r>
                  </m:e>
                  <m:e>
                    <m:r>
                      <m:t>d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Aligned equations: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Functions: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t>y</m:t>
          </m:r>
        </m:oMath>
      </m:oMathPara>
    </w:p>
    <w:p>
      <w:pPr>
        <w:pStyle w:val="FirstParagraph"/>
      </w:pPr>
      <w:r>
        <w:t xml:space="preserve">Limit: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t>x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Accents: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⃗"/>
            </m:accPr>
            <m:e>
              <m:r>
                <m:t>v</m:t>
              </m:r>
            </m:e>
          </m:acc>
          <m:r>
            <m:rPr>
              <m:sty m:val="p"/>
            </m:rPr>
            <m:t>+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̇"/>
            </m:accPr>
            <m:e>
              <m:r>
                <m:t>w</m:t>
              </m:r>
            </m:e>
          </m:acc>
        </m:oMath>
      </m:oMathPara>
    </w:p>
    <w:p>
      <w:pPr>
        <w:pStyle w:val="FirstParagraph"/>
      </w:pPr>
      <w:r>
        <w:t xml:space="preserve">Overline and underline: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A</m:t>
              </m:r>
              <m:r>
                <m:t>B</m:t>
              </m:r>
            </m:e>
          </m:bar>
          <m:r>
            <m:rPr>
              <m:sty m:val="p"/>
            </m:rPr>
            <m:t>+</m:t>
          </m:r>
          <m:bar>
            <m:barPr>
              <m:pos m:val="bot"/>
            </m:barPr>
            <m:e>
              <m:r>
                <m:t>C</m:t>
              </m:r>
              <m:r>
                <m:t>D</m:t>
              </m:r>
            </m:e>
          </m:bar>
        </m:oMath>
      </m:oMathPara>
    </w:p>
    <w:p>
      <w:pPr>
        <w:pStyle w:val="FirstParagraph"/>
      </w:pPr>
      <w:r>
        <w:t xml:space="preserve">Binomial: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k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!</m:t>
              </m:r>
            </m:num>
            <m:den>
              <m:r>
                <m:t>k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p>
      <w:pPr>
        <w:pStyle w:val="FirstParagraph"/>
      </w:pPr>
      <w:r>
        <w:t xml:space="preserve">Cases: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Braces and text: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sum</m:t>
              </m:r>
            </m:lim>
          </m:limLow>
          <m:r>
            <m:t> </m:t>
          </m:r>
          <m:limUpp>
            <m:e>
              <m:groupChr>
                <m:groupChrPr>
                  <m:chr m:val="⏞"/>
                  <m:pos m:val="top"/>
                  <m:vertJc m:val="bot"/>
                </m:groupChrPr>
                <m:e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e>
              </m:groupChr>
            </m:e>
            <m:lim>
              <m:r>
                <m:t>n</m:t>
              </m:r>
            </m:lim>
          </m:limUpp>
        </m:oMath>
      </m:oMathPara>
    </w:p>
    <w:p>
      <w:pPr>
        <w:pStyle w:val="FirstParagraph"/>
      </w:pPr>
      <w:r>
        <w:t xml:space="preserve">Set notation: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r>
            <m:rPr>
              <m:sty m:val="p"/>
            </m:rPr>
            <m:t>⊆</m:t>
          </m:r>
          <m:r>
            <m:t>C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∃</m:t>
          </m:r>
          <m:r>
            <m:t>y</m:t>
          </m:r>
        </m:oMath>
      </m:oMathPara>
    </w:p>
    <w:p>
      <w:pPr>
        <w:pStyle w:val="FirstParagraph"/>
      </w:pPr>
      <w:r>
        <w:t xml:space="preserve">Left and right delimiters: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d>
            <m:dPr>
              <m:begChr m:val="⟨"/>
              <m:sepChr m:val=""/>
              <m:endChr m:val="⟩"/>
              <m:grow/>
            </m:dPr>
            <m:e>
              <m:r>
                <m:t>y</m:t>
              </m:r>
            </m:e>
          </m:d>
        </m:oMath>
      </m:oMathPara>
    </w:p>
    <w:p>
      <w:pPr>
        <w:pStyle w:val="FirstParagraph"/>
      </w:pPr>
      <w:r>
        <w:t xml:space="preserve">Arrows: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→</m:t>
          </m:r>
          <m:r>
            <m:t>b</m:t>
          </m:r>
          <m:r>
            <m:rPr>
              <m:sty m:val="p"/>
            </m:rPr>
            <m:t>⇒</m:t>
          </m:r>
          <m:r>
            <m:t>c</m:t>
          </m:r>
          <m:r>
            <m:rPr>
              <m:sty m:val="p"/>
            </m:rPr>
            <m:t>↔</m:t>
          </m:r>
          <m:r>
            <m:t>d</m:t>
          </m:r>
        </m:oMath>
      </m:oMathPara>
    </w:p>
    <w:p>
      <w:pPr>
        <w:pStyle w:val="FirstParagraph"/>
      </w:pPr>
      <w:r>
        <w:t xml:space="preserve">Text and special characters: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nor/>
              <m:sty m:val="p"/>
            </m:rPr>
            <m:t> and </m:t>
          </m:r>
          <m:r>
            <m:t>y</m:t>
          </m:r>
          <m:r>
            <m:t> </m:t>
          </m:r>
          <m:r>
            <m:rPr>
              <m:sty m:val="p"/>
            </m:rPr>
            <m:t>d</m:t>
          </m:r>
          <m:r>
            <m:t>x</m:t>
          </m:r>
          <m:r>
            <m:t> </m:t>
          </m:r>
          <m:r>
            <m:rPr>
              <m:sty m:val="p"/>
            </m:rPr>
            <m:t>∂</m:t>
          </m:r>
          <m:r>
            <m:t>f</m:t>
          </m:r>
          <m:r>
            <m:rPr>
              <m:sty m:val="p"/>
            </m:rPr>
            <m:t>/</m:t>
          </m:r>
          <m:r>
            <m:rPr>
              <m:sty m:val="p"/>
            </m:rPr>
            <m:t>∂</m:t>
          </m:r>
          <m:r>
            <m:t>x</m:t>
          </m:r>
        </m:oMath>
      </m:oMathPara>
    </w:p>
    <w:p>
      <w:pPr>
        <w:pStyle w:val="FirstParagraph"/>
      </w:pPr>
      <w:r>
        <w:t xml:space="preserve">Final inline: the value</w:t>
      </w:r>
      <w:r>
        <w:t xml:space="preserve"> </w:t>
      </w:r>
      <m:oMath>
        <m:sSup>
          <m:e>
            <m:r>
              <m:t>e</m:t>
            </m:r>
          </m:e>
          <m:sup>
            <m:r>
              <m:t>i</m:t>
            </m:r>
            <m:r>
              <m:t>π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famous.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2026-10-16T23:59:38Z</dcterms:created>
  <dcterms:modified xsi:type="dcterms:W3CDTF">2026-10-16T23:59:38Z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