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360" w:after="80"/>
        <w:rPr/>
      </w:pPr>
      <w:bookmarkStart w:id="0" w:name="equations"/>
      <w:r>
        <w:rPr/>
        <w:t>Equations</w:t>
      </w:r>
    </w:p>
    <w:p>
      <w:pPr>
        <w:pStyle w:val="FirstParagraph"/>
        <w:rPr/>
      </w:pPr>
      <w:r>
        <w:rPr/>
        <w:t xml:space="preserve">Inline: the ratio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</m:oMath>
      <w:r>
        <w:rPr/>
        <w:t xml:space="preserve">, the power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, the index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, both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/>
        <w:t xml:space="preserve"> and the root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</m:oMath>
      <w:r>
        <w:rPr/>
        <w:t>.</w:t>
      </w:r>
    </w:p>
    <w:p>
      <w:pPr>
        <w:pStyle w:val="BodyText"/>
        <w:rPr/>
      </w:pPr>
      <w:r>
        <w:rPr/>
        <w:t xml:space="preserve">Greek and symbols inline: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γ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∞</m:t>
        </m:r>
      </m:oMath>
      <w:r>
        <w:rPr/>
        <w:t xml:space="preserve">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≈</m:t>
        </m:r>
      </m:oMath>
      <w:r>
        <w:rPr/>
        <w:t>.</w:t>
      </w:r>
    </w:p>
    <w:p>
      <w:pPr>
        <w:pStyle w:val="BodyText"/>
        <w:rPr/>
      </w:pPr>
      <w:r>
        <w:rPr/>
        <w:t>Display fraction: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d</m:t>
              </m:r>
            </m:den>
          </m:f>
        </m:oMath>
      </m:oMathPara>
    </w:p>
    <w:p>
      <w:pPr>
        <w:pStyle w:val="FirstParagraph"/>
        <w:rPr/>
      </w:pPr>
      <w:r>
        <w:rPr/>
        <w:t>Quadratic formula: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</m:oMath>
      </m:oMathPara>
    </w:p>
    <w:p>
      <w:pPr>
        <w:pStyle w:val="FirstParagraph"/>
        <w:rPr/>
      </w:pPr>
      <w:r>
        <w:rPr/>
        <w:t>Nth root: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ad>
            <m:deg>
              <m:r>
                <w:rPr>
                  <w:rFonts w:ascii="Cambria Math" w:hAnsi="Cambria Math"/>
                </w:rPr>
                <m:t xml:space="preserve">3</m:t>
              </m:r>
            </m:deg>
            <m:e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rad>
        </m:oMath>
      </m:oMathPara>
    </w:p>
    <w:p>
      <w:pPr>
        <w:pStyle w:val="FirstParagraph"/>
        <w:rPr/>
      </w:pPr>
      <w:r>
        <w:rPr/>
        <w:t>Sum with limits: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</m:oMath>
      </m:oMathPara>
    </w:p>
    <w:p>
      <w:pPr>
        <w:pStyle w:val="FirstParagraph"/>
        <w:rPr/>
      </w:pPr>
      <w:r>
        <w:rPr/>
        <w:t>Integral with limits: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FirstParagraph"/>
        <w:rPr/>
      </w:pPr>
      <w:r>
        <w:rPr/>
        <w:t>Double integral and product: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∬"/>
              <m:supHide m:val="1"/>
            </m:naryPr>
            <m:sub>
              <m:r>
                <w:rPr>
                  <w:rFonts w:ascii="Cambria Math" w:hAnsi="Cambria Math"/>
                </w:rPr>
                <m:t xml:space="preserve">D</m:t>
              </m:r>
            </m:sub>
            <m:sup/>
            <m:e>
              <m:r>
                <w:rPr>
                  <w:rFonts w:ascii="Cambria Math" w:hAnsi="Cambria Math"/>
                </w:rPr>
                <m:t xml:space="preserve">f</m:t>
              </m:r>
            </m:e>
          </m:nary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A</m:t>
          </m:r>
          <m:nary>
            <m:naryPr>
              <m:chr m:val="∏"/>
            </m:naryPr>
            <m:sub>
              <m:r>
                <w:rPr>
                  <w:rFonts w:ascii="Cambria Math" w:hAnsi="Cambria Math"/>
                </w:rPr>
                <m:t xml:space="preserve">k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m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</m:oMath>
      </m:oMathPara>
    </w:p>
    <w:p>
      <w:pPr>
        <w:pStyle w:val="FirstParagraph"/>
        <w:rPr/>
      </w:pPr>
      <w:r>
        <w:rPr/>
        <w:t>Matrix in parentheses: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Matrix in brackets: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Determinant bars: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|</m:t>
          </m:r>
          <m:m>
            <m:m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mr>
          </m:m>
          <m:r>
            <w:rPr>
              <w:rFonts w:ascii="Cambria Math" w:hAnsi="Cambria Math"/>
            </w:rPr>
            <m:t xml:space="preserve">|</m:t>
          </m:r>
        </m:oMath>
      </m:oMathPara>
    </w:p>
    <w:p>
      <w:pPr>
        <w:pStyle w:val="FirstParagraph"/>
        <w:rPr/>
      </w:pPr>
      <w:r>
        <w:rPr/>
        <w:t>Aligned equations: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&amp;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eqArr>
        </m:oMath>
      </m:oMathPara>
    </w:p>
    <w:p>
      <w:pPr>
        <w:pStyle w:val="FirstParagraph"/>
        <w:rPr/>
      </w:pPr>
      <w:r>
        <w:rPr/>
        <w:t>Functions: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cos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θ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FirstParagraph"/>
        <w:rPr/>
      </w:pPr>
      <w:r>
        <w:rPr/>
        <w:t>Limit: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func>
                <m:fName>
                  <m:limLow>
                    <m:e>
                      <m:r>
                        <w:rPr>
                          <w:rFonts w:ascii="Cambria Math" w:hAnsi="Cambria Math"/>
                        </w:rPr>
                        <m:t xml:space="preserve"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→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FirstParagraph"/>
        <w:rPr/>
      </w:pPr>
      <w:r>
        <w:rPr/>
        <w:t>Accents: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acc>
            <m:accPr>
              <m:chr m:val="´"/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z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w</m:t>
              </m:r>
            </m:e>
          </m:acc>
        </m:oMath>
      </m:oMathPara>
    </w:p>
    <w:p>
      <w:pPr>
        <w:pStyle w:val="FirstParagraph"/>
        <w:rPr/>
      </w:pPr>
      <w:r>
        <w:rPr/>
        <w:t>Overline and underline: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B</m:t>
              </m:r>
            </m:e>
          </m:ba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bar>
            <m:barPr>
              <m:pos m:val="bot"/>
            </m:bar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D</m:t>
              </m:r>
            </m:e>
          </m:bar>
        </m:oMath>
      </m:oMathPara>
    </w:p>
    <w:p>
      <w:pPr>
        <w:pStyle w:val="FirstParagraph"/>
        <w:rPr/>
      </w:pPr>
      <w:r>
        <w:rPr/>
        <w:t>Binomial: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eqAr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!</m:t>
              </m:r>
            </m:num>
            <m:den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!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!</m:t>
              </m:r>
            </m:den>
          </m:f>
        </m:oMath>
      </m:oMathPara>
    </w:p>
    <w:p>
      <w:pPr>
        <w:pStyle w:val="FirstParagraph"/>
        <w:rPr/>
      </w:pPr>
      <w:r>
        <w:rPr/>
        <w:t>Cases: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≥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&lt;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Braces and text: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limLow>
            <m:e>
              <m:r>
                <w:rPr>
                  <w:rFonts w:ascii="Cambria Math" w:hAnsi="Cambria Math"/>
                </w:rPr>
                <m:t xml:space="preserve">b</m:t>
              </m:r>
            </m:e>
            <m:lim/>
          </m:limLow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 xml:space="preserve">n</m:t>
              </m:r>
            </m:lim>
          </m:limUpp>
        </m:oMath>
      </m:oMathPara>
    </w:p>
    <w:p>
      <w:pPr>
        <w:pStyle w:val="FirstParagraph"/>
        <w:rPr/>
      </w:pPr>
      <w:r>
        <w:rPr/>
        <w:t>Set notation: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∪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⊆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ℝ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FirstParagraph"/>
        <w:rPr/>
      </w:pPr>
      <w:r>
        <w:rPr/>
        <w:t>Left and right delimiters: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</m:e>
          </m:d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d>
            <m:dPr>
              <m:begChr m:val="⟨"/>
              <m:endChr m:val="⟩"/>
            </m:dPr>
            <m:e>
              <m:r>
                <w:rPr>
                  <w:rFonts w:ascii="Cambria Math" w:hAnsi="Cambria Math"/>
                </w:rPr>
                <m:t xml:space="preserve">y</m:t>
              </m:r>
            </m:e>
          </m:d>
        </m:oMath>
      </m:oMathPara>
    </w:p>
    <w:p>
      <w:pPr>
        <w:pStyle w:val="FirstParagraph"/>
        <w:rPr/>
      </w:pPr>
      <w:r>
        <w:rPr/>
        <w:t>Arrows: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↔</m:t>
          </m:r>
          <m:r>
            <w:rPr>
              <w:rFonts w:ascii="Cambria Math" w:hAnsi="Cambria Math"/>
            </w:rPr>
            <m:t xml:space="preserve">d</m:t>
          </m:r>
        </m:oMath>
      </m:oMathPara>
    </w:p>
    <w:p>
      <w:pPr>
        <w:pStyle w:val="FirstParagraph"/>
        <w:rPr/>
      </w:pPr>
      <w:r>
        <w:rPr/>
        <w:t>Text and special characters: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and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∂</m:t>
          </m:r>
          <m:r>
            <w:rPr>
              <w:rFonts w:ascii="Cambria Math" w:hAnsi="Cambria Math"/>
            </w:rPr>
            <m:t xml:space="preserve">f</m:t>
          </m:r>
          <m:r>
            <m:rPr>
              <m:lit/>
              <m:nor/>
            </m:rPr>
            <w:rPr>
              <w:rFonts w:ascii="Cambria Math" w:hAnsi="Cambria Math"/>
            </w:rPr>
            <m:t xml:space="preserve">/</m:t>
          </m:r>
          <m:r>
            <w:rPr>
              <w:rFonts w:ascii="Cambria Math" w:hAnsi="Cambria Math"/>
            </w:rPr>
            <m:t xml:space="preserve">∂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FirstParagraph"/>
        <w:spacing w:before="180" w:after="180"/>
        <w:rPr/>
      </w:pPr>
      <w:r>
        <w:rPr/>
        <w:t xml:space="preserve">Final inline: the value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π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is famous.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Segoe UI" w:cs="Tahoma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Aptos" w:hAnsi="Aptos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Segoe UI" w:cs="Tahom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Segoe UI" w:cs="Tahom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Segoe UI" w:cs="Tahom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Segoe UI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Segoe UI" w:cs="Tahom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Segoe UI" w:cs="Tahoma"/>
      <w:i/>
      <w:iCs/>
      <w:color w:themeColor="dark1" w:themeTint="a6" w:val="595959"/>
    </w:rPr>
  </w:style>
  <w:style w:type="paragraph" w:styleId="Heading7">
    <w:name w:val="heading 7"/>
    <w:basedOn w:val="Normal"/>
    <w:next w:val="BodyText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Segoe UI" w:cs="Tahoma"/>
      <w:color w:themeColor="dark1" w:themeTint="a6" w:val="595959"/>
    </w:rPr>
  </w:style>
  <w:style w:type="paragraph" w:styleId="Heading8">
    <w:name w:val="heading 8"/>
    <w:basedOn w:val="Normal"/>
    <w:next w:val="BodyText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Segoe UI" w:cs="Tahoma"/>
      <w:i/>
      <w:iCs/>
      <w:color w:themeColor="dark1" w:themeTint="d8" w:val="272727"/>
    </w:rPr>
  </w:style>
  <w:style w:type="paragraph" w:styleId="Heading9">
    <w:name w:val="heading 9"/>
    <w:basedOn w:val="Normal"/>
    <w:next w:val="BodyText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Segoe UI" w:cs="Tahoma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Segoe UI" w:cs="Tahoma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Segoe UI" w:cs="Tahoma"/>
      <w:color w:themeColor="dark1" w:themeTint="a6" w:val="595959"/>
      <w:spacing w:val="15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Segoe UI" w:cs="Tahoma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Segoe UI" w:cs="Tahoma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Segoe UI" w:cs="Tahoma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Segoe UI" w:cs="Tahoma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Segoe UI" w:cs="Tahoma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Segoe UI" w:cs="Tahoma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Segoe UI" w:cs="Tahoma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Segoe UI" w:cs="Tahoma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Segoe UI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qFormat/>
    <w:pPr>
      <w:spacing w:lineRule="auto" w:line="240" w:before="0" w:after="80"/>
      <w:contextualSpacing/>
      <w:jc w:val="center"/>
    </w:pPr>
    <w:rPr>
      <w:rFonts w:ascii="Aptos Display" w:hAnsi="Aptos Display" w:eastAsia="Segoe UI" w:cs="Tahoma"/>
      <w:sz w:val="56"/>
      <w:szCs w:val="56"/>
    </w:rPr>
  </w:style>
  <w:style w:type="paragraph" w:styleId="Subtitle">
    <w:name w:val="Subtitle"/>
    <w:basedOn w:val="Title"/>
    <w:next w:val="BodyText"/>
    <w:link w:val="SubtitleChar"/>
    <w:qFormat/>
    <w:pPr/>
    <w:rPr>
      <w:rFonts w:eastAsia="Segoe UI" w:cs="Tahoma"/>
      <w:spacing w:val="15"/>
      <w:sz w:val="28"/>
      <w:szCs w:val="28"/>
    </w:rPr>
  </w:style>
  <w:style w:type="paragraph" w:styleId="Author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left="480" w:right="480"/>
    </w:pPr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Segoe UI" w:cs="Tahoma"/>
      <w:b w:val="false"/>
      <w:bCs w:val="false"/>
      <w:color w:themeColor="accent1" w:themeShade="bf" w:val="365F91"/>
    </w:rPr>
  </w:style>
  <w:style w:type="paragraph" w:styleId="SourceCode">
    <w:name w:val="Source Code"/>
    <w:basedOn w:val="Normal"/>
    <w:link w:val="VerbatimChar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LibreOffice/26.2.4.2$Windows_X86_64 LibreOffice_project/0229ac93fcf0d7cbc6376066c6f35021cef002dc</Application>
  <AppVersion>15.0000</AppVersion>
  <Pages>1</Pages>
  <Words>76</Words>
  <Characters>423</Characters>
  <CharactersWithSpaces>477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2026-10-16T23:59:38Z</dcterms:created>
  <dc:creator/>
  <dc:description/>
  <dc:language>en-US</dc:language>
  <cp:lastModifiedBy/>
  <dcterms:modified xsi:type="dcterms:W3CDTF">2026-10-16T23:59:38Z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