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mbria" w:hAnsi="Cambria" w:cs="Cambria"/>
          <w:b/>
          <w:i w:val="0"/>
          <w:color w:val="2F3C7E"/>
          <w:sz w:val="32"/>
        </w:rPr>
        <w:t>TEACHER CARDS · Unit 1 Review Game</w:t>
      </w:r>
    </w:p>
    <w:p>
      <w:pPr>
        <w:jc w:val="center"/>
      </w:pPr>
      <w:r>
        <w:rPr>
          <w:rFonts w:ascii="Calibri" w:hAnsi="Calibri" w:cs="Calibri"/>
          <w:b w:val="0"/>
          <w:i/>
          <w:color w:val="555555"/>
          <w:sz w:val="22"/>
        </w:rPr>
        <w:t>Cut these out. Team Explain ($500) = short spoken answer · Team Challenge ($300) = 30-second demo.</w:t>
      </w:r>
    </w:p>
    <w:p>
      <w:pPr>
        <w:spacing w:before="40" w:after="40"/>
      </w:pPr>
      <w:r>
        <w:rPr>
          <w:rFonts w:ascii="Calibri" w:hAnsi="Calibri" w:cs="Calibri"/>
          <w:b/>
          <w:i w:val="0"/>
          <w:caps/>
          <w:color w:val="2F3C7E"/>
          <w:sz w:val="28"/>
        </w:rPr>
        <w:t>TEAM EXPLAIN CARDS  ($500 clues)</w:t>
      </w:r>
    </w:p>
    <w:p>
      <w:pPr>
        <w:spacing w:before="0" w:after="50"/>
      </w:pPr>
      <w:r>
        <w:rPr>
          <w:rFonts w:ascii="Calibri" w:hAnsi="Calibri" w:cs="Calibri"/>
          <w:b w:val="0"/>
          <w:i w:val="0"/>
          <w:color w:val="555555"/>
          <w:sz w:val="22"/>
        </w:rPr>
        <w:t>Teams discuss, then explain in one or two spoken sentences. No long writing.</w:t>
      </w: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</w:tblPr>
      <w:tblGrid>
        <w:gridCol w:w="10080"/>
      </w:tblGrid>
      <w:tr>
        <w:tc>
          <w:tcPr>
            <w:tcW w:type="dxa" w:w="10080"/>
            <w:tcMar>
              <w:top w:w="46" w:type="dxa"/>
              <w:left w:w="120" w:type="dxa"/>
              <w:bottom w:w="46" w:type="dxa"/>
              <w:right w:w="120" w:type="dxa"/>
            </w:tcMar>
            <w:tcBorders>
              <w:top w:sz="10" w:val="single" w:color="2F3C7E"/>
              <w:left w:sz="10" w:val="single" w:color="2F3C7E"/>
              <w:bottom w:sz="10" w:val="single" w:color="2F3C7E"/>
              <w:right w:sz="10" w:val="single" w:color="2F3C7E"/>
            </w:tcBorders>
            <w:shd w:fill="F4F4F8"/>
          </w:tcPr>
          <w:p>
            <w:r>
              <w:rPr>
                <w:rFonts w:ascii="Calibri" w:hAnsi="Calibri" w:cs="Calibri"/>
                <w:b/>
                <w:i w:val="0"/>
                <w:color w:val="C03D3D"/>
                <w:sz w:val="24"/>
              </w:rPr>
              <w:t xml:space="preserve">Case 1 · Energy Causes Change   </w:t>
            </w:r>
            <w:r>
              <w:rPr>
                <w:rFonts w:ascii="Calibri" w:hAnsi="Calibri" w:cs="Calibri"/>
                <w:b/>
                <w:i w:val="0"/>
                <w:color w:val="2F3C7E"/>
                <w:sz w:val="24"/>
              </w:rPr>
              <w:t>— TEAM EXPLAIN</w:t>
            </w:r>
          </w:p>
          <w:p>
            <w:r>
              <w:rPr>
                <w:rFonts w:ascii="Calibri" w:hAnsi="Calibri" w:cs="Calibri"/>
                <w:b/>
                <w:i w:val="0"/>
                <w:color w:val="1F1F1F"/>
                <w:sz w:val="25"/>
              </w:rPr>
              <w:t>A battery, a stretched rubber band, and a raised ball are not moving. Explain how they can still have energy.</w:t>
            </w:r>
          </w:p>
          <w:p>
            <w:r>
              <w:rPr>
                <w:rFonts w:ascii="Calibri" w:hAnsi="Calibri" w:cs="Calibri"/>
                <w:b/>
                <w:i/>
                <w:color w:val="555555"/>
                <w:sz w:val="21"/>
              </w:rPr>
              <w:t xml:space="preserve">Expected: </w:t>
            </w:r>
            <w:r>
              <w:rPr>
                <w:rFonts w:ascii="Calibri" w:hAnsi="Calibri" w:cs="Calibri"/>
                <w:b w:val="0"/>
                <w:i/>
                <w:color w:val="555555"/>
                <w:sz w:val="21"/>
              </w:rPr>
              <w:t>They have stored energy that can cause a change later.</w:t>
            </w:r>
          </w:p>
        </w:tc>
      </w:tr>
    </w:tbl>
    <w:p>
      <w:pPr>
        <w:spacing w:after="30"/>
      </w:pP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</w:tblPr>
      <w:tblGrid>
        <w:gridCol w:w="10080"/>
      </w:tblGrid>
      <w:tr>
        <w:tc>
          <w:tcPr>
            <w:tcW w:type="dxa" w:w="10080"/>
            <w:tcMar>
              <w:top w:w="46" w:type="dxa"/>
              <w:left w:w="120" w:type="dxa"/>
              <w:bottom w:w="46" w:type="dxa"/>
              <w:right w:w="120" w:type="dxa"/>
            </w:tcMar>
            <w:tcBorders>
              <w:top w:sz="10" w:val="single" w:color="2F3C7E"/>
              <w:left w:sz="10" w:val="single" w:color="2F3C7E"/>
              <w:bottom w:sz="10" w:val="single" w:color="2F3C7E"/>
              <w:right w:sz="10" w:val="single" w:color="2F3C7E"/>
            </w:tcBorders>
            <w:shd w:fill="F4F4F8"/>
          </w:tcPr>
          <w:p>
            <w:r>
              <w:rPr>
                <w:rFonts w:ascii="Calibri" w:hAnsi="Calibri" w:cs="Calibri"/>
                <w:b/>
                <w:i w:val="0"/>
                <w:color w:val="C03D3D"/>
                <w:sz w:val="24"/>
              </w:rPr>
              <w:t xml:space="preserve">Case 2 · Speed &amp; Energy of Motion   </w:t>
            </w:r>
            <w:r>
              <w:rPr>
                <w:rFonts w:ascii="Calibri" w:hAnsi="Calibri" w:cs="Calibri"/>
                <w:b/>
                <w:i w:val="0"/>
                <w:color w:val="2F3C7E"/>
                <w:sz w:val="24"/>
              </w:rPr>
              <w:t>— TEAM EXPLAIN</w:t>
            </w:r>
          </w:p>
          <w:p>
            <w:r>
              <w:rPr>
                <w:rFonts w:ascii="Calibri" w:hAnsi="Calibri" w:cs="Calibri"/>
                <w:b/>
                <w:i w:val="0"/>
                <w:color w:val="1F1F1F"/>
                <w:sz w:val="25"/>
              </w:rPr>
              <w:t>The same marble moved the cup farther from a higher ramp. Explain what this shows about speed and energy of motion.</w:t>
            </w:r>
          </w:p>
          <w:p>
            <w:r>
              <w:rPr>
                <w:rFonts w:ascii="Calibri" w:hAnsi="Calibri" w:cs="Calibri"/>
                <w:b/>
                <w:i/>
                <w:color w:val="555555"/>
                <w:sz w:val="21"/>
              </w:rPr>
              <w:t xml:space="preserve">Expected: </w:t>
            </w:r>
            <w:r>
              <w:rPr>
                <w:rFonts w:ascii="Calibri" w:hAnsi="Calibri" w:cs="Calibri"/>
                <w:b w:val="0"/>
                <w:i/>
                <w:color w:val="555555"/>
                <w:sz w:val="21"/>
              </w:rPr>
              <w:t>The faster marble had more energy of motion (a greater change).</w:t>
            </w:r>
          </w:p>
        </w:tc>
      </w:tr>
    </w:tbl>
    <w:p>
      <w:pPr>
        <w:spacing w:after="30"/>
      </w:pP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</w:tblPr>
      <w:tblGrid>
        <w:gridCol w:w="10080"/>
      </w:tblGrid>
      <w:tr>
        <w:tc>
          <w:tcPr>
            <w:tcW w:type="dxa" w:w="10080"/>
            <w:tcMar>
              <w:top w:w="46" w:type="dxa"/>
              <w:left w:w="120" w:type="dxa"/>
              <w:bottom w:w="46" w:type="dxa"/>
              <w:right w:w="120" w:type="dxa"/>
            </w:tcMar>
            <w:tcBorders>
              <w:top w:sz="10" w:val="single" w:color="2F3C7E"/>
              <w:left w:sz="10" w:val="single" w:color="2F3C7E"/>
              <w:bottom w:sz="10" w:val="single" w:color="2F3C7E"/>
              <w:right w:sz="10" w:val="single" w:color="2F3C7E"/>
            </w:tcBorders>
            <w:shd w:fill="F4F4F8"/>
          </w:tcPr>
          <w:p>
            <w:r>
              <w:rPr>
                <w:rFonts w:ascii="Calibri" w:hAnsi="Calibri" w:cs="Calibri"/>
                <w:b/>
                <w:i w:val="0"/>
                <w:color w:val="C03D3D"/>
                <w:sz w:val="24"/>
              </w:rPr>
              <w:t xml:space="preserve">Case 3 · Transfer or Transformation   </w:t>
            </w:r>
            <w:r>
              <w:rPr>
                <w:rFonts w:ascii="Calibri" w:hAnsi="Calibri" w:cs="Calibri"/>
                <w:b/>
                <w:i w:val="0"/>
                <w:color w:val="2F3C7E"/>
                <w:sz w:val="24"/>
              </w:rPr>
              <w:t>— TEAM EXPLAIN</w:t>
            </w:r>
          </w:p>
          <w:p>
            <w:r>
              <w:rPr>
                <w:rFonts w:ascii="Calibri" w:hAnsi="Calibri" w:cs="Calibri"/>
                <w:b/>
                <w:i w:val="0"/>
                <w:color w:val="1F1F1F"/>
                <w:sz w:val="25"/>
              </w:rPr>
              <w:t>A flashlight lights a card across the room. Explain whether energy transferred, transformed, or both.</w:t>
            </w:r>
          </w:p>
          <w:p>
            <w:r>
              <w:rPr>
                <w:rFonts w:ascii="Calibri" w:hAnsi="Calibri" w:cs="Calibri"/>
                <w:b/>
                <w:i/>
                <w:color w:val="555555"/>
                <w:sz w:val="21"/>
              </w:rPr>
              <w:t xml:space="preserve">Expected: </w:t>
            </w:r>
            <w:r>
              <w:rPr>
                <w:rFonts w:ascii="Calibri" w:hAnsi="Calibri" w:cs="Calibri"/>
                <w:b w:val="0"/>
                <w:i/>
                <w:color w:val="555555"/>
                <w:sz w:val="21"/>
              </w:rPr>
              <w:t>Both — stored energy changes into light (transformation), and the light moves to the card (transfer).</w:t>
            </w:r>
          </w:p>
        </w:tc>
      </w:tr>
    </w:tbl>
    <w:p>
      <w:pPr>
        <w:spacing w:after="30"/>
      </w:pP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</w:tblPr>
      <w:tblGrid>
        <w:gridCol w:w="10080"/>
      </w:tblGrid>
      <w:tr>
        <w:tc>
          <w:tcPr>
            <w:tcW w:type="dxa" w:w="10080"/>
            <w:tcMar>
              <w:top w:w="46" w:type="dxa"/>
              <w:left w:w="120" w:type="dxa"/>
              <w:bottom w:w="46" w:type="dxa"/>
              <w:right w:w="120" w:type="dxa"/>
            </w:tcMar>
            <w:tcBorders>
              <w:top w:sz="10" w:val="single" w:color="2F3C7E"/>
              <w:left w:sz="10" w:val="single" w:color="2F3C7E"/>
              <w:bottom w:sz="10" w:val="single" w:color="2F3C7E"/>
              <w:right w:sz="10" w:val="single" w:color="2F3C7E"/>
            </w:tcBorders>
            <w:shd w:fill="F4F4F8"/>
          </w:tcPr>
          <w:p>
            <w:r>
              <w:rPr>
                <w:rFonts w:ascii="Calibri" w:hAnsi="Calibri" w:cs="Calibri"/>
                <w:b/>
                <w:i w:val="0"/>
                <w:color w:val="C03D3D"/>
                <w:sz w:val="24"/>
              </w:rPr>
              <w:t xml:space="preserve">Case 4 · Collisions   </w:t>
            </w:r>
            <w:r>
              <w:rPr>
                <w:rFonts w:ascii="Calibri" w:hAnsi="Calibri" w:cs="Calibri"/>
                <w:b/>
                <w:i w:val="0"/>
                <w:color w:val="2F3C7E"/>
                <w:sz w:val="24"/>
              </w:rPr>
              <w:t>— TEAM EXPLAIN</w:t>
            </w:r>
          </w:p>
          <w:p>
            <w:r>
              <w:rPr>
                <w:rFonts w:ascii="Calibri" w:hAnsi="Calibri" w:cs="Calibri"/>
                <w:b/>
                <w:i w:val="0"/>
                <w:color w:val="1F1F1F"/>
                <w:sz w:val="25"/>
              </w:rPr>
              <w:t>A rolling car stops when it hits a target, and the target moves. Explain where the energy went.</w:t>
            </w:r>
          </w:p>
          <w:p>
            <w:r>
              <w:rPr>
                <w:rFonts w:ascii="Calibri" w:hAnsi="Calibri" w:cs="Calibri"/>
                <w:b/>
                <w:i/>
                <w:color w:val="555555"/>
                <w:sz w:val="21"/>
              </w:rPr>
              <w:t xml:space="preserve">Expected: </w:t>
            </w:r>
            <w:r>
              <w:rPr>
                <w:rFonts w:ascii="Calibri" w:hAnsi="Calibri" w:cs="Calibri"/>
                <w:b w:val="0"/>
                <w:i/>
                <w:color w:val="555555"/>
                <w:sz w:val="21"/>
              </w:rPr>
              <w:t>It transferred to the target (and some became sound). It did not disappear.</w:t>
            </w:r>
          </w:p>
        </w:tc>
      </w:tr>
    </w:tbl>
    <w:p>
      <w:pPr>
        <w:spacing w:after="30"/>
      </w:pP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</w:tblPr>
      <w:tblGrid>
        <w:gridCol w:w="10080"/>
      </w:tblGrid>
      <w:tr>
        <w:tc>
          <w:tcPr>
            <w:tcW w:type="dxa" w:w="10080"/>
            <w:tcMar>
              <w:top w:w="46" w:type="dxa"/>
              <w:left w:w="120" w:type="dxa"/>
              <w:bottom w:w="46" w:type="dxa"/>
              <w:right w:w="120" w:type="dxa"/>
            </w:tcMar>
            <w:tcBorders>
              <w:top w:sz="10" w:val="single" w:color="2F3C7E"/>
              <w:left w:sz="10" w:val="single" w:color="2F3C7E"/>
              <w:bottom w:sz="10" w:val="single" w:color="2F3C7E"/>
              <w:right w:sz="10" w:val="single" w:color="2F3C7E"/>
            </w:tcBorders>
            <w:shd w:fill="F4F4F8"/>
          </w:tcPr>
          <w:p>
            <w:r>
              <w:rPr>
                <w:rFonts w:ascii="Calibri" w:hAnsi="Calibri" w:cs="Calibri"/>
                <w:b/>
                <w:i w:val="0"/>
                <w:color w:val="C03D3D"/>
                <w:sz w:val="24"/>
              </w:rPr>
              <w:t xml:space="preserve">Case 5 · Engineering &amp; Edison/Latimer   </w:t>
            </w:r>
            <w:r>
              <w:rPr>
                <w:rFonts w:ascii="Calibri" w:hAnsi="Calibri" w:cs="Calibri"/>
                <w:b/>
                <w:i w:val="0"/>
                <w:color w:val="2F3C7E"/>
                <w:sz w:val="24"/>
              </w:rPr>
              <w:t>— TEAM EXPLAIN</w:t>
            </w:r>
          </w:p>
          <w:p>
            <w:r>
              <w:rPr>
                <w:rFonts w:ascii="Calibri" w:hAnsi="Calibri" w:cs="Calibri"/>
                <w:b/>
                <w:i w:val="0"/>
                <w:color w:val="1F1F1F"/>
                <w:sz w:val="25"/>
              </w:rPr>
              <w:t>Edison's first filaments burned out fast. Explain why testing more than 6,000 materials was useful.</w:t>
            </w:r>
          </w:p>
          <w:p>
            <w:r>
              <w:rPr>
                <w:rFonts w:ascii="Calibri" w:hAnsi="Calibri" w:cs="Calibri"/>
                <w:b/>
                <w:i/>
                <w:color w:val="555555"/>
                <w:sz w:val="21"/>
              </w:rPr>
              <w:t xml:space="preserve">Expected: </w:t>
            </w:r>
            <w:r>
              <w:rPr>
                <w:rFonts w:ascii="Calibri" w:hAnsi="Calibri" w:cs="Calibri"/>
                <w:b w:val="0"/>
                <w:i/>
                <w:color w:val="555555"/>
                <w:sz w:val="21"/>
              </w:rPr>
              <w:t>Each test was evidence that helped him improve the design.</w:t>
            </w:r>
          </w:p>
        </w:tc>
      </w:tr>
    </w:tbl>
    <w:p>
      <w:pPr>
        <w:spacing w:after="30"/>
      </w:pPr>
    </w:p>
    <w:p>
      <w:pPr>
        <w:pageBreakBefore/>
        <w:jc w:val="center"/>
      </w:pPr>
      <w:r>
        <w:rPr>
          <w:rFonts w:ascii="Cambria" w:hAnsi="Cambria" w:cs="Cambria"/>
          <w:b/>
          <w:i w:val="0"/>
          <w:color w:val="2F3C7E"/>
          <w:sz w:val="32"/>
        </w:rPr>
        <w:t>TEAM CHALLENGE CARDS  ($300 clues)</w:t>
      </w:r>
    </w:p>
    <w:p>
      <w:pPr>
        <w:jc w:val="center"/>
      </w:pPr>
      <w:r>
        <w:rPr>
          <w:rFonts w:ascii="Calibri" w:hAnsi="Calibri" w:cs="Calibri"/>
          <w:b w:val="0"/>
          <w:i/>
          <w:color w:val="555555"/>
          <w:sz w:val="22"/>
        </w:rPr>
        <w:t>30-second team demos. Act it out, then explain in one sentence.</w:t>
      </w: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</w:tblPr>
      <w:tblGrid>
        <w:gridCol w:w="10080"/>
      </w:tblGrid>
      <w:tr>
        <w:tc>
          <w:tcPr>
            <w:tcW w:type="dxa" w:w="10080"/>
            <w:tcMar>
              <w:top w:w="46" w:type="dxa"/>
              <w:left w:w="120" w:type="dxa"/>
              <w:bottom w:w="46" w:type="dxa"/>
              <w:right w:w="120" w:type="dxa"/>
            </w:tcMar>
            <w:tcBorders>
              <w:top w:sz="10" w:val="single" w:color="2F3C7E"/>
              <w:left w:sz="10" w:val="single" w:color="2F3C7E"/>
              <w:bottom w:sz="10" w:val="single" w:color="2F3C7E"/>
              <w:right w:sz="10" w:val="single" w:color="2F3C7E"/>
            </w:tcBorders>
            <w:shd w:fill="F4F4F8"/>
          </w:tcPr>
          <w:p>
            <w:r>
              <w:rPr>
                <w:rFonts w:ascii="Calibri" w:hAnsi="Calibri" w:cs="Calibri"/>
                <w:b/>
                <w:i w:val="0"/>
                <w:color w:val="C03D3D"/>
                <w:sz w:val="24"/>
              </w:rPr>
              <w:t xml:space="preserve">Case 1 · Energy Causes Change   </w:t>
            </w:r>
            <w:r>
              <w:rPr>
                <w:rFonts w:ascii="Calibri" w:hAnsi="Calibri" w:cs="Calibri"/>
                <w:b/>
                <w:i w:val="0"/>
                <w:color w:val="2F3C7E"/>
                <w:sz w:val="24"/>
              </w:rPr>
              <w:t>— TEAM CHALLENGE</w:t>
            </w:r>
          </w:p>
          <w:p>
            <w:r>
              <w:rPr>
                <w:rFonts w:ascii="Calibri" w:hAnsi="Calibri" w:cs="Calibri"/>
                <w:b/>
                <w:i w:val="0"/>
                <w:color w:val="1F1F1F"/>
                <w:sz w:val="25"/>
              </w:rPr>
              <w:t>Stored Energy Freeze — freeze and show three examples of stored energy (a held book, a stretched rubber band, a battery).</w:t>
            </w:r>
          </w:p>
          <w:p>
            <w:r>
              <w:rPr>
                <w:rFonts w:ascii="Calibri" w:hAnsi="Calibri" w:cs="Calibri"/>
                <w:b/>
                <w:i/>
                <w:color w:val="555555"/>
                <w:sz w:val="21"/>
              </w:rPr>
              <w:t xml:space="preserve">Expected: </w:t>
            </w:r>
            <w:r>
              <w:rPr>
                <w:rFonts w:ascii="Calibri" w:hAnsi="Calibri" w:cs="Calibri"/>
                <w:b w:val="0"/>
                <w:i/>
                <w:color w:val="555555"/>
                <w:sz w:val="21"/>
              </w:rPr>
              <w:t>Each object is ready to cause a change later.</w:t>
            </w:r>
          </w:p>
        </w:tc>
      </w:tr>
    </w:tbl>
    <w:p>
      <w:pPr>
        <w:spacing w:after="30"/>
      </w:pP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</w:tblPr>
      <w:tblGrid>
        <w:gridCol w:w="10080"/>
      </w:tblGrid>
      <w:tr>
        <w:tc>
          <w:tcPr>
            <w:tcW w:type="dxa" w:w="10080"/>
            <w:tcMar>
              <w:top w:w="46" w:type="dxa"/>
              <w:left w:w="120" w:type="dxa"/>
              <w:bottom w:w="46" w:type="dxa"/>
              <w:right w:w="120" w:type="dxa"/>
            </w:tcMar>
            <w:tcBorders>
              <w:top w:sz="10" w:val="single" w:color="2F3C7E"/>
              <w:left w:sz="10" w:val="single" w:color="2F3C7E"/>
              <w:bottom w:sz="10" w:val="single" w:color="2F3C7E"/>
              <w:right w:sz="10" w:val="single" w:color="2F3C7E"/>
            </w:tcBorders>
            <w:shd w:fill="F4F4F8"/>
          </w:tcPr>
          <w:p>
            <w:r>
              <w:rPr>
                <w:rFonts w:ascii="Calibri" w:hAnsi="Calibri" w:cs="Calibri"/>
                <w:b/>
                <w:i w:val="0"/>
                <w:color w:val="C03D3D"/>
                <w:sz w:val="24"/>
              </w:rPr>
              <w:t xml:space="preserve">Case 2 · Speed &amp; Energy of Motion   </w:t>
            </w:r>
            <w:r>
              <w:rPr>
                <w:rFonts w:ascii="Calibri" w:hAnsi="Calibri" w:cs="Calibri"/>
                <w:b/>
                <w:i w:val="0"/>
                <w:color w:val="2F3C7E"/>
                <w:sz w:val="24"/>
              </w:rPr>
              <w:t>— TEAM CHALLENGE</w:t>
            </w:r>
          </w:p>
          <w:p>
            <w:r>
              <w:rPr>
                <w:rFonts w:ascii="Calibri" w:hAnsi="Calibri" w:cs="Calibri"/>
                <w:b/>
                <w:i w:val="0"/>
                <w:color w:val="1F1F1F"/>
                <w:sz w:val="25"/>
              </w:rPr>
              <w:t>Human Ramp — use your arms to model a low ramp and a high ramp. Show how ramp height changes speed and impact distance.</w:t>
            </w:r>
          </w:p>
          <w:p>
            <w:r>
              <w:rPr>
                <w:rFonts w:ascii="Calibri" w:hAnsi="Calibri" w:cs="Calibri"/>
                <w:b/>
                <w:i/>
                <w:color w:val="555555"/>
                <w:sz w:val="21"/>
              </w:rPr>
              <w:t xml:space="preserve">Expected: </w:t>
            </w:r>
            <w:r>
              <w:rPr>
                <w:rFonts w:ascii="Calibri" w:hAnsi="Calibri" w:cs="Calibri"/>
                <w:b w:val="0"/>
                <w:i/>
                <w:color w:val="555555"/>
                <w:sz w:val="21"/>
              </w:rPr>
              <w:t>A higher ramp means faster motion and a bigger change.</w:t>
            </w:r>
          </w:p>
        </w:tc>
      </w:tr>
    </w:tbl>
    <w:p>
      <w:pPr>
        <w:spacing w:after="30"/>
      </w:pP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</w:tblPr>
      <w:tblGrid>
        <w:gridCol w:w="10080"/>
      </w:tblGrid>
      <w:tr>
        <w:tc>
          <w:tcPr>
            <w:tcW w:type="dxa" w:w="10080"/>
            <w:tcMar>
              <w:top w:w="46" w:type="dxa"/>
              <w:left w:w="120" w:type="dxa"/>
              <w:bottom w:w="46" w:type="dxa"/>
              <w:right w:w="120" w:type="dxa"/>
            </w:tcMar>
            <w:tcBorders>
              <w:top w:sz="10" w:val="single" w:color="2F3C7E"/>
              <w:left w:sz="10" w:val="single" w:color="2F3C7E"/>
              <w:bottom w:sz="10" w:val="single" w:color="2F3C7E"/>
              <w:right w:sz="10" w:val="single" w:color="2F3C7E"/>
            </w:tcBorders>
            <w:shd w:fill="F4F4F8"/>
          </w:tcPr>
          <w:p>
            <w:r>
              <w:rPr>
                <w:rFonts w:ascii="Calibri" w:hAnsi="Calibri" w:cs="Calibri"/>
                <w:b/>
                <w:i w:val="0"/>
                <w:color w:val="C03D3D"/>
                <w:sz w:val="24"/>
              </w:rPr>
              <w:t xml:space="preserve">Case 3 · Transfer or Transformation   </w:t>
            </w:r>
            <w:r>
              <w:rPr>
                <w:rFonts w:ascii="Calibri" w:hAnsi="Calibri" w:cs="Calibri"/>
                <w:b/>
                <w:i w:val="0"/>
                <w:color w:val="2F3C7E"/>
                <w:sz w:val="24"/>
              </w:rPr>
              <w:t>— TEAM CHALLENGE</w:t>
            </w:r>
          </w:p>
          <w:p>
            <w:r>
              <w:rPr>
                <w:rFonts w:ascii="Calibri" w:hAnsi="Calibri" w:cs="Calibri"/>
                <w:b/>
                <w:i w:val="0"/>
                <w:color w:val="1F1F1F"/>
                <w:sz w:val="25"/>
              </w:rPr>
              <w:t>Sound Transfer — model how sound moves energy across space without touching anything (vibrate to move a paper strip).</w:t>
            </w:r>
          </w:p>
          <w:p>
            <w:r>
              <w:rPr>
                <w:rFonts w:ascii="Calibri" w:hAnsi="Calibri" w:cs="Calibri"/>
                <w:b/>
                <w:i/>
                <w:color w:val="555555"/>
                <w:sz w:val="21"/>
              </w:rPr>
              <w:t xml:space="preserve">Expected: </w:t>
            </w:r>
            <w:r>
              <w:rPr>
                <w:rFonts w:ascii="Calibri" w:hAnsi="Calibri" w:cs="Calibri"/>
                <w:b w:val="0"/>
                <w:i/>
                <w:color w:val="555555"/>
                <w:sz w:val="21"/>
              </w:rPr>
              <w:t>The paper moving shows energy was transferred.</w:t>
            </w:r>
          </w:p>
        </w:tc>
      </w:tr>
    </w:tbl>
    <w:p>
      <w:pPr>
        <w:spacing w:after="30"/>
      </w:pP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</w:tblPr>
      <w:tblGrid>
        <w:gridCol w:w="10080"/>
      </w:tblGrid>
      <w:tr>
        <w:tc>
          <w:tcPr>
            <w:tcW w:type="dxa" w:w="10080"/>
            <w:tcMar>
              <w:top w:w="46" w:type="dxa"/>
              <w:left w:w="120" w:type="dxa"/>
              <w:bottom w:w="46" w:type="dxa"/>
              <w:right w:w="120" w:type="dxa"/>
            </w:tcMar>
            <w:tcBorders>
              <w:top w:sz="10" w:val="single" w:color="2F3C7E"/>
              <w:left w:sz="10" w:val="single" w:color="2F3C7E"/>
              <w:bottom w:sz="10" w:val="single" w:color="2F3C7E"/>
              <w:right w:sz="10" w:val="single" w:color="2F3C7E"/>
            </w:tcBorders>
            <w:shd w:fill="F4F4F8"/>
          </w:tcPr>
          <w:p>
            <w:r>
              <w:rPr>
                <w:rFonts w:ascii="Calibri" w:hAnsi="Calibri" w:cs="Calibri"/>
                <w:b/>
                <w:i w:val="0"/>
                <w:color w:val="C03D3D"/>
                <w:sz w:val="24"/>
              </w:rPr>
              <w:t xml:space="preserve">Case 4 · Collisions   </w:t>
            </w:r>
            <w:r>
              <w:rPr>
                <w:rFonts w:ascii="Calibri" w:hAnsi="Calibri" w:cs="Calibri"/>
                <w:b/>
                <w:i w:val="0"/>
                <w:color w:val="2F3C7E"/>
                <w:sz w:val="24"/>
              </w:rPr>
              <w:t>— TEAM CHALLENGE</w:t>
            </w:r>
          </w:p>
          <w:p>
            <w:r>
              <w:rPr>
                <w:rFonts w:ascii="Calibri" w:hAnsi="Calibri" w:cs="Calibri"/>
                <w:b/>
                <w:i w:val="0"/>
                <w:color w:val="1F1F1F"/>
                <w:sz w:val="25"/>
              </w:rPr>
              <w:t>Collision Acting — act out a fast collision. Show motion transfer and sound.</w:t>
            </w:r>
          </w:p>
          <w:p>
            <w:r>
              <w:rPr>
                <w:rFonts w:ascii="Calibri" w:hAnsi="Calibri" w:cs="Calibri"/>
                <w:b/>
                <w:i/>
                <w:color w:val="555555"/>
                <w:sz w:val="21"/>
              </w:rPr>
              <w:t xml:space="preserve">Expected: </w:t>
            </w:r>
            <w:r>
              <w:rPr>
                <w:rFonts w:ascii="Calibri" w:hAnsi="Calibri" w:cs="Calibri"/>
                <w:b w:val="0"/>
                <w:i/>
                <w:color w:val="555555"/>
                <w:sz w:val="21"/>
              </w:rPr>
              <w:t>The moving object's energy transfers, and some becomes sound.</w:t>
            </w:r>
          </w:p>
        </w:tc>
      </w:tr>
    </w:tbl>
    <w:p>
      <w:pPr>
        <w:spacing w:after="30"/>
      </w:pP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</w:tblPr>
      <w:tblGrid>
        <w:gridCol w:w="10080"/>
      </w:tblGrid>
      <w:tr>
        <w:tc>
          <w:tcPr>
            <w:tcW w:type="dxa" w:w="10080"/>
            <w:tcMar>
              <w:top w:w="46" w:type="dxa"/>
              <w:left w:w="120" w:type="dxa"/>
              <w:bottom w:w="46" w:type="dxa"/>
              <w:right w:w="120" w:type="dxa"/>
            </w:tcMar>
            <w:tcBorders>
              <w:top w:sz="10" w:val="single" w:color="2F3C7E"/>
              <w:left w:sz="10" w:val="single" w:color="2F3C7E"/>
              <w:bottom w:sz="10" w:val="single" w:color="2F3C7E"/>
              <w:right w:sz="10" w:val="single" w:color="2F3C7E"/>
            </w:tcBorders>
            <w:shd w:fill="F4F4F8"/>
          </w:tcPr>
          <w:p>
            <w:r>
              <w:rPr>
                <w:rFonts w:ascii="Calibri" w:hAnsi="Calibri" w:cs="Calibri"/>
                <w:b/>
                <w:i w:val="0"/>
                <w:color w:val="C03D3D"/>
                <w:sz w:val="24"/>
              </w:rPr>
              <w:t xml:space="preserve">Case 5 · Engineering &amp; Edison/Latimer   </w:t>
            </w:r>
            <w:r>
              <w:rPr>
                <w:rFonts w:ascii="Calibri" w:hAnsi="Calibri" w:cs="Calibri"/>
                <w:b/>
                <w:i w:val="0"/>
                <w:color w:val="2F3C7E"/>
                <w:sz w:val="24"/>
              </w:rPr>
              <w:t>— TEAM CHALLENGE</w:t>
            </w:r>
          </w:p>
          <w:p>
            <w:r>
              <w:rPr>
                <w:rFonts w:ascii="Calibri" w:hAnsi="Calibri" w:cs="Calibri"/>
                <w:b/>
                <w:i w:val="0"/>
                <w:color w:val="1F1F1F"/>
                <w:sz w:val="25"/>
              </w:rPr>
              <w:t>Design Cycle Freeze — act out the design cycle: Problem → Design → Build → Test → Improve.</w:t>
            </w:r>
          </w:p>
          <w:p>
            <w:r>
              <w:rPr>
                <w:rFonts w:ascii="Calibri" w:hAnsi="Calibri" w:cs="Calibri"/>
                <w:b/>
                <w:i/>
                <w:color w:val="555555"/>
                <w:sz w:val="21"/>
              </w:rPr>
              <w:t xml:space="preserve">Expected: </w:t>
            </w:r>
            <w:r>
              <w:rPr>
                <w:rFonts w:ascii="Calibri" w:hAnsi="Calibri" w:cs="Calibri"/>
                <w:b w:val="0"/>
                <w:i/>
                <w:color w:val="555555"/>
                <w:sz w:val="21"/>
              </w:rPr>
              <w:t>Test results, even failures, are evidence to improve.</w:t>
            </w:r>
          </w:p>
        </w:tc>
      </w:tr>
    </w:tbl>
    <w:p>
      <w:pPr>
        <w:spacing w:after="30"/>
      </w:pPr>
    </w:p>
    <w:sectPr w:rsidR="00FC693F" w:rsidRPr="0006063C" w:rsidSect="00034616"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