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Sound Transfer — Investigation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4"/>
        </w:rPr>
        <w:t>Chapter 4 · Energy Transfer · Week 4 (Days 1–2)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BIG QUESTION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Can sound transfer energy and cause a change without direct contact?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PREDICT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What do you think will happen to the paper when the cup is tapped?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SETUP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Draw your setup. Label the SOUND SOURCE and the PAPER TARGET.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rPr>
          <w:trHeight w:val="2304" w:hRule="atLeast"/>
        </w:trPr>
        <w:tc>
          <w:tcPr>
            <w:tcW w:type="dxa" w:w="9216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4"/>
              </w:rPr>
              <w:t>Draw here: cup + tapping object + paper target</w:t>
            </w:r>
          </w:p>
        </w:tc>
      </w:tr>
    </w:tbl>
    <w:p>
      <w:pPr>
        <w:spacing w:before="0" w:after="120"/>
      </w:pPr>
      <w:r>
        <w:rPr>
          <w:rFonts w:ascii="Calibri" w:hAnsi="Calibri"/>
          <w:b w:val="0"/>
          <w:i/>
          <w:color w:val="555555"/>
          <w:sz w:val="24"/>
        </w:rPr>
        <w:t>The cup must NOT touch the paper.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OBSERVE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Tap the bottom of the cup. Watch the paper. Record what you see. Keep your body very still — no bumping the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Distance (qualitative)</w:t>
            </w:r>
          </w:p>
        </w:tc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What did the paper do?</w:t>
            </w:r>
          </w:p>
        </w:tc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Clear / Slight / None</w:t>
            </w:r>
          </w:p>
        </w:tc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What is your evidence?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Near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Middle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Farther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Notes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before="80" w:after="160"/>
      </w:pPr>
      <w:r>
        <w:rPr>
          <w:rFonts w:ascii="Calibri" w:hAnsi="Calibri"/>
          <w:b w:val="0"/>
          <w:i/>
          <w:color w:val="555555"/>
          <w:sz w:val="24"/>
        </w:rPr>
        <w:t>Distance is qualitative — just near / middle / farther. You do NOT need exact numbers.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EXPLAIN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How does the paper's movement provide evidence that sound transferred energy?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5840" w:h="122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