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Avenir Next" w:hAnsi="Avenir Next"/>
          <w:b/>
          <w:i w:val="0"/>
          <w:color w:val="4A5268"/>
          <w:sz w:val="19"/>
          <w:u w:val="none"/>
          <w:rFonts w:ascii="Avenir Next" w:hAnsi="Avenir Next" w:cs="Avenir Next"/>
        </w:rPr>
        <w:t>UNIT 1 · ENERGY TRANSFER &amp; TRANSFORMATION</w:t>
      </w:r>
    </w:p>
    <w:p>
      <w:pPr>
        <w:spacing w:before="0" w:after="40"/>
      </w:pPr>
      <w:r>
        <w:rPr>
          <w:sz w:val="4"/>
        </w:rPr>
      </w:r>
    </w:p>
    <w:p>
      <w:pPr>
        <w:spacing w:before="0" w:after="40"/>
      </w:pPr>
      <w:r>
        <w:rPr>
          <w:rFonts w:ascii="Avenir Next" w:hAnsi="Avenir Next"/>
          <w:b/>
          <w:i w:val="0"/>
          <w:color w:val="1F2A5A"/>
          <w:sz w:val="46"/>
          <w:u w:val="none"/>
          <w:rFonts w:ascii="Avenir Next" w:hAnsi="Avenir Next" w:cs="Avenir Next"/>
        </w:rPr>
        <w:t>Chapter 1 · Energy Causes Change</w:t>
      </w:r>
    </w:p>
    <w:p>
      <w:pPr>
        <w:spacing w:before="0" w:after="80"/>
      </w:pPr>
      <w:r>
        <w:rPr>
          <w:rFonts w:ascii="Avenir Next" w:hAnsi="Avenir Next"/>
          <w:b/>
          <w:i w:val="0"/>
          <w:color w:val="7A5620"/>
          <w:sz w:val="24"/>
          <w:u w:val="none"/>
          <w:rFonts w:ascii="Avenir Next" w:hAnsi="Avenir Next" w:cs="Avenir Next"/>
        </w:rPr>
        <w:t>Teacher Key · Guided Notes</w:t>
      </w:r>
    </w:p>
    <w:p>
      <w:pPr>
        <w:spacing w:before="0" w:after="800" w:line="520" w:lineRule="exact"/>
      </w:pP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Name: </w:t>
      </w:r>
      <w:r>
        <w:rPr>
          <w:rFonts w:ascii="Avenir Next" w:hAnsi="Avenir Next"/>
          <w:b w:val="0"/>
          <w:i w:val="0"/>
          <w:color w:val="1A1D26"/>
          <w:sz w:val="24"/>
          <w:u w:val="single"/>
          <w:rFonts w:ascii="Avenir Next" w:hAnsi="Avenir Next" w:cs="Avenir Next"/>
        </w:rPr>
        <w:t>__________________________</w:t>
      </w:r>
      <w:r>
        <w:rPr>
          <w:rFonts w:ascii="Avenir Next" w:hAnsi="Avenir Next"/>
          <w:b/>
          <w:i w:val="0"/>
          <w:color w:val="1A1D26"/>
          <w:sz w:val="24"/>
          <w:u w:val="none"/>
          <w:rFonts w:ascii="Avenir Next" w:hAnsi="Avenir Next" w:cs="Avenir Next"/>
        </w:rPr>
        <w:t xml:space="preserve">     Homeroom:  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>○  4A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4B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4C</w:t>
      </w:r>
      <w:r>
        <w:rPr>
          <w:rFonts w:ascii="Avenir Next" w:hAnsi="Avenir Next"/>
          <w:b w:val="0"/>
          <w:i w:val="0"/>
          <w:color w:val="1A1D26"/>
          <w:sz w:val="24"/>
          <w:u w:val="none"/>
          <w:rFonts w:ascii="Avenir Next" w:hAnsi="Avenir Next" w:cs="Avenir Next"/>
        </w:rPr>
        <w:t xml:space="preserve">  ○  4D</w:t>
      </w:r>
    </w:p>
    <w:p>
      <w:pPr>
        <w:spacing w:before="0" w:after="120" w:line="320" w:lineRule="exact"/>
      </w:pPr>
      <w:r>
        <w:rPr>
          <w:rFonts w:ascii="Avenir Next" w:hAnsi="Avenir Next"/>
          <w:b/>
          <w:i w:val="0"/>
          <w:color w:val="7A5620"/>
          <w:sz w:val="24"/>
          <w:u w:val="none"/>
          <w:rFonts w:ascii="Avenir Next" w:hAnsi="Avenir Next" w:cs="Avenir Next"/>
        </w:rPr>
        <w:t xml:space="preserve">KEY  </w:t>
      </w: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Bold brown = exact answer · Italic gray = sample / acceptable response.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2"/>
                <w:u w:val="none"/>
                <w:rFonts w:ascii="Avenir Next" w:hAnsi="Avenir Next" w:cs="Avenir Next"/>
              </w:rPr>
              <w:t>BQ   Where can we observe evidence of energy causing change?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/>
          <w:i w:val="0"/>
          <w:color w:val="1F2A5A"/>
          <w:sz w:val="29"/>
          <w:u w:val="none"/>
          <w:rFonts w:ascii="Avenir Next" w:hAnsi="Avenir Next" w:cs="Avenir Next"/>
        </w:rPr>
        <w:t>My first thinking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“A pencil gets shorter and sharper.” (Accept any observed change.)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V1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VOCABULARY — ENERGY &amp; CHANGE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1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energy — the ability to cause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change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change — to become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different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N1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ENERGY CAUSES CHANGE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1–2</w:t>
      </w:r>
    </w:p>
    <w:p>
      <w:pPr>
        <w:spacing w:before="0" w:after="80" w:line="520" w:lineRule="exact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 xml:space="preserve">Energy has the ability to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cause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change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When you see a change, you are seeing evidence of energy.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440" w:hRule="exact"/>
          <w:trHeight w:val="440" w:hRule="exact"/>
          <w:trHeight w:val="440" w:hRule="exact"/>
          <w:trHeight w:val="440" w:hRule="exact"/>
          <w:trHeight w:val="440" w:hRule="exact"/>
        </w:trPr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8"/>
                <w:u w:val="none"/>
                <w:rFonts w:ascii="Avenir Next" w:hAnsi="Avenir Next" w:cs="Avenir Next"/>
              </w:rPr>
              <w:t>ENERGY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8"/>
                <w:u w:val="none"/>
                <w:rFonts w:ascii="Avenir Next" w:hAnsi="Avenir Next" w:cs="Avenir Next"/>
              </w:rPr>
              <w:t>CHANGE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8"/>
                <w:u w:val="none"/>
                <w:rFonts w:ascii="Avenir Next" w:hAnsi="Avenir Next" w:cs="Avenir Next"/>
              </w:rPr>
              <w:t>EVIDENCE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A change is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evidence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that energy is involved.</w:t>
      </w:r>
    </w:p>
    <w:p>
      <w:r>
        <w:br w:type="page"/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N2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ENERGY OCCURS IN DIFFERENT FORMS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3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Write or draw one example that shows a change for each form.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20" w:hRule="exac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FORM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ONE EXAMPLE THAT SHOWS A CHANGE</w:t>
            </w:r>
          </w:p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motion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a ball rolls across the floor</w:t>
            </w:r>
          </w:p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sound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a drum makes a noise</w:t>
            </w:r>
          </w:p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light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a flashlight lights up the room</w:t>
            </w:r>
          </w:p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heat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a warm mug warms my hands</w:t>
            </w:r>
          </w:p>
        </w:tc>
      </w:tr>
      <w:tr>
        <w:trPr>
          <w:trHeight w:val="680" w:hRule="atLeast"/>
        </w:trPr>
        <w:tc>
          <w:tcPr>
            <w:tcW w:type="dxa" w:w="3312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electrical energy</w:t>
            </w:r>
          </w:p>
        </w:tc>
        <w:tc>
          <w:tcPr>
            <w:tcW w:type="dxa" w:w="7344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a fan spins when plugged in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V2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VOCABULARY — STORED ENERGY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p. 4</w:t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stored energy — energy that has the ability to cause change at a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later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time.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N3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OBJECTS CAN STORE ENERGY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4–5</w:t>
      </w:r>
    </w:p>
    <w:tbl>
      <w:tblPr>
        <w:tblW w:type="auto" w:w="0"/>
        <w:tblLook w:firstColumn="1" w:firstRow="1" w:lastColumn="0" w:lastRow="0" w:noHBand="0" w:noVBand="1" w:val="04A0"/>
        <w:jc w:val="center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2131"/>
        <w:gridCol w:w="2131"/>
        <w:gridCol w:w="2131"/>
        <w:gridCol w:w="2131"/>
        <w:gridCol w:w="2131"/>
      </w:tblGrid>
      <w:tr>
        <w:trPr>
          <w:trHeight w:val="440" w:hRule="exact"/>
          <w:trHeight w:val="440" w:hRule="exact"/>
          <w:trHeight w:val="440" w:hRule="exact"/>
          <w:trHeight w:val="440" w:hRule="exact"/>
          <w:trHeight w:val="440" w:hRule="exact"/>
        </w:trPr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STORED ENERGY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RELEASE</w:t>
            </w:r>
          </w:p>
        </w:tc>
        <w:tc>
          <w:tcPr>
            <w:tcW w:type="dxa" w:w="792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→</w:t>
            </w:r>
          </w:p>
        </w:tc>
        <w:tc>
          <w:tcPr>
            <w:tcW w:type="dxa" w:w="2736"/>
            <w:tcMar>
              <w:top w:w="40" w:type="dxa"/>
              <w:left w:w="6" w:type="dxa"/>
              <w:bottom w:w="40" w:type="dxa"/>
              <w:right w:w="6" w:type="dxa"/>
            </w:tcMar>
            <w:vAlign w:val="center"/>
            <w:shd w:val="clear" w:color="auto" w:fill="1F2A5A"/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CHANGE</w:t>
            </w:r>
          </w:p>
        </w:tc>
      </w:tr>
    </w:tbl>
    <w:p>
      <w:pPr>
        <w:spacing w:before="0" w:after="8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420" w:hRule="exac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EXAMPLE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24"/>
                <w:u w:val="none"/>
                <w:rFonts w:ascii="Avenir Next" w:hAnsi="Avenir Next" w:cs="Avenir Next"/>
              </w:rPr>
              <w:t>WHAT CHANGE COULD HAPPEN LATER?</w:t>
            </w:r>
          </w:p>
        </w:tc>
      </w:tr>
      <w:tr>
        <w:trPr>
          <w:trHeight w:val="680" w:hRule="atLeas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battery (in a flashlight)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the flashlight lights up</w:t>
            </w:r>
          </w:p>
        </w:tc>
      </w:tr>
      <w:tr>
        <w:trPr>
          <w:trHeight w:val="680" w:hRule="atLeas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stretched rubber band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it snaps and makes a sound</w:t>
            </w:r>
          </w:p>
        </w:tc>
      </w:tr>
      <w:tr>
        <w:trPr>
          <w:trHeight w:val="680" w:hRule="atLeast"/>
        </w:trPr>
        <w:tc>
          <w:tcPr>
            <w:tcW w:type="dxa" w:w="432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>
            <w:r>
              <w:rPr>
                <w:rFonts w:ascii="Avenir Next" w:hAnsi="Avenir Next"/>
                <w:b/>
                <w:i w:val="0"/>
                <w:color w:val="1A1D26"/>
                <w:sz w:val="28"/>
                <w:u w:val="none"/>
                <w:rFonts w:ascii="Avenir Next" w:hAnsi="Avenir Next" w:cs="Avenir Next"/>
              </w:rPr>
              <w:t>raised object (apple)</w:t>
            </w:r>
          </w:p>
        </w:tc>
        <w:tc>
          <w:tcPr>
            <w:tcW w:type="dxa" w:w="6336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  <w:tcBorders>
              <w:bottom w:val="single" w:sz="8" w:color="1A1D26"/>
            </w:tcBorders>
          </w:tcPr>
          <w:p>
            <w:r>
              <w:rPr>
                <w:rFonts w:ascii="Avenir Next" w:hAnsi="Avenir Next"/>
                <w:b w:val="0"/>
                <w:i/>
                <w:color w:val="4A5268"/>
                <w:sz w:val="24"/>
                <w:u w:val="none"/>
                <w:rFonts w:ascii="Avenir Next" w:hAnsi="Avenir Next" w:cs="Avenir Next"/>
              </w:rPr>
              <w:t>it falls down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 w:line="520" w:lineRule="exact"/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Objects also have stored energy because of their </w:t>
      </w:r>
      <w:r>
        <w:rPr>
          <w:rFonts w:ascii="Avenir Next" w:hAnsi="Avenir Next"/>
          <w:b/>
          <w:i w:val="0"/>
          <w:color w:val="7A5620"/>
          <w:sz w:val="28"/>
          <w:u w:val="none"/>
          <w:rFonts w:ascii="Avenir Next" w:hAnsi="Avenir Next" w:cs="Avenir Next"/>
        </w:rPr>
        <w:t>position</w:t>
      </w: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  <w:t xml:space="preserve"> 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32"/>
                <w:u w:val="none"/>
                <w:rFonts w:ascii="Avenir Next" w:hAnsi="Avenir Next" w:cs="Avenir Next"/>
              </w:rPr>
              <w:t xml:space="preserve">N4   </w:t>
            </w:r>
            <w:r>
              <w:rPr>
                <w:rFonts w:ascii="Avenir Next" w:hAnsi="Avenir Next"/>
                <w:b/>
                <w:i w:val="0"/>
                <w:color w:val="1F2A5A"/>
                <w:sz w:val="32"/>
                <w:u w:val="none"/>
                <w:rFonts w:ascii="Avenir Next" w:hAnsi="Avenir Next" w:cs="Avenir Next"/>
              </w:rPr>
              <w:t>RECOGNIZING EVIDENCE</w:t>
            </w:r>
          </w:p>
        </w:tc>
      </w:tr>
    </w:tbl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19"/>
          <w:u w:val="none"/>
          <w:rFonts w:ascii="Avenir Next" w:hAnsi="Avenir Next" w:cs="Avenir Next"/>
        </w:rPr>
        <w:t>Reader pp. 1–6</w:t>
      </w:r>
    </w:p>
    <w:p>
      <w:pPr>
        <w:spacing w:before="0" w:after="12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Draw a change you observed. Show what it looked like BEFORE and AFTER.</w:t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328"/>
        <w:gridCol w:w="5328"/>
      </w:tblGrid>
      <w:tr>
        <w:trPr>
          <w:trHeight w:val="2000" w:hRule="exact"/>
          <w:trHeight w:val="2000" w:hRule="exact"/>
        </w:trPr>
        <w:tc>
          <w:tcPr>
            <w:tcW w:type="dxa" w:w="5184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val="single" w:sz="8" w:color="1F2A5A"/>
            </w:tcBorders>
            <w:tcBorders>
              <w:left w:val="single" w:sz="8" w:color="1F2A5A"/>
            </w:tcBorders>
            <w:tcBorders>
              <w:bottom w:val="single" w:sz="8" w:color="1F2A5A"/>
            </w:tcBorders>
            <w:tcBorders>
              <w:right w:val="single" w:sz="8" w:color="1F2A5A"/>
            </w:tcBorders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BEFORE</w:t>
            </w:r>
          </w:p>
        </w:tc>
        <w:tc>
          <w:tcPr>
            <w:tcW w:type="dxa" w:w="5184"/>
            <w:tcMar>
              <w:top w:w="20" w:type="dxa"/>
              <w:left w:w="60" w:type="dxa"/>
              <w:bottom w:w="20" w:type="dxa"/>
              <w:right w:w="60" w:type="dxa"/>
            </w:tcMar>
            <w:tcBorders>
              <w:top w:val="single" w:sz="8" w:color="1F2A5A"/>
            </w:tcBorders>
            <w:tcBorders>
              <w:left w:val="single" w:sz="8" w:color="1F2A5A"/>
            </w:tcBorders>
            <w:tcBorders>
              <w:bottom w:val="single" w:sz="8" w:color="1F2A5A"/>
            </w:tcBorders>
            <w:tcBorders>
              <w:right w:val="single" w:sz="8" w:color="1F2A5A"/>
            </w:tcBorders>
          </w:tcPr>
          <w:p>
            <w:pPr>
              <w:jc w:val="center"/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>AFTER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/>
          <w:i w:val="0"/>
          <w:color w:val="1A1D26"/>
          <w:sz w:val="28"/>
          <w:u w:val="none"/>
          <w:rFonts w:ascii="Avenir Next" w:hAnsi="Avenir Next" w:cs="Avenir Next"/>
        </w:rPr>
        <w:t>What changed?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8"/>
          <w:u w:val="none"/>
          <w:rFonts w:ascii="Avenir Next" w:hAnsi="Avenir Next" w:cs="Avenir Next"/>
        </w:rPr>
      </w:r>
    </w:p>
    <w:p>
      <w:pPr>
        <w:spacing w:before="0" w:after="120"/>
      </w:pPr>
      <w:r>
        <w:rPr>
          <w:sz w:val="4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12" w:type="dxa"/>
              <w:left w:w="0" w:type="dxa"/>
              <w:bottom w:w="18" w:type="dxa"/>
              <w:right w:w="0" w:type="dxa"/>
            </w:tcMar>
          </w:tcPr>
          <w:p>
            <w:pPr>
              <w:pBdr>
                <w:bottom w:val="single" w:sz="10" w:color="1F2A5A"/>
              </w:pBdr>
            </w:pPr>
            <w:r>
              <w:rPr>
                <w:rFonts w:ascii="Avenir Next" w:hAnsi="Avenir Next"/>
                <w:b/>
                <w:i w:val="0"/>
                <w:color w:val="A67C16"/>
                <w:sz w:val="28"/>
                <w:u w:val="none"/>
                <w:rFonts w:ascii="Avenir Next" w:hAnsi="Avenir Next" w:cs="Avenir Next"/>
              </w:rPr>
              <w:t xml:space="preserve">CHECK   </w:t>
            </w:r>
            <w:r>
              <w:rPr>
                <w:rFonts w:ascii="Avenir Next" w:hAnsi="Avenir Next"/>
                <w:b/>
                <w:i w:val="0"/>
                <w:color w:val="1F2A5A"/>
                <w:sz w:val="28"/>
                <w:u w:val="none"/>
                <w:rFonts w:ascii="Avenir Next" w:hAnsi="Avenir Next" w:cs="Avenir Next"/>
              </w:rPr>
              <w:t>YOUR THINKING</w:t>
            </w:r>
          </w:p>
        </w:tc>
      </w:tr>
    </w:tbl>
    <w:p>
      <w:pPr>
        <w:spacing w:before="0" w:after="120"/>
      </w:pPr>
      <w:r>
        <w:rPr>
          <w:rFonts w:ascii="Avenir Next" w:hAnsi="Avenir Next"/>
          <w:b/>
          <w:i w:val="0"/>
          <w:color w:val="1A1D26"/>
          <w:sz w:val="29"/>
          <w:u w:val="none"/>
          <w:rFonts w:ascii="Avenir Next" w:hAnsi="Avenir Next" w:cs="Avenir Next"/>
        </w:rPr>
        <w:t>How do we know energy is involved if we cannot see energy itself?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Start with: “We know because we see …”</w:t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“We know because we see a change, like a ball starting to move or a light turning on.” (Accept any response connecting a change to evidence of energy.)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tbl>
      <w:tblPr>
        <w:tblW w:type="auto" w:w="0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0656"/>
      </w:tblGrid>
      <w:tr>
        <w:tc>
          <w:tcPr>
            <w:tcW w:type="dxa" w:w="10656"/>
            <w:tcMar>
              <w:top w:w="70" w:type="dxa"/>
              <w:left w:w="110" w:type="dxa"/>
              <w:bottom w:w="70" w:type="dxa"/>
              <w:right w:w="110" w:type="dxa"/>
            </w:tcMar>
            <w:shd w:val="clear" w:color="auto" w:fill="1F2A5A"/>
            <w:vAlign w:val="center"/>
          </w:tcPr>
          <w:p>
            <w:r>
              <w:rPr>
                <w:rFonts w:ascii="Avenir Next" w:hAnsi="Avenir Next"/>
                <w:b/>
                <w:i w:val="0"/>
                <w:color w:val="FFFFFF"/>
                <w:sz w:val="30"/>
                <w:u w:val="none"/>
                <w:rFonts w:ascii="Avenir Next" w:hAnsi="Avenir Next" w:cs="Avenir Next"/>
              </w:rPr>
              <w:t>BQ · NOW I THINK   Where can we observe evidence of energy causing change?</w:t>
            </w:r>
          </w:p>
        </w:tc>
      </w:tr>
    </w:tbl>
    <w:p>
      <w:pPr>
        <w:spacing w:before="0" w:after="80"/>
      </w:pPr>
      <w:r>
        <w:rPr>
          <w:sz w:val="4"/>
        </w:rPr>
      </w:r>
    </w:p>
    <w:p>
      <w:pPr>
        <w:spacing w:before="0" w:after="80"/>
      </w:pPr>
      <w:r>
        <w:rPr>
          <w:rFonts w:ascii="Avenir Next" w:hAnsi="Avenir Next"/>
          <w:b w:val="0"/>
          <w:i/>
          <w:color w:val="4A5268"/>
          <w:sz w:val="24"/>
          <w:u w:val="none"/>
          <w:rFonts w:ascii="Avenir Next" w:hAnsi="Avenir Next" w:cs="Avenir Next"/>
        </w:rPr>
        <w:t>Sample: “We observe evidence of energy causing change everywhere — things move, make sound, light up, heat up, or change shape.” (Accept any response naming a change as evidence.)</w:t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p>
      <w:pPr>
        <w:spacing w:before="0" w:after="0" w:line="560" w:lineRule="exact"/>
        <w:pBdr>
          <w:bottom w:val="single" w:sz="8" w:space="4" w:color="1A1D26"/>
        </w:pBdr>
      </w:pPr>
      <w:r>
        <w:rPr>
          <w:rFonts w:ascii="Avenir Next" w:hAnsi="Avenir Next"/>
          <w:b w:val="0"/>
          <w:i w:val="0"/>
          <w:color w:val="1A1D26"/>
          <w:sz w:val="29"/>
          <w:u w:val="none"/>
          <w:rFonts w:ascii="Avenir Next" w:hAnsi="Avenir Next" w:cs="Avenir Next"/>
        </w:rPr>
      </w:r>
    </w:p>
    <w:sectPr w:rsidR="00FC693F" w:rsidRPr="0006063C" w:rsidSect="00034616">
      <w:footerReference w:type="default" r:id="rId9"/>
      <w:pgSz w:w="12240" w:h="15840"/>
      <w:pgMar w:top="720" w:right="792" w:bottom="720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color="D8DCE4"/>
      </w:pBdr>
    </w:pPr>
    <w:r>
      <w:rPr>
        <w:rFonts w:ascii="Avenir Next" w:hAnsi="Avenir Next"/>
        <w:b w:val="0"/>
        <w:i w:val="0"/>
        <w:color w:val="4A5268"/>
        <w:sz w:val="17"/>
        <w:u w:val="none"/>
        <w:rFonts w:ascii="Avenir Next" w:hAnsi="Avenir Next" w:cs="Avenir Next"/>
      </w:rPr>
      <w:t>Unit 1 · Chapter 1 · Guided Notes · Teacher Key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" w:hAnsi="Avenir Next"/>
      <w:color w:val="1A1D26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