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e7vpe5qkcb9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3071813</wp:posOffset>
            </wp:positionH>
            <wp:positionV relativeFrom="paragraph">
              <wp:posOffset>114300</wp:posOffset>
            </wp:positionV>
            <wp:extent cx="2081213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4ox6dd2bgwn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oqb2h3xfjn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c0gx1sjf1eq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s0khr84ifb6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sli341tsgqxk" w:id="5"/>
      <w:bookmarkEnd w:id="5"/>
      <w:r w:rsidDel="00000000" w:rsidR="00000000" w:rsidRPr="00000000">
        <w:rPr>
          <w:rtl w:val="0"/>
        </w:rPr>
        <w:t xml:space="preserve">This document is proof that the holder</w:t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efdcohbv6ggv" w:id="6"/>
      <w:bookmarkEnd w:id="6"/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g87gu2rzvci1" w:id="7"/>
      <w:bookmarkEnd w:id="7"/>
      <w:r w:rsidDel="00000000" w:rsidR="00000000" w:rsidRPr="00000000">
        <w:rPr>
          <w:rtl w:val="0"/>
        </w:rPr>
        <w:t xml:space="preserve">Has paid premiums to the Ankh-Morpork Guild of Thieves for the year of </w:t>
      </w:r>
      <w:r w:rsidDel="00000000" w:rsidR="00000000" w:rsidRPr="00000000">
        <w:rPr>
          <w:i w:val="1"/>
          <w:rtl w:val="0"/>
        </w:rPr>
        <w:t xml:space="preserve">the Meandering Stoat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/>
      </w:pPr>
      <w:bookmarkStart w:colFirst="0" w:colLast="0" w:name="_b9migmkdwe1g" w:id="8"/>
      <w:bookmarkEnd w:id="8"/>
      <w:r w:rsidDel="00000000" w:rsidR="00000000" w:rsidRPr="00000000">
        <w:rPr>
          <w:rtl w:val="0"/>
        </w:rPr>
        <w:t xml:space="preserve">The holder is hereby insured against the muggings, burglary, licenced pickpocketing and general thievery from Guild Members.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6pmtpb6nf0zo" w:id="9"/>
      <w:bookmarkEnd w:id="9"/>
      <w:r w:rsidDel="00000000" w:rsidR="00000000" w:rsidRPr="00000000">
        <w:rPr>
          <w:rtl w:val="0"/>
        </w:rPr>
        <w:t xml:space="preserve">For theft based activity from non-guild members please report said perpetrators to the Guild so that Guild representatives may ensure the removal of said thieves’ existence.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