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三个标识性概念的深挖：互补性叠加、关系型多边主义、互联互通治理</w:t>
      </w:r>
    </w:p>
    <w:p>
      <w:pPr>
        <w:jc w:val="center"/>
      </w:pPr>
      <w:r>
        <w:rPr>
          <w:rFonts w:ascii="Times New Roman" w:hAnsi="Times New Roman" w:eastAsia="宋体"/>
          <w:b w:val="0"/>
          <w:color w:val="595959"/>
          <w:sz w:val="20"/>
        </w:rPr>
        <w:t>每个概念按“一篇可独立投稿的论文”来设计 · 承接《全球—区域治理三元悖论深挖备忘录》</w:t>
      </w:r>
    </w:p>
    <w:p>
      <w:pPr>
        <w:jc w:val="center"/>
      </w:pPr>
      <w:r>
        <w:rPr>
          <w:rFonts w:ascii="Times New Roman" w:hAnsi="Times New Roman" w:eastAsia="宋体"/>
          <w:b w:val="0"/>
          <w:color w:val="595959"/>
          <w:sz w:val="20"/>
        </w:rPr>
        <w:t>结构：查新定位 → 理论渊源 → 概念界定 → 机制与命题 → 经验设计 → 自主知识的意涵 → 论文提纲与引言草稿 → 审稿质疑 → 必读文献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总览：三篇论文各自的位置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1F4E79"/>
          </w:tcPr>
          <w:p>
            <w:r/>
          </w:p>
        </w:tc>
        <w:tc>
          <w:tcPr>
            <w:tcW w:type="dxa" w:w="2436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论文一：互补性叠加</w:t>
            </w:r>
          </w:p>
        </w:tc>
        <w:tc>
          <w:tcPr>
            <w:tcW w:type="dxa" w:w="2436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论文二：关系型多边主义</w:t>
            </w:r>
          </w:p>
        </w:tc>
        <w:tc>
          <w:tcPr>
            <w:tcW w:type="dxa" w:w="2436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论文三：互联互通治理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一句话问题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新机构加入既有体系后，什么时候与旧机构合作，什么时候竞争？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在法律约束很弱的多边安排中，合作靠什么维持？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“互联互通”能否从政策口号变成可检验的分析概念？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查新结论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有近亲概念</w:t>
            </w:r>
            <w:r>
              <w:rPr>
                <w:rFonts w:ascii="Times New Roman" w:hAnsi="Times New Roman" w:eastAsia="宋体"/>
                <w:b w:val="0"/>
                <w:sz w:val="19"/>
              </w:rPr>
              <w:t>：Long与Schulz（2022，*International Organization*）提出“补偿性叠加”；RIPE 2026将全球发展倡议解读为“（反）霸权性叠加”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英文文献基本空白</w:t>
            </w:r>
            <w:r>
              <w:rPr>
                <w:rFonts w:ascii="Times New Roman" w:hAnsi="Times New Roman" w:eastAsia="宋体"/>
                <w:b w:val="0"/>
                <w:sz w:val="19"/>
              </w:rPr>
              <w:t>；最接近的是秦亚青的关系理论、Shih与Kuo（2024，CJIP）的“儒家多边主义”、Pouliot的“作为实践的多边主义”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刚被批评为“空洞能指”</w:t>
            </w:r>
            <w:r>
              <w:rPr>
                <w:rFonts w:ascii="Times New Roman" w:hAnsi="Times New Roman" w:eastAsia="宋体"/>
                <w:b w:val="0"/>
                <w:sz w:val="19"/>
              </w:rPr>
              <w:t>：Forough与Fünfgeld（2025，RIPE）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理论渊源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历史制度主义（叠加、置换、转化、漂移）；机制复合体；组织生态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Ruggie的多边主义；Keohane的“扩散互惠”；关系契约与组织经济学；秦亚青关系理论；费孝通“差序格局”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Deutsch的交往共同体；新功能主义外溢；Mann的基础性权力；相互依赖武器化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核心贡献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解释叠加的</w:t>
            </w:r>
            <w:r>
              <w:rPr>
                <w:rFonts w:ascii="Times New Roman" w:hAnsi="Times New Roman" w:eastAsia="宋体"/>
                <w:b/>
                <w:sz w:val="19"/>
              </w:rPr>
              <w:t>方向</w:t>
            </w:r>
            <w:r>
              <w:rPr>
                <w:rFonts w:ascii="Times New Roman" w:hAnsi="Times New Roman" w:eastAsia="宋体"/>
                <w:b w:val="0"/>
                <w:sz w:val="19"/>
              </w:rPr>
              <w:t>（互补还是竞争）及其条件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提出与“规则型多边主义”并列的第二种多边主义理想类型，并说明两者的替代与互补关系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提出“联通的双重效应”：联通既降低偏好差异，也制造脆弱性，结果取决于联通的次序与结构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自主知识意涵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把“不另起炉灶、做增量补充”的中国实践理论化并接受检验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关系理论从本体论走向</w:t>
            </w:r>
            <w:r>
              <w:rPr>
                <w:rFonts w:ascii="Times New Roman" w:hAnsi="Times New Roman" w:eastAsia="宋体"/>
                <w:b/>
                <w:sz w:val="19"/>
              </w:rPr>
              <w:t>可测量的制度理论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把“五通”“硬联通、软联通、心联通”转化为分析框架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推荐发表顺序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第一篇</w:t>
            </w:r>
            <w:r>
              <w:rPr>
                <w:rFonts w:ascii="Times New Roman" w:hAnsi="Times New Roman" w:eastAsia="宋体"/>
                <w:b w:val="0"/>
                <w:sz w:val="19"/>
              </w:rPr>
              <w:t>（数据最好、最易成文）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第二篇（理论最深，宜先发中文顶刊）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第三篇（可与区域锚点案例结合）</w:t>
            </w:r>
          </w:p>
        </w:tc>
      </w:tr>
    </w:tbl>
    <w:p/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---</w:t>
      </w:r>
    </w:p>
    <w:p>
      <w:pPr>
        <w:jc w:val="center"/>
      </w:pPr>
      <w:r>
        <w:rPr>
          <w:rFonts w:ascii="Times New Roman" w:hAnsi="Times New Roman" w:eastAsia="黑体"/>
          <w:b/>
          <w:sz w:val="36"/>
        </w:rPr>
        <w:t>论文一 互补性叠加（Complementary Layering）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1.1 查新与定位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文献</w:t>
            </w:r>
          </w:p>
        </w:tc>
        <w:tc>
          <w:tcPr>
            <w:tcW w:type="dxa" w:w="32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主张</w:t>
            </w:r>
          </w:p>
        </w:tc>
        <w:tc>
          <w:tcPr>
            <w:tcW w:type="dxa" w:w="32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与本概念的关系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Streeck与Thelen（2005）；Mahoney与Thelen（2010）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渐进制度变迁的几种模式：叠加、置换、转化、漂移等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理论源头。“叠加”指在旧制度旁边或之上加设新规则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Long与Schulz（2022，*International Organization*）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补偿性叠加</w:t>
            </w:r>
            <w:r>
              <w:rPr>
                <w:rFonts w:ascii="Times New Roman" w:hAnsi="Times New Roman" w:eastAsia="宋体"/>
                <w:b w:val="0"/>
                <w:sz w:val="19"/>
              </w:rPr>
              <w:t>：当一个组织居于焦点地位、成员间权力不对称、对制度设计偏好分歧时，围绕控制权与职能范围的一系列讨价还价会带来渐进而深刻的变迁（以美洲多功能多边组织的诞生为例）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最近的近亲</w:t>
            </w:r>
            <w:r>
              <w:rPr>
                <w:rFonts w:ascii="Times New Roman" w:hAnsi="Times New Roman" w:eastAsia="宋体"/>
                <w:b w:val="0"/>
                <w:sz w:val="19"/>
              </w:rPr>
              <w:t>。它解释叠加为何发生、如何转化旧组织；你要解释叠加后新旧机构的</w:t>
            </w:r>
            <w:r>
              <w:rPr>
                <w:rFonts w:ascii="Times New Roman" w:hAnsi="Times New Roman" w:eastAsia="宋体"/>
                <w:b/>
                <w:sz w:val="19"/>
              </w:rPr>
              <w:t>关系方向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Rabitz（2018，*Journal of International Relations and Development*）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机制复合体中关键行为体推动叠加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叠加的行为体视角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Hofmann与Yeo（2023，*EJIR*）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早期设计选择决定亚洲与欧洲机制复合体中叠加的速度与密度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叠加的历史路径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Gehring与Faude（2014，*Review of International Organizations*）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监管型国际机构之间的竞争会推动制度调适与</w:t>
            </w:r>
            <w:r>
              <w:rPr>
                <w:rFonts w:ascii="Times New Roman" w:hAnsi="Times New Roman" w:eastAsia="宋体"/>
                <w:b/>
                <w:sz w:val="19"/>
              </w:rPr>
              <w:t>分工</w:t>
            </w:r>
            <w:r>
              <w:rPr>
                <w:rFonts w:ascii="Times New Roman" w:hAnsi="Times New Roman" w:eastAsia="宋体"/>
                <w:b w:val="0"/>
                <w:sz w:val="19"/>
              </w:rPr>
              <w:t>，形成复合体内部的秩序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关键对话对象</w:t>
            </w:r>
            <w:r>
              <w:rPr>
                <w:rFonts w:ascii="Times New Roman" w:hAnsi="Times New Roman" w:eastAsia="宋体"/>
                <w:b w:val="0"/>
                <w:sz w:val="19"/>
              </w:rPr>
              <w:t>：竞争本身可以导向分工（互补）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Pratt（2018，*International Organization*）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机制复合体中的</w:t>
            </w:r>
            <w:r>
              <w:rPr>
                <w:rFonts w:ascii="Times New Roman" w:hAnsi="Times New Roman" w:eastAsia="宋体"/>
                <w:b/>
                <w:sz w:val="19"/>
              </w:rPr>
              <w:t>相互尊重与等级</w:t>
            </w:r>
            <w:r>
              <w:rPr>
                <w:rFonts w:ascii="Times New Roman" w:hAnsi="Times New Roman" w:eastAsia="宋体"/>
                <w:b w:val="0"/>
                <w:sz w:val="19"/>
              </w:rPr>
              <w:t>：机构之间会形成服从与分工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互补的一种形式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Faude与Reinsberg（2026，*Global Studies Quarterly*）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新开发银行进入后，旧机构会“对抗”或“回避”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旧机构一侧的回应类型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RIPE 2026（全球发展倡议）；RIPE 2026（G20共同框架）；RIPE 2026（亚投行与既有多边开发银行的合作）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叠加作为（反）霸权策略；非正式组织叠加于主权债务机制；新旧银行的合作与竞争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直接的经验对话对象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Daßler（2023，牛津大学出版社）《国际机制复合体的制度拓扑》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复合体的中心化与去中心化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测量复合体结构的工具</w:t>
            </w:r>
          </w:p>
        </w:tc>
      </w:tr>
    </w:tbl>
    <w:p/>
    <w:p>
      <w:pPr>
        <w:ind w:firstLine="440"/>
      </w:pPr>
      <w:r>
        <w:rPr>
          <w:rFonts w:ascii="Times New Roman" w:hAnsi="Times New Roman" w:eastAsia="宋体"/>
          <w:b/>
          <w:sz w:val="22"/>
        </w:rPr>
        <w:t>定位</w:t>
      </w:r>
      <w:r>
        <w:rPr>
          <w:rFonts w:ascii="Times New Roman" w:hAnsi="Times New Roman" w:eastAsia="宋体"/>
          <w:b w:val="0"/>
          <w:sz w:val="22"/>
        </w:rPr>
        <w:t>：现有文献已经说明叠加</w:t>
      </w:r>
      <w:r>
        <w:rPr>
          <w:rFonts w:ascii="Times New Roman" w:hAnsi="Times New Roman" w:eastAsia="宋体"/>
          <w:b/>
          <w:sz w:val="22"/>
        </w:rPr>
        <w:t>为何发生</w:t>
      </w:r>
      <w:r>
        <w:rPr>
          <w:rFonts w:ascii="Times New Roman" w:hAnsi="Times New Roman" w:eastAsia="宋体"/>
          <w:b w:val="0"/>
          <w:sz w:val="22"/>
        </w:rPr>
        <w:t>（补偿性叠加）、</w:t>
      </w:r>
      <w:r>
        <w:rPr>
          <w:rFonts w:ascii="Times New Roman" w:hAnsi="Times New Roman" w:eastAsia="宋体"/>
          <w:b/>
          <w:sz w:val="22"/>
        </w:rPr>
        <w:t>谁推动</w:t>
      </w:r>
      <w:r>
        <w:rPr>
          <w:rFonts w:ascii="Times New Roman" w:hAnsi="Times New Roman" w:eastAsia="宋体"/>
          <w:b w:val="0"/>
          <w:sz w:val="22"/>
        </w:rPr>
        <w:t>（关键行为体）、</w:t>
      </w:r>
      <w:r>
        <w:rPr>
          <w:rFonts w:ascii="Times New Roman" w:hAnsi="Times New Roman" w:eastAsia="宋体"/>
          <w:b/>
          <w:sz w:val="22"/>
        </w:rPr>
        <w:t>旧机构如何回应</w:t>
      </w:r>
      <w:r>
        <w:rPr>
          <w:rFonts w:ascii="Times New Roman" w:hAnsi="Times New Roman" w:eastAsia="宋体"/>
          <w:b w:val="0"/>
          <w:sz w:val="22"/>
        </w:rPr>
        <w:t>（对抗或回避）。尚未系统回答的是：</w:t>
      </w:r>
      <w:r>
        <w:rPr>
          <w:rFonts w:ascii="Times New Roman" w:hAnsi="Times New Roman" w:eastAsia="宋体"/>
          <w:b/>
          <w:sz w:val="22"/>
        </w:rPr>
        <w:t>叠加之后，新旧机构为何有时走向分工与合作，有时走向竞争与对抗？</w:t>
      </w:r>
      <w:r>
        <w:rPr>
          <w:rFonts w:ascii="Times New Roman" w:hAnsi="Times New Roman" w:eastAsia="宋体"/>
          <w:b w:val="0"/>
          <w:sz w:val="22"/>
        </w:rPr>
        <w:t xml:space="preserve"> 这正是“互补性叠加”这个概念要填补的位置。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1.2 理论渊源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历史制度主义</w:t>
      </w:r>
      <w:r>
        <w:rPr>
          <w:rFonts w:ascii="Times New Roman" w:hAnsi="Times New Roman" w:eastAsia="宋体"/>
          <w:b w:val="0"/>
          <w:sz w:val="22"/>
        </w:rPr>
        <w:t>：叠加是渐进变迁的一种，不推翻旧制度，而是改变其周边环境与相对重要性。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机制复合体理论</w:t>
      </w:r>
      <w:r>
        <w:rPr>
          <w:rFonts w:ascii="Times New Roman" w:hAnsi="Times New Roman" w:eastAsia="宋体"/>
          <w:b w:val="0"/>
          <w:sz w:val="22"/>
        </w:rPr>
        <w:t>：Raustiala与Victor、Alter与Meunier、Keohane与Victor等人奠基；Morse与Keohane（2014）的“竞争性多边主义”区分了机制转移与竞争性机制创设。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组织生态学</w:t>
      </w:r>
      <w:r>
        <w:rPr>
          <w:rFonts w:ascii="Times New Roman" w:hAnsi="Times New Roman" w:eastAsia="宋体"/>
          <w:b w:val="0"/>
          <w:sz w:val="22"/>
        </w:rPr>
        <w:t>：组织在“生态位”上竞争或分化。新机构若选择与旧机构不同的生态位，就倾向共存。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中国实践话语</w:t>
      </w:r>
      <w:r>
        <w:rPr>
          <w:rFonts w:ascii="Times New Roman" w:hAnsi="Times New Roman" w:eastAsia="宋体"/>
          <w:b w:val="0"/>
          <w:sz w:val="22"/>
        </w:rPr>
        <w:t>：亚投行筹建与运营过程中反复强调“对现有国际金融体系的补充”，而非替代；更广泛的“增量改革”思路。</w:t>
      </w:r>
      <w:r>
        <w:rPr>
          <w:rFonts w:ascii="Times New Roman" w:hAnsi="Times New Roman" w:eastAsia="宋体"/>
          <w:b/>
          <w:sz w:val="22"/>
        </w:rPr>
        <w:t>这是本概念的自主知识来源，但必须转化为可检验的命题，而不是直接采信官方表述。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1.3 概念界定</w:t>
      </w:r>
    </w:p>
    <w:p>
      <w:pPr>
        <w:ind w:firstLine="440"/>
      </w:pPr>
      <w:r>
        <w:rPr>
          <w:rFonts w:ascii="Times New Roman" w:hAnsi="Times New Roman" w:eastAsia="宋体"/>
          <w:b/>
          <w:sz w:val="22"/>
        </w:rPr>
        <w:t>定义</w:t>
      </w:r>
      <w:r>
        <w:rPr>
          <w:rFonts w:ascii="Times New Roman" w:hAnsi="Times New Roman" w:eastAsia="宋体"/>
          <w:b w:val="0"/>
          <w:sz w:val="22"/>
        </w:rPr>
        <w:t>：新机构以与既有机构</w:t>
      </w:r>
      <w:r>
        <w:rPr>
          <w:rFonts w:ascii="Times New Roman" w:hAnsi="Times New Roman" w:eastAsia="宋体"/>
          <w:b/>
          <w:sz w:val="22"/>
        </w:rPr>
        <w:t>功能错位、规则相容、并建立制度化联结</w:t>
      </w:r>
      <w:r>
        <w:rPr>
          <w:rFonts w:ascii="Times New Roman" w:hAnsi="Times New Roman" w:eastAsia="宋体"/>
          <w:b w:val="0"/>
          <w:sz w:val="22"/>
        </w:rPr>
        <w:t>的方式进入同一治理领域，从而在不替代旧机构的前提下，渐进改变整个复合体结构的过程。</w:t>
      </w:r>
    </w:p>
    <w:p>
      <w:pPr>
        <w:ind w:firstLine="440"/>
      </w:pPr>
      <w:r>
        <w:rPr>
          <w:rFonts w:ascii="Times New Roman" w:hAnsi="Times New Roman" w:eastAsia="宋体"/>
          <w:b/>
          <w:sz w:val="22"/>
        </w:rPr>
        <w:t>属</w:t>
      </w:r>
      <w:r>
        <w:rPr>
          <w:rFonts w:ascii="Times New Roman" w:hAnsi="Times New Roman" w:eastAsia="宋体"/>
          <w:b w:val="0"/>
          <w:sz w:val="22"/>
        </w:rPr>
        <w:t>：制度叠加（institutional layering）。</w:t>
      </w:r>
    </w:p>
    <w:p>
      <w:pPr>
        <w:ind w:firstLine="440"/>
      </w:pPr>
      <w:r>
        <w:rPr>
          <w:rFonts w:ascii="Times New Roman" w:hAnsi="Times New Roman" w:eastAsia="宋体"/>
          <w:b/>
          <w:sz w:val="22"/>
        </w:rPr>
        <w:t>种差</w:t>
      </w:r>
      <w:r>
        <w:rPr>
          <w:rFonts w:ascii="Times New Roman" w:hAnsi="Times New Roman" w:eastAsia="宋体"/>
          <w:b w:val="0"/>
          <w:sz w:val="22"/>
        </w:rPr>
        <w:t>：以“新旧机构关系的方向”为标准，叠加可分为四种：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19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功能关系</w:t>
            </w:r>
          </w:p>
        </w:tc>
        <w:tc>
          <w:tcPr>
            <w:tcW w:type="dxa" w:w="19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规则关系</w:t>
            </w:r>
          </w:p>
        </w:tc>
        <w:tc>
          <w:tcPr>
            <w:tcW w:type="dxa" w:w="19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制度联结</w:t>
            </w:r>
          </w:p>
        </w:tc>
        <w:tc>
          <w:tcPr>
            <w:tcW w:type="dxa" w:w="19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典型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互补性叠加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错位（不同生态位）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相容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强（联合融资、谅解备忘录、人员往来）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亚投行早期大量与世行、亚开行联合融资（待数据检验）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竞争性叠加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重叠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替代或冲突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弱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冷战时期的平行机构；部分观点对全球发展倡议的解读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补偿性叠加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由谈判决定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渐进转化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内嵌于旧组织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Long与Schulz的美洲案例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寄生性叠加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依附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采纳旧规则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单向依赖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新机构完全照搬旧机构标准，借其合法性</w:t>
            </w:r>
          </w:p>
        </w:tc>
      </w:tr>
    </w:tbl>
    <w:p/>
    <w:p>
      <w:pPr>
        <w:ind w:firstLine="440"/>
      </w:pPr>
      <w:r>
        <w:rPr>
          <w:rFonts w:ascii="Times New Roman" w:hAnsi="Times New Roman" w:eastAsia="宋体"/>
          <w:b/>
          <w:sz w:val="22"/>
        </w:rPr>
        <w:t>否定性边界（什么不是互补性叠加）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不是“共存”：仅仅同时存在而无联结，不算互补；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不是“服从”：新机构完全按旧机构规则运作、没有增量功能，属于寄生性叠加；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不是“合作意图”：判断标准是可观察的联结与分工，而不是官方声明。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1.4 机制与命题</w:t>
      </w:r>
    </w:p>
    <w:p>
      <w:pPr>
        <w:ind w:firstLine="440"/>
      </w:pPr>
      <w:r>
        <w:rPr>
          <w:rFonts w:ascii="Times New Roman" w:hAnsi="Times New Roman" w:eastAsia="宋体"/>
          <w:b/>
          <w:sz w:val="22"/>
        </w:rPr>
        <w:t>三个关键自变量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功能重叠度</w:t>
      </w:r>
      <w:r>
        <w:rPr>
          <w:rFonts w:ascii="Times New Roman" w:hAnsi="Times New Roman" w:eastAsia="宋体"/>
          <w:b w:val="0"/>
          <w:sz w:val="22"/>
        </w:rPr>
        <w:t>（新旧机构是否服务同一类客户、提供同一类产品）；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规则相容度</w:t>
      </w:r>
      <w:r>
        <w:rPr>
          <w:rFonts w:ascii="Times New Roman" w:hAnsi="Times New Roman" w:eastAsia="宋体"/>
          <w:b w:val="0"/>
          <w:sz w:val="22"/>
        </w:rPr>
        <w:t>（采购、环境与社会保障、债务可持续性分析等标准是否兼容）；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主导国关系</w:t>
      </w:r>
      <w:r>
        <w:rPr>
          <w:rFonts w:ascii="Times New Roman" w:hAnsi="Times New Roman" w:eastAsia="宋体"/>
          <w:b w:val="0"/>
          <w:sz w:val="22"/>
        </w:rPr>
        <w:t>（发起新机构的国家与主导旧机构的国家之间的关系）。</w:t>
      </w:r>
    </w:p>
    <w:p>
      <w:pPr>
        <w:ind w:firstLine="440"/>
      </w:pPr>
      <w:r>
        <w:rPr>
          <w:rFonts w:ascii="Times New Roman" w:hAnsi="Times New Roman" w:eastAsia="宋体"/>
          <w:b/>
          <w:sz w:val="22"/>
        </w:rPr>
        <w:t>命题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P1</w:t>
      </w:r>
      <w:r>
        <w:rPr>
          <w:rFonts w:ascii="Times New Roman" w:hAnsi="Times New Roman" w:eastAsia="宋体"/>
          <w:b w:val="0"/>
          <w:sz w:val="22"/>
        </w:rPr>
        <w:t>：功能重叠度低、规则相容度高时，叠加趋向互补。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P2</w:t>
      </w:r>
      <w:r>
        <w:rPr>
          <w:rFonts w:ascii="Times New Roman" w:hAnsi="Times New Roman" w:eastAsia="宋体"/>
          <w:b w:val="0"/>
          <w:sz w:val="22"/>
        </w:rPr>
        <w:t>：功能重叠度高时，只有在制度联结强（如联合融资框架）的条件下，叠加才会互补；否则趋向竞争。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P3</w:t>
      </w:r>
      <w:r>
        <w:rPr>
          <w:rFonts w:ascii="Times New Roman" w:hAnsi="Times New Roman" w:eastAsia="宋体"/>
          <w:b w:val="0"/>
          <w:sz w:val="22"/>
        </w:rPr>
        <w:t>：主导国关系恶化会削弱制度联结，使原本互补的叠加转向竞争（动态命题，可以用中美关系的变化检验）。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P4（反直觉命题）</w:t>
      </w:r>
      <w:r>
        <w:rPr>
          <w:rFonts w:ascii="Times New Roman" w:hAnsi="Times New Roman" w:eastAsia="宋体"/>
          <w:b w:val="0"/>
          <w:sz w:val="22"/>
        </w:rPr>
        <w:t>：新机构越是</w:t>
      </w:r>
      <w:r>
        <w:rPr>
          <w:rFonts w:ascii="Times New Roman" w:hAnsi="Times New Roman" w:eastAsia="宋体"/>
          <w:b/>
          <w:sz w:val="22"/>
        </w:rPr>
        <w:t>采纳</w:t>
      </w:r>
      <w:r>
        <w:rPr>
          <w:rFonts w:ascii="Times New Roman" w:hAnsi="Times New Roman" w:eastAsia="宋体"/>
          <w:b w:val="0"/>
          <w:sz w:val="22"/>
        </w:rPr>
        <w:t>旧机构的标准，越容易获得合作，但也越难提供“增量功能”。这是一个</w:t>
      </w:r>
      <w:r>
        <w:rPr>
          <w:rFonts w:ascii="Times New Roman" w:hAnsi="Times New Roman" w:eastAsia="宋体"/>
          <w:b/>
          <w:sz w:val="22"/>
        </w:rPr>
        <w:t>合法性—差异性困境</w:t>
      </w:r>
      <w:r>
        <w:rPr>
          <w:rFonts w:ascii="Times New Roman" w:hAnsi="Times New Roman" w:eastAsia="宋体"/>
          <w:b w:val="0"/>
          <w:sz w:val="22"/>
        </w:rPr>
        <w:t>，与Wang、Dijkstra与Lo（2026，IRAP）发现亚投行设计遵循最佳实践、却仍带有国内印记的结论可以对话。</w:t>
      </w:r>
    </w:p>
    <w:p>
      <w:pPr>
        <w:ind w:firstLine="440"/>
      </w:pPr>
      <w:r>
        <w:rPr>
          <w:rFonts w:ascii="Times New Roman" w:hAnsi="Times New Roman" w:eastAsia="宋体"/>
          <w:b/>
          <w:sz w:val="22"/>
        </w:rPr>
        <w:t>与三元悖论的联系</w:t>
      </w:r>
      <w:r>
        <w:rPr>
          <w:rFonts w:ascii="Times New Roman" w:hAnsi="Times New Roman" w:eastAsia="宋体"/>
          <w:b w:val="0"/>
          <w:sz w:val="22"/>
        </w:rPr>
        <w:t>：互补性叠加就是让新机构占据旧机构没有占据的那个角（例如旧机构“普遍＋深度”，新机构“普遍＋自主”），从而在复合体层面同时覆盖更多的角。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1.5 经验设计</w:t>
      </w:r>
    </w:p>
    <w:p>
      <w:pPr>
        <w:ind w:firstLine="440"/>
      </w:pPr>
      <w:r>
        <w:rPr>
          <w:rFonts w:ascii="Times New Roman" w:hAnsi="Times New Roman" w:eastAsia="宋体"/>
          <w:b/>
          <w:sz w:val="22"/>
        </w:rPr>
        <w:t>主案例</w:t>
      </w:r>
      <w:r>
        <w:rPr>
          <w:rFonts w:ascii="Times New Roman" w:hAnsi="Times New Roman" w:eastAsia="宋体"/>
          <w:b w:val="0"/>
          <w:sz w:val="22"/>
        </w:rPr>
        <w:t>：亚投行与世界银行、亚洲开发银行（2016年至今）。</w:t>
      </w:r>
    </w:p>
    <w:p>
      <w:pPr>
        <w:ind w:firstLine="440"/>
      </w:pPr>
      <w:r>
        <w:rPr>
          <w:rFonts w:ascii="Times New Roman" w:hAnsi="Times New Roman" w:eastAsia="宋体"/>
          <w:b/>
          <w:sz w:val="22"/>
        </w:rPr>
        <w:t>辅助案例</w:t>
      </w:r>
      <w:r>
        <w:rPr>
          <w:rFonts w:ascii="Times New Roman" w:hAnsi="Times New Roman" w:eastAsia="宋体"/>
          <w:b w:val="0"/>
          <w:sz w:val="22"/>
        </w:rPr>
        <w:t>（可选）：新开发银行与世界银行；清迈倡议多边化与IMF；MPIA与WTO上诉机构；全球发展倡议与联合国2030议程。</w:t>
      </w:r>
    </w:p>
    <w:p>
      <w:pPr>
        <w:ind w:firstLine="440"/>
      </w:pPr>
      <w:r>
        <w:rPr>
          <w:rFonts w:ascii="Times New Roman" w:hAnsi="Times New Roman" w:eastAsia="宋体"/>
          <w:b/>
          <w:sz w:val="22"/>
        </w:rPr>
        <w:t>数据（可复现部分）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亚投行项目清单中的联合融资方信息（亚投行官网公开项目数据）；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世界银行、亚开行项目数据库；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项目层面变量：是否联合融资、由谁牵头、采用谁的保障政策、所在国、行业、金额、年份。</w:t>
      </w:r>
    </w:p>
    <w:p>
      <w:pPr>
        <w:ind w:firstLine="440"/>
      </w:pPr>
      <w:r>
        <w:rPr>
          <w:rFonts w:ascii="Times New Roman" w:hAnsi="Times New Roman" w:eastAsia="宋体"/>
          <w:b/>
          <w:sz w:val="22"/>
        </w:rPr>
        <w:t>识别与方法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描述层：联合融资比例随时间的变化，按行业与国家分解；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解释层：项目层面的离散选择模型，检验P1—P3；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动态层：以中美关系的重大变化或领导层更替为时间节点，做事件研究；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机制层：两三个项目的过程追踪，结合访谈（亚投行、世行驻地人员）。</w:t>
      </w:r>
    </w:p>
    <w:p>
      <w:pPr>
        <w:ind w:firstLine="440"/>
      </w:pPr>
      <w:r>
        <w:rPr>
          <w:rFonts w:ascii="Times New Roman" w:hAnsi="Times New Roman" w:eastAsia="宋体"/>
          <w:b/>
          <w:sz w:val="22"/>
        </w:rPr>
        <w:t>可对话的同期研究</w:t>
      </w:r>
      <w:r>
        <w:rPr>
          <w:rFonts w:ascii="Times New Roman" w:hAnsi="Times New Roman" w:eastAsia="宋体"/>
          <w:b w:val="0"/>
          <w:sz w:val="22"/>
        </w:rPr>
        <w:t>：PEIO 2026有论文研究“世界银行对亚投行成立的策略性回应”和“亚投行项目的策略性分配”，RIPE 2025研究“美国对亚投行成立的群内惩罚”。你的贡献在于把这些分散发现放进“叠加方向”的统一框架。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1.6 自主知识的意涵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“补充而非替代”是中国参与全球治理的重要表述。把它转化为“互补性叠加”这个可检验的概念，有三重意义：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给出明确的成立条件（P1—P3），而不是把“补充”当作给定事实；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允许被证伪：如果数据显示叠加在某些领域走向竞争，同样是有价值的发现；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把中国经验接入历史制度主义的国际主流框架，与Long与Schulz、Gehring与Faude直接对话。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1.7 论文提纲（约1万词）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1. 引言（1200词）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2. 叠加研究的现状与缺口：从“为何叠加”到“叠加的方向”（1500词）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3. 理论：叠加类型学与互补性条件（2000词）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4. 研究设计：亚投行与既有多边开发银行（1000词）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5. 大样本结果：联合融资的模式与决定因素（2000词）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6. 过程追踪：两个项目（1500词）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7. 结论：对机制复合体与新兴大国研究的意义（800词）</w:t>
      </w:r>
    </w:p>
    <w:p>
      <w:pPr>
        <w:ind w:firstLine="440"/>
      </w:pPr>
      <w:r>
        <w:rPr>
          <w:rFonts w:ascii="Times New Roman" w:hAnsi="Times New Roman" w:eastAsia="宋体"/>
          <w:b/>
          <w:sz w:val="22"/>
        </w:rPr>
        <w:t>目标期刊</w:t>
      </w:r>
      <w:r>
        <w:rPr>
          <w:rFonts w:ascii="Times New Roman" w:hAnsi="Times New Roman" w:eastAsia="宋体"/>
          <w:b w:val="0"/>
          <w:sz w:val="22"/>
        </w:rPr>
        <w:t>：英文——*Review of International Organizations*、*Global Studies Quarterly*、*Review of International Political Economy*；中文——《世界经济与政治》《国际政治科学》。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1.8 引言草稿（五段式，供改写）</w:t>
      </w:r>
    </w:p>
    <w:p>
      <w:pPr>
        <w:ind w:left="454"/>
      </w:pPr>
      <w:r>
        <w:rPr>
          <w:rFonts w:ascii="Times New Roman" w:hAnsi="Times New Roman" w:eastAsia="楷体"/>
          <w:b/>
          <w:color w:val="404040"/>
          <w:sz w:val="21"/>
        </w:rPr>
        <w:t>第一段（困惑）</w:t>
      </w:r>
      <w:r>
        <w:rPr>
          <w:rFonts w:ascii="Times New Roman" w:hAnsi="Times New Roman" w:eastAsia="楷体"/>
          <w:b w:val="0"/>
          <w:color w:val="404040"/>
          <w:sz w:val="21"/>
        </w:rPr>
        <w:t>：亚投行成立时，许多观察者预期它将与世界银行争夺项目、标准与影响力。然而，此后多年的实践呈现出更复杂的图景：在一些领域，新旧银行广泛联合融资、相互采纳标准；在另一些领域，则出现了明显的分化与竞争。同一个新机构，为何与旧机构的关系方向不同？</w:t>
      </w:r>
    </w:p>
    <w:p>
      <w:pPr>
        <w:ind w:left="454"/>
      </w:pPr>
      <w:r>
        <w:rPr>
          <w:rFonts w:ascii="Times New Roman" w:hAnsi="Times New Roman" w:eastAsia="楷体"/>
          <w:b/>
          <w:color w:val="404040"/>
          <w:sz w:val="21"/>
        </w:rPr>
        <w:t>第二段（现有认识）</w:t>
      </w:r>
      <w:r>
        <w:rPr>
          <w:rFonts w:ascii="Times New Roman" w:hAnsi="Times New Roman" w:eastAsia="楷体"/>
          <w:b w:val="0"/>
          <w:color w:val="404040"/>
          <w:sz w:val="21"/>
        </w:rPr>
        <w:t>：关于新机构进入既有体系，现有研究主要回答两个问题：叠加为何发生，以及旧机构如何回应。前者强调焦点组织、权力不对称与偏好分歧（Long与Schulz 2022）；后者区分对抗与回避（Faude与Reinsberg 2026）。</w:t>
      </w:r>
    </w:p>
    <w:p>
      <w:pPr>
        <w:ind w:left="454"/>
      </w:pPr>
      <w:r>
        <w:rPr>
          <w:rFonts w:ascii="Times New Roman" w:hAnsi="Times New Roman" w:eastAsia="楷体"/>
          <w:b/>
          <w:color w:val="404040"/>
          <w:sz w:val="21"/>
        </w:rPr>
        <w:t>第三段（不足）</w:t>
      </w:r>
      <w:r>
        <w:rPr>
          <w:rFonts w:ascii="Times New Roman" w:hAnsi="Times New Roman" w:eastAsia="楷体"/>
          <w:b w:val="0"/>
          <w:color w:val="404040"/>
          <w:sz w:val="21"/>
        </w:rPr>
        <w:t>：但这些研究大多把叠加视为一种单一的变迁模式，忽略了叠加之后新旧机构关系的</w:t>
      </w:r>
      <w:r>
        <w:rPr>
          <w:rFonts w:ascii="Times New Roman" w:hAnsi="Times New Roman" w:eastAsia="楷体"/>
          <w:b/>
          <w:color w:val="404040"/>
          <w:sz w:val="21"/>
        </w:rPr>
        <w:t>方向</w:t>
      </w:r>
      <w:r>
        <w:rPr>
          <w:rFonts w:ascii="Times New Roman" w:hAnsi="Times New Roman" w:eastAsia="楷体"/>
          <w:b w:val="0"/>
          <w:color w:val="404040"/>
          <w:sz w:val="21"/>
        </w:rPr>
        <w:t>。竞争可以导向分工（Gehring与Faude 2014），也可以导向对抗；“补充”可能只是修辞，也可能是可以观察的制度安排。</w:t>
      </w:r>
    </w:p>
    <w:p>
      <w:pPr>
        <w:ind w:left="454"/>
      </w:pPr>
      <w:r>
        <w:rPr>
          <w:rFonts w:ascii="Times New Roman" w:hAnsi="Times New Roman" w:eastAsia="楷体"/>
          <w:b/>
          <w:color w:val="404040"/>
          <w:sz w:val="21"/>
        </w:rPr>
        <w:t>第四段（本文论点）</w:t>
      </w:r>
      <w:r>
        <w:rPr>
          <w:rFonts w:ascii="Times New Roman" w:hAnsi="Times New Roman" w:eastAsia="楷体"/>
          <w:b w:val="0"/>
          <w:color w:val="404040"/>
          <w:sz w:val="21"/>
        </w:rPr>
        <w:t>：本文提出“互补性叠加”的概念，认为叠加走向互补取决于功能重叠度、规则相容度与主导国关系三项条件。基于亚投行2016年以来的项目数据与过程追踪，本文发现……（待数据结果）。</w:t>
      </w:r>
    </w:p>
    <w:p>
      <w:pPr>
        <w:ind w:left="454"/>
      </w:pPr>
      <w:r>
        <w:rPr>
          <w:rFonts w:ascii="Times New Roman" w:hAnsi="Times New Roman" w:eastAsia="楷体"/>
          <w:b/>
          <w:color w:val="404040"/>
          <w:sz w:val="21"/>
        </w:rPr>
        <w:t>第五段（贡献）</w:t>
      </w:r>
      <w:r>
        <w:rPr>
          <w:rFonts w:ascii="Times New Roman" w:hAnsi="Times New Roman" w:eastAsia="楷体"/>
          <w:b w:val="0"/>
          <w:color w:val="404040"/>
          <w:sz w:val="21"/>
        </w:rPr>
        <w:t>：本文对机制复合体理论的贡献在于提出叠加方向的类型学与条件；对新兴大国研究的贡献在于为“补充还是挑战”之争提供可检验的框架；对政策的意义在于识别新旧机构合作的制度条件。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1.9 审稿人可能的质疑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质疑</w:t>
            </w:r>
          </w:p>
        </w:tc>
        <w:tc>
          <w:tcPr>
            <w:tcW w:type="dxa" w:w="4873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回应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“互补只是早期现象，亚投行成熟后会转向竞争”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正是P3的动态命题，用时间变化检验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“联合融资是亚投行能力不足的表现，不是互补”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区分“牵头方”，检验随时间推移亚投行牵头比例的变化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“与补偿性叠加有何区别？”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补偿性叠加解释旧组织内部的转化；互补性叠加解释新旧组织之间的关系方向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“案例单一”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加入新开发银行、清迈倡议多边化等辅助案例做外推</w:t>
            </w:r>
          </w:p>
        </w:tc>
      </w:tr>
    </w:tbl>
    <w:p/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1.10 必读文献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Streeck与Thelen（2005）；Mahoney与Thelen（2010）；Long与Schulz（2022）；Gehring与Faude（2014）；Pratt（2018）；Morse与Keohane（2014）；Hofmann（2018，*JEPP*，关于重叠组织的政治：挟持、论坛选择与斡旋）；Faude与Reinsberg（2026）；Wang、Dijkstra与Lo（2026，IRAP）；RIPE 2026关于亚投行合作与全球发展倡议叠加的两篇。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---</w:t>
      </w:r>
    </w:p>
    <w:p>
      <w:pPr>
        <w:jc w:val="center"/>
      </w:pPr>
      <w:r>
        <w:rPr>
          <w:rFonts w:ascii="Times New Roman" w:hAnsi="Times New Roman" w:eastAsia="黑体"/>
          <w:b/>
          <w:sz w:val="36"/>
        </w:rPr>
        <w:t>论文二 关系型多边主义（Relational Multilateralism）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2.1 查新与定位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英文文献中，“relational multilateralism”尚未作为一个成形的概念出现（检索未发现直接使用）。最接近的研究有：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秦亚青</w:t>
      </w:r>
      <w:r>
        <w:rPr>
          <w:rFonts w:ascii="Times New Roman" w:hAnsi="Times New Roman" w:eastAsia="宋体"/>
          <w:b w:val="0"/>
          <w:sz w:val="22"/>
        </w:rPr>
        <w:t>：关系理论（《世界政治的关系理论》，剑桥大学出版社2018），以及关于“跨国治理与多元多边主义”的研究（2020）；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Shih与Kuo（2024，CJIP）</w:t>
      </w:r>
      <w:r>
        <w:rPr>
          <w:rFonts w:ascii="Times New Roman" w:hAnsi="Times New Roman" w:eastAsia="宋体"/>
          <w:b w:val="0"/>
          <w:sz w:val="22"/>
        </w:rPr>
        <w:t>：以关系分析连接自由主义与“儒家多边主义”；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Pouliot（2011，*International Studies Perspectives*）</w:t>
      </w:r>
      <w:r>
        <w:rPr>
          <w:rFonts w:ascii="Times New Roman" w:hAnsi="Times New Roman" w:eastAsia="宋体"/>
          <w:b w:val="0"/>
          <w:sz w:val="22"/>
        </w:rPr>
        <w:t>：多边主义作为实践与目的本身；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Christina Davis（2025，*World Politics*）</w:t>
      </w:r>
      <w:r>
        <w:rPr>
          <w:rFonts w:ascii="Times New Roman" w:hAnsi="Times New Roman" w:eastAsia="宋体"/>
          <w:b w:val="0"/>
          <w:sz w:val="22"/>
        </w:rPr>
        <w:t>：《国际制度的社会情境》，用关系变量解释制度效果；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Weinhardt（2015，*Journal of Trust Research*）</w:t>
      </w:r>
      <w:r>
        <w:rPr>
          <w:rFonts w:ascii="Times New Roman" w:hAnsi="Times New Roman" w:eastAsia="宋体"/>
          <w:b w:val="0"/>
          <w:sz w:val="22"/>
        </w:rPr>
        <w:t>：南北贸易谈判中的关系信任；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“网络化多边主义”</w:t>
      </w:r>
      <w:r>
        <w:rPr>
          <w:rFonts w:ascii="Times New Roman" w:hAnsi="Times New Roman" w:eastAsia="宋体"/>
          <w:b w:val="0"/>
          <w:sz w:val="22"/>
        </w:rPr>
        <w:t>：联合国秘书长等提出的政策话语，以及Shlomo-Agon等（2026，SSRN）的研究。</w:t>
      </w:r>
    </w:p>
    <w:p>
      <w:pPr>
        <w:ind w:firstLine="440"/>
      </w:pPr>
      <w:r>
        <w:rPr>
          <w:rFonts w:ascii="Times New Roman" w:hAnsi="Times New Roman" w:eastAsia="宋体"/>
          <w:b/>
          <w:sz w:val="22"/>
        </w:rPr>
        <w:t>定位</w:t>
      </w:r>
      <w:r>
        <w:rPr>
          <w:rFonts w:ascii="Times New Roman" w:hAnsi="Times New Roman" w:eastAsia="宋体"/>
          <w:b w:val="0"/>
          <w:sz w:val="22"/>
        </w:rPr>
        <w:t>：关系理论在中文学界影响很大，但多停留在本体论与认识论层面；国际制度研究中的“社会情境”转向刚刚起步。</w:t>
      </w:r>
      <w:r>
        <w:rPr>
          <w:rFonts w:ascii="Times New Roman" w:hAnsi="Times New Roman" w:eastAsia="宋体"/>
          <w:b/>
          <w:sz w:val="22"/>
        </w:rPr>
        <w:t>“关系型多边主义”的任务，是把关系理论从世界观转化为一种可测量、可检验的制度形态理论。</w:t>
      </w:r>
      <w:r>
        <w:rPr>
          <w:rFonts w:ascii="Times New Roman" w:hAnsi="Times New Roman" w:eastAsia="宋体"/>
          <w:b w:val="0"/>
          <w:sz w:val="22"/>
        </w:rPr>
        <w:t xml:space="preserve"> 这是自主知识体系从“理论主张”走向“经验研究”的一步。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2.2 理论渊源（这是最能体现深度的部分）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渊源</w:t>
            </w:r>
          </w:p>
        </w:tc>
        <w:tc>
          <w:tcPr>
            <w:tcW w:type="dxa" w:w="32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核心思想</w:t>
            </w:r>
          </w:p>
        </w:tc>
        <w:tc>
          <w:tcPr>
            <w:tcW w:type="dxa" w:w="32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为本概念提供什么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Ruggie（1992）的多边主义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多边主义的三个特征：广义的行为原则、不可分割性、</w:t>
            </w:r>
            <w:r>
              <w:rPr>
                <w:rFonts w:ascii="Times New Roman" w:hAnsi="Times New Roman" w:eastAsia="宋体"/>
                <w:b/>
                <w:sz w:val="19"/>
              </w:rPr>
              <w:t>扩散互惠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关键发现：</w:t>
            </w:r>
            <w:r>
              <w:rPr>
                <w:rFonts w:ascii="Times New Roman" w:hAnsi="Times New Roman" w:eastAsia="宋体"/>
                <w:b/>
                <w:sz w:val="19"/>
              </w:rPr>
              <w:t>扩散互惠本身就是关系性的</w:t>
            </w:r>
            <w:r>
              <w:rPr>
                <w:rFonts w:ascii="Times New Roman" w:hAnsi="Times New Roman" w:eastAsia="宋体"/>
                <w:b w:val="0"/>
                <w:sz w:val="19"/>
              </w:rPr>
              <w:t>。Ruggie式多边主义把它置于广义原则之下；关系型多边主义则把关系置于优先位置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Keohane（1986，*International Organization*）“国际关系中的互惠”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区分特定互惠与扩散互惠；扩散互惠依赖长期关系与信任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关系作为合作的维持机制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组织经济学与法社会学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Macneil的关系契约理论；Granovetter（1985）的嵌入性；</w:t>
            </w:r>
            <w:r>
              <w:rPr>
                <w:rFonts w:ascii="Times New Roman" w:hAnsi="Times New Roman" w:eastAsia="宋体"/>
                <w:b/>
                <w:sz w:val="19"/>
              </w:rPr>
              <w:t>Poppo与Zenger（2002，*Strategic Management Journal*）：正式合同与关系治理是替代还是互补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最重要的跨学科资源</w:t>
            </w:r>
            <w:r>
              <w:rPr>
                <w:rFonts w:ascii="Times New Roman" w:hAnsi="Times New Roman" w:eastAsia="宋体"/>
                <w:b w:val="0"/>
                <w:sz w:val="19"/>
              </w:rPr>
              <w:t>：可以直接借用“替代还是互补”的问题框架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制度经济学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Greif对非正式制度与多边惩罚的研究；Ostrom关于信任与公共事物治理的研究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关系如何在没有第三方执行的情况下维持合作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东盟研究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Acharya关于“东盟方式”（协商、共识、非正式）的研究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区域层的经验原型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秦亚青关系理论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关系是世界政治的本体；“关系性”与“过程”；中庸辩证法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本体论基础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费孝通“差序格局”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以自我为中心、由近及远的关系圈层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解释关系型多边主义内部的差序结构</w:t>
            </w:r>
            <w:r>
              <w:rPr>
                <w:rFonts w:ascii="Times New Roman" w:hAnsi="Times New Roman" w:eastAsia="宋体"/>
                <w:b w:val="0"/>
                <w:sz w:val="19"/>
              </w:rPr>
              <w:t>：例如不同层级的伙伴关系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社会网络分析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Hafner-Burton、Kahler与Montgomery（2009，*International Organization*）关于网络分析与国际关系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测量关系密度、中心性、结构洞</w:t>
            </w:r>
          </w:p>
        </w:tc>
      </w:tr>
    </w:tbl>
    <w:p/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2.3 概念界定</w:t>
      </w:r>
    </w:p>
    <w:p>
      <w:pPr>
        <w:ind w:firstLine="440"/>
      </w:pPr>
      <w:r>
        <w:rPr>
          <w:rFonts w:ascii="Times New Roman" w:hAnsi="Times New Roman" w:eastAsia="宋体"/>
          <w:b/>
          <w:sz w:val="22"/>
        </w:rPr>
        <w:t>定义</w:t>
      </w:r>
      <w:r>
        <w:rPr>
          <w:rFonts w:ascii="Times New Roman" w:hAnsi="Times New Roman" w:eastAsia="宋体"/>
          <w:b w:val="0"/>
          <w:sz w:val="22"/>
        </w:rPr>
        <w:t>：一种在成员上保持包容、在目标上追求共同利益，但主要依靠</w:t>
      </w:r>
      <w:r>
        <w:rPr>
          <w:rFonts w:ascii="Times New Roman" w:hAnsi="Times New Roman" w:eastAsia="宋体"/>
          <w:b/>
          <w:sz w:val="22"/>
        </w:rPr>
        <w:t>成员之间长期、多层次的关系网络</w:t>
      </w:r>
      <w:r>
        <w:rPr>
          <w:rFonts w:ascii="Times New Roman" w:hAnsi="Times New Roman" w:eastAsia="宋体"/>
          <w:b w:val="0"/>
          <w:sz w:val="22"/>
        </w:rPr>
        <w:t>（而非精确的法律义务与第三方执行）来维持合作与履约的多边主义形态。</w:t>
      </w:r>
    </w:p>
    <w:p>
      <w:pPr>
        <w:ind w:firstLine="440"/>
      </w:pPr>
      <w:r>
        <w:rPr>
          <w:rFonts w:ascii="Times New Roman" w:hAnsi="Times New Roman" w:eastAsia="宋体"/>
          <w:b/>
          <w:sz w:val="22"/>
        </w:rPr>
        <w:t>两种理想类型的对比</w:t>
      </w:r>
      <w:r>
        <w:rPr>
          <w:rFonts w:ascii="Times New Roman" w:hAnsi="Times New Roman" w:eastAsia="宋体"/>
          <w:b w:val="0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2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规则型多边主义（Ruggie式）</w:t>
            </w:r>
          </w:p>
        </w:tc>
        <w:tc>
          <w:tcPr>
            <w:tcW w:type="dxa" w:w="32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关系型多边主义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合作的基础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广义的、事先约定的规则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长期关系、互信与相互认可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履约机制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法律义务、监督与争端解决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声誉、关系损失的代价、高层互动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制度形式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高度法律化、常设机构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低法律化、论坛加机制化对话加项目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互惠类型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扩散互惠（从属于规则）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扩散互惠（作为核心机制）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成员结构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平等成员，非歧视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包容但呈差序结构（关系远近不同）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优势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可预期、可执行、对第三方透明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灵活、包容异质成员、维持成本低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弱点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对偏好异质性容忍度低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透明度低、依赖关系稳定、可能滑向庇护关系</w:t>
            </w:r>
          </w:p>
        </w:tc>
      </w:tr>
    </w:tbl>
    <w:p/>
    <w:p>
      <w:pPr>
        <w:ind w:firstLine="440"/>
      </w:pPr>
      <w:r>
        <w:rPr>
          <w:rFonts w:ascii="Times New Roman" w:hAnsi="Times New Roman" w:eastAsia="宋体"/>
          <w:b/>
          <w:sz w:val="22"/>
        </w:rPr>
        <w:t>否定性边界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不是</w:t>
      </w:r>
      <w:r>
        <w:rPr>
          <w:rFonts w:ascii="Times New Roman" w:hAnsi="Times New Roman" w:eastAsia="宋体"/>
          <w:b/>
          <w:sz w:val="22"/>
        </w:rPr>
        <w:t>庇护—依附关系</w:t>
      </w:r>
      <w:r>
        <w:rPr>
          <w:rFonts w:ascii="Times New Roman" w:hAnsi="Times New Roman" w:eastAsia="宋体"/>
          <w:b w:val="0"/>
          <w:sz w:val="22"/>
        </w:rPr>
        <w:t>：关系型多边主义要求成员享有退出权与发言权；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不是</w:t>
      </w:r>
      <w:r>
        <w:rPr>
          <w:rFonts w:ascii="Times New Roman" w:hAnsi="Times New Roman" w:eastAsia="宋体"/>
          <w:b/>
          <w:sz w:val="22"/>
        </w:rPr>
        <w:t>双边关系的简单加总</w:t>
      </w:r>
      <w:r>
        <w:rPr>
          <w:rFonts w:ascii="Times New Roman" w:hAnsi="Times New Roman" w:eastAsia="宋体"/>
          <w:b w:val="0"/>
          <w:sz w:val="22"/>
        </w:rPr>
        <w:t>：必须有多边的论坛与共同议程；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不是</w:t>
      </w:r>
      <w:r>
        <w:rPr>
          <w:rFonts w:ascii="Times New Roman" w:hAnsi="Times New Roman" w:eastAsia="宋体"/>
          <w:b/>
          <w:sz w:val="22"/>
        </w:rPr>
        <w:t>等级制</w:t>
      </w:r>
      <w:r>
        <w:rPr>
          <w:rFonts w:ascii="Times New Roman" w:hAnsi="Times New Roman" w:eastAsia="宋体"/>
          <w:b w:val="0"/>
          <w:sz w:val="22"/>
        </w:rPr>
        <w:t>（Lake意义上的支配关系）：关系的维持依靠互惠而非强制。</w:t>
      </w:r>
    </w:p>
    <w:p>
      <w:pPr>
        <w:ind w:firstLine="440"/>
      </w:pPr>
      <w:r>
        <w:rPr>
          <w:rFonts w:ascii="Times New Roman" w:hAnsi="Times New Roman" w:eastAsia="宋体"/>
          <w:b/>
          <w:sz w:val="22"/>
        </w:rPr>
        <w:t>核心张力（务必写进论文）</w:t>
      </w:r>
      <w:r>
        <w:rPr>
          <w:rFonts w:ascii="Times New Roman" w:hAnsi="Times New Roman" w:eastAsia="宋体"/>
          <w:b w:val="0"/>
          <w:sz w:val="22"/>
        </w:rPr>
        <w:t>：多边主义的本义包含非歧视，而关系天然具有差序性。关系型多边主义的理论难点，正是解释</w:t>
      </w:r>
      <w:r>
        <w:rPr>
          <w:rFonts w:ascii="Times New Roman" w:hAnsi="Times New Roman" w:eastAsia="宋体"/>
          <w:b/>
          <w:sz w:val="22"/>
        </w:rPr>
        <w:t>差序关系如何与多边包容共存</w:t>
      </w:r>
      <w:r>
        <w:rPr>
          <w:rFonts w:ascii="Times New Roman" w:hAnsi="Times New Roman" w:eastAsia="宋体"/>
          <w:b w:val="0"/>
          <w:sz w:val="22"/>
        </w:rPr>
        <w:t>。处理好这一点，论文就有理论深度；回避它，就会被批评为“把双边关系包装成多边主义”。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2.4 机制与命题</w:t>
      </w:r>
    </w:p>
    <w:p>
      <w:pPr>
        <w:ind w:firstLine="440"/>
      </w:pPr>
      <w:r>
        <w:rPr>
          <w:rFonts w:ascii="Times New Roman" w:hAnsi="Times New Roman" w:eastAsia="宋体"/>
          <w:b/>
          <w:sz w:val="22"/>
        </w:rPr>
        <w:t>核心理论问题</w:t>
      </w:r>
      <w:r>
        <w:rPr>
          <w:rFonts w:ascii="Times New Roman" w:hAnsi="Times New Roman" w:eastAsia="宋体"/>
          <w:b w:val="0"/>
          <w:sz w:val="22"/>
        </w:rPr>
        <w:t>（借自Poppo与Zenger）：在多边合作中，关系密度与法律化程度是</w:t>
      </w:r>
      <w:r>
        <w:rPr>
          <w:rFonts w:ascii="Times New Roman" w:hAnsi="Times New Roman" w:eastAsia="宋体"/>
          <w:b/>
          <w:sz w:val="22"/>
        </w:rPr>
        <w:t>替代</w:t>
      </w:r>
      <w:r>
        <w:rPr>
          <w:rFonts w:ascii="Times New Roman" w:hAnsi="Times New Roman" w:eastAsia="宋体"/>
          <w:b w:val="0"/>
          <w:sz w:val="22"/>
        </w:rPr>
        <w:t>还是</w:t>
      </w:r>
      <w:r>
        <w:rPr>
          <w:rFonts w:ascii="Times New Roman" w:hAnsi="Times New Roman" w:eastAsia="宋体"/>
          <w:b/>
          <w:sz w:val="22"/>
        </w:rPr>
        <w:t>互补</w:t>
      </w:r>
      <w:r>
        <w:rPr>
          <w:rFonts w:ascii="Times New Roman" w:hAnsi="Times New Roman" w:eastAsia="宋体"/>
          <w:b w:val="0"/>
          <w:sz w:val="22"/>
        </w:rPr>
        <w:t>？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P1（替代命题）</w:t>
      </w:r>
      <w:r>
        <w:rPr>
          <w:rFonts w:ascii="Times New Roman" w:hAnsi="Times New Roman" w:eastAsia="宋体"/>
          <w:b w:val="0"/>
          <w:sz w:val="22"/>
        </w:rPr>
        <w:t>：在法律化程度低的安排中，关系密度越高，合作的落实程度越高。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P2（互补命题）</w:t>
      </w:r>
      <w:r>
        <w:rPr>
          <w:rFonts w:ascii="Times New Roman" w:hAnsi="Times New Roman" w:eastAsia="宋体"/>
          <w:b w:val="0"/>
          <w:sz w:val="22"/>
        </w:rPr>
        <w:t>：在法律化程度高的安排中，关系密度同样提高合作水平，即关系与规则相互强化。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P3（异质性条件）</w:t>
      </w:r>
      <w:r>
        <w:rPr>
          <w:rFonts w:ascii="Times New Roman" w:hAnsi="Times New Roman" w:eastAsia="宋体"/>
          <w:b w:val="0"/>
          <w:sz w:val="22"/>
        </w:rPr>
        <w:t>：成员偏好异质性越高，关系型安排相对于规则型安排的优势越明显（与三元悖论的“普遍＋自主”角相对应）。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P4（脆弱性条件）</w:t>
      </w:r>
      <w:r>
        <w:rPr>
          <w:rFonts w:ascii="Times New Roman" w:hAnsi="Times New Roman" w:eastAsia="宋体"/>
          <w:b w:val="0"/>
          <w:sz w:val="22"/>
        </w:rPr>
        <w:t>：关系型安排对关键关系的冲击（领导人更替、双边冲突）更敏感，合作水平波动更大。</w:t>
      </w:r>
    </w:p>
    <w:p>
      <w:pPr>
        <w:ind w:firstLine="440"/>
      </w:pPr>
      <w:r>
        <w:rPr>
          <w:rFonts w:ascii="Times New Roman" w:hAnsi="Times New Roman" w:eastAsia="宋体"/>
          <w:b/>
          <w:sz w:val="22"/>
        </w:rPr>
        <w:t>与三元悖论的联系</w:t>
      </w:r>
      <w:r>
        <w:rPr>
          <w:rFonts w:ascii="Times New Roman" w:hAnsi="Times New Roman" w:eastAsia="宋体"/>
          <w:b w:val="0"/>
          <w:sz w:val="22"/>
        </w:rPr>
        <w:t>：关系型多边主义是一种在“普遍＋自主”的角上，用关系部分替代法律深度的制度技术。它松动三元悖论，但代价是透明度与可预期性。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2.5 经验设计</w:t>
      </w:r>
    </w:p>
    <w:p>
      <w:pPr>
        <w:ind w:firstLine="440"/>
      </w:pPr>
      <w:r>
        <w:rPr>
          <w:rFonts w:ascii="Times New Roman" w:hAnsi="Times New Roman" w:eastAsia="宋体"/>
          <w:b/>
          <w:sz w:val="22"/>
        </w:rPr>
        <w:t>比较设计（推荐）</w:t>
      </w:r>
      <w:r>
        <w:rPr>
          <w:rFonts w:ascii="Times New Roman" w:hAnsi="Times New Roman" w:eastAsia="宋体"/>
          <w:b w:val="0"/>
          <w:sz w:val="22"/>
        </w:rPr>
        <w:t>：同一区域、功能相近、但制度形态不同的两组安排。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澜湄合作机制</w:t>
      </w:r>
      <w:r>
        <w:rPr>
          <w:rFonts w:ascii="Times New Roman" w:hAnsi="Times New Roman" w:eastAsia="宋体"/>
          <w:b w:val="0"/>
          <w:sz w:val="22"/>
        </w:rPr>
        <w:t>（关系型特征较强）与</w:t>
      </w:r>
      <w:r>
        <w:rPr>
          <w:rFonts w:ascii="Times New Roman" w:hAnsi="Times New Roman" w:eastAsia="宋体"/>
          <w:b/>
          <w:sz w:val="22"/>
        </w:rPr>
        <w:t>湄公河—美国伙伴关系</w:t>
      </w:r>
      <w:r>
        <w:rPr>
          <w:rFonts w:ascii="Times New Roman" w:hAnsi="Times New Roman" w:eastAsia="宋体"/>
          <w:b w:val="0"/>
          <w:sz w:val="22"/>
        </w:rPr>
        <w:t>或</w:t>
      </w:r>
      <w:r>
        <w:rPr>
          <w:rFonts w:ascii="Times New Roman" w:hAnsi="Times New Roman" w:eastAsia="宋体"/>
          <w:b/>
          <w:sz w:val="22"/>
        </w:rPr>
        <w:t>湄公河委员会</w:t>
      </w:r>
      <w:r>
        <w:rPr>
          <w:rFonts w:ascii="Times New Roman" w:hAnsi="Times New Roman" w:eastAsia="宋体"/>
          <w:b w:val="0"/>
          <w:sz w:val="22"/>
        </w:rPr>
        <w:t>（规则型特征较强）的比较；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或者</w:t>
      </w:r>
      <w:r>
        <w:rPr>
          <w:rFonts w:ascii="Times New Roman" w:hAnsi="Times New Roman" w:eastAsia="宋体"/>
          <w:b/>
          <w:sz w:val="22"/>
        </w:rPr>
        <w:t>中国—中亚机制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Times New Roman" w:hAnsi="Times New Roman" w:eastAsia="宋体"/>
          <w:b/>
          <w:sz w:val="22"/>
        </w:rPr>
        <w:t>中非合作论坛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Times New Roman" w:hAnsi="Times New Roman" w:eastAsia="宋体"/>
          <w:b/>
          <w:sz w:val="22"/>
        </w:rPr>
        <w:t>中拉论坛</w:t>
      </w:r>
      <w:r>
        <w:rPr>
          <w:rFonts w:ascii="Times New Roman" w:hAnsi="Times New Roman" w:eastAsia="宋体"/>
          <w:b w:val="0"/>
          <w:sz w:val="22"/>
        </w:rPr>
        <w:t>等以论坛加项目为主要形式的安排之间的比较。</w:t>
      </w:r>
    </w:p>
    <w:p>
      <w:pPr>
        <w:ind w:firstLine="440"/>
      </w:pPr>
      <w:r>
        <w:rPr>
          <w:rFonts w:ascii="Times New Roman" w:hAnsi="Times New Roman" w:eastAsia="宋体"/>
          <w:b/>
          <w:sz w:val="22"/>
        </w:rPr>
        <w:t>测量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关系密度</w:t>
      </w:r>
      <w:r>
        <w:rPr>
          <w:rFonts w:ascii="Times New Roman" w:hAnsi="Times New Roman" w:eastAsia="宋体"/>
          <w:b w:val="0"/>
          <w:sz w:val="22"/>
        </w:rPr>
        <w:t>：领导人与部长级互访频次、对话机制数量、伙伴关系层级（可参照关于中国伙伴关系外交的既有编码研究）、人员往来；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法律化程度</w:t>
      </w:r>
      <w:r>
        <w:rPr>
          <w:rFonts w:ascii="Times New Roman" w:hAnsi="Times New Roman" w:eastAsia="宋体"/>
          <w:b w:val="0"/>
          <w:sz w:val="22"/>
        </w:rPr>
        <w:t>：Abbott等（2000）的义务性、精确性、授权三维度；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合作落实</w:t>
      </w:r>
      <w:r>
        <w:rPr>
          <w:rFonts w:ascii="Times New Roman" w:hAnsi="Times New Roman" w:eastAsia="宋体"/>
          <w:b w:val="0"/>
          <w:sz w:val="22"/>
        </w:rPr>
        <w:t>：联合声明中承诺的落实率（可用文本分析从后续文件中追踪），项目完成率。</w:t>
      </w:r>
    </w:p>
    <w:p>
      <w:pPr>
        <w:ind w:firstLine="440"/>
      </w:pPr>
      <w:r>
        <w:rPr>
          <w:rFonts w:ascii="Times New Roman" w:hAnsi="Times New Roman" w:eastAsia="宋体"/>
          <w:b/>
          <w:sz w:val="22"/>
        </w:rPr>
        <w:t>方法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文本分析：编码联合声明中的承诺，并在后续文件中追踪落实情况（这一步可以用大语言模型辅助，按前面讨论的验证流程）；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面板回归：以关系密度与法律化程度的交互项检验P1—P2；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过程追踪：选择关系受冲击的时期（如某国领导人更替），检验P4。</w:t>
      </w:r>
    </w:p>
    <w:p>
      <w:pPr>
        <w:ind w:firstLine="440"/>
      </w:pPr>
      <w:r>
        <w:rPr>
          <w:rFonts w:ascii="Times New Roman" w:hAnsi="Times New Roman" w:eastAsia="宋体"/>
          <w:b/>
          <w:sz w:val="22"/>
        </w:rPr>
        <w:t>可复现部分</w:t>
      </w:r>
      <w:r>
        <w:rPr>
          <w:rFonts w:ascii="Times New Roman" w:hAnsi="Times New Roman" w:eastAsia="宋体"/>
          <w:b w:val="0"/>
          <w:sz w:val="22"/>
        </w:rPr>
        <w:t>：互访与对话机制数据集、承诺—落实数据集，均可公开。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2.6 自主知识的意涵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从本体论到制度理论</w:t>
      </w:r>
      <w:r>
        <w:rPr>
          <w:rFonts w:ascii="Times New Roman" w:hAnsi="Times New Roman" w:eastAsia="宋体"/>
          <w:b w:val="0"/>
          <w:sz w:val="22"/>
        </w:rPr>
        <w:t>：关系理论第一次被转化为可测量的制度变量和可证伪的命题。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与西方主流直接对话</w:t>
      </w:r>
      <w:r>
        <w:rPr>
          <w:rFonts w:ascii="Times New Roman" w:hAnsi="Times New Roman" w:eastAsia="宋体"/>
          <w:b w:val="0"/>
          <w:sz w:val="22"/>
        </w:rPr>
        <w:t>：通过Ruggie和Keohane的“扩散互惠”找到共同语言，表明关系性在西方多边主义理论中本来就存在，只是被置于从属位置。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跨学科支撑</w:t>
      </w:r>
      <w:r>
        <w:rPr>
          <w:rFonts w:ascii="Times New Roman" w:hAnsi="Times New Roman" w:eastAsia="宋体"/>
          <w:b w:val="0"/>
          <w:sz w:val="22"/>
        </w:rPr>
        <w:t>：组织经济学的“正式合同与关系治理”研究提供了成熟的方法与证据，避免被批评为“文化特殊论”。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不回避代价</w:t>
      </w:r>
      <w:r>
        <w:rPr>
          <w:rFonts w:ascii="Times New Roman" w:hAnsi="Times New Roman" w:eastAsia="宋体"/>
          <w:b w:val="0"/>
          <w:sz w:val="22"/>
        </w:rPr>
        <w:t>：P4与透明度问题恰恰显示这是学术研究而非政策辩护。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2.7 论文提纲</w:t>
      </w:r>
    </w:p>
    <w:p>
      <w:pPr>
        <w:ind w:firstLine="440"/>
      </w:pPr>
      <w:r>
        <w:rPr>
          <w:rFonts w:ascii="Times New Roman" w:hAnsi="Times New Roman" w:eastAsia="宋体"/>
          <w:b/>
          <w:sz w:val="22"/>
        </w:rPr>
        <w:t>中文理论文章（推荐先发）</w:t>
      </w:r>
      <w:r>
        <w:rPr>
          <w:rFonts w:ascii="Times New Roman" w:hAnsi="Times New Roman" w:eastAsia="宋体"/>
          <w:b w:val="0"/>
          <w:sz w:val="22"/>
        </w:rPr>
        <w:t>，约2.5万字：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1. 问题的提出：多边主义的两种维持机制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2. 文献回顾：从Ruggie的多边主义到关系理论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3. 关系型多边主义：概念、维度与边界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4. 关系与规则：替代还是互补（理论命题）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5. 经验例证：澜湄合作与湄公河其他机制的比较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6. 结论：关系型多边主义的限度与意义</w:t>
      </w:r>
    </w:p>
    <w:p>
      <w:pPr>
        <w:ind w:firstLine="440"/>
      </w:pPr>
      <w:r>
        <w:rPr>
          <w:rFonts w:ascii="Times New Roman" w:hAnsi="Times New Roman" w:eastAsia="宋体"/>
          <w:b/>
          <w:sz w:val="22"/>
        </w:rPr>
        <w:t>英文实证文章（随后）</w:t>
      </w:r>
      <w:r>
        <w:rPr>
          <w:rFonts w:ascii="Times New Roman" w:hAnsi="Times New Roman" w:eastAsia="宋体"/>
          <w:b w:val="0"/>
          <w:sz w:val="22"/>
        </w:rPr>
        <w:t>，约1万词，以P1—P4的系统检验为主体。</w:t>
      </w:r>
    </w:p>
    <w:p>
      <w:pPr>
        <w:ind w:firstLine="440"/>
      </w:pPr>
      <w:r>
        <w:rPr>
          <w:rFonts w:ascii="Times New Roman" w:hAnsi="Times New Roman" w:eastAsia="宋体"/>
          <w:b/>
          <w:sz w:val="22"/>
        </w:rPr>
        <w:t>目标期刊</w:t>
      </w:r>
      <w:r>
        <w:rPr>
          <w:rFonts w:ascii="Times New Roman" w:hAnsi="Times New Roman" w:eastAsia="宋体"/>
          <w:b w:val="0"/>
          <w:sz w:val="22"/>
        </w:rPr>
        <w:t>：中文——《世界经济与政治》《中国社会科学》；英文——*Chinese Journal of International Politics*、*International Studies Quarterly*、*Global Studies Quarterly*、*European Journal of International Relations*。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2.8 引言草稿（五段式）</w:t>
      </w:r>
    </w:p>
    <w:p>
      <w:pPr>
        <w:ind w:left="454"/>
      </w:pPr>
      <w:r>
        <w:rPr>
          <w:rFonts w:ascii="Times New Roman" w:hAnsi="Times New Roman" w:eastAsia="楷体"/>
          <w:b/>
          <w:color w:val="404040"/>
          <w:sz w:val="21"/>
        </w:rPr>
        <w:t>第一段（困惑）</w:t>
      </w:r>
      <w:r>
        <w:rPr>
          <w:rFonts w:ascii="Times New Roman" w:hAnsi="Times New Roman" w:eastAsia="楷体"/>
          <w:b w:val="0"/>
          <w:color w:val="404040"/>
          <w:sz w:val="21"/>
        </w:rPr>
        <w:t>：按照主流理论，多边合作需要精确的规则、监督与执行机制。然而在东南亚、中亚和非洲，大量多边安排法律化程度很低，却维持了多年的合作并推动了大量项目落地。没有强制执行，这些合作靠什么维持？</w:t>
      </w:r>
    </w:p>
    <w:p>
      <w:pPr>
        <w:ind w:left="454"/>
      </w:pPr>
      <w:r>
        <w:rPr>
          <w:rFonts w:ascii="Times New Roman" w:hAnsi="Times New Roman" w:eastAsia="楷体"/>
          <w:b/>
          <w:color w:val="404040"/>
          <w:sz w:val="21"/>
        </w:rPr>
        <w:t>第二段（现有认识）</w:t>
      </w:r>
      <w:r>
        <w:rPr>
          <w:rFonts w:ascii="Times New Roman" w:hAnsi="Times New Roman" w:eastAsia="楷体"/>
          <w:b w:val="0"/>
          <w:color w:val="404040"/>
          <w:sz w:val="21"/>
        </w:rPr>
        <w:t>：现有解释主要有两类：一是把这类安排视为“软法”或“非正式制度”，认为其效果有限；二是从区域文化（如“东盟方式”）解释其特殊性。</w:t>
      </w:r>
    </w:p>
    <w:p>
      <w:pPr>
        <w:ind w:left="454"/>
      </w:pPr>
      <w:r>
        <w:rPr>
          <w:rFonts w:ascii="Times New Roman" w:hAnsi="Times New Roman" w:eastAsia="楷体"/>
          <w:b/>
          <w:color w:val="404040"/>
          <w:sz w:val="21"/>
        </w:rPr>
        <w:t>第三段（不足）</w:t>
      </w:r>
      <w:r>
        <w:rPr>
          <w:rFonts w:ascii="Times New Roman" w:hAnsi="Times New Roman" w:eastAsia="楷体"/>
          <w:b w:val="0"/>
          <w:color w:val="404040"/>
          <w:sz w:val="21"/>
        </w:rPr>
        <w:t>：前者低估了这些安排的实际效果，后者则把它们视为地区特例，难以推广。更重要的是，二者都没有回答：关系与规则之间究竟是替代关系还是互补关系？</w:t>
      </w:r>
    </w:p>
    <w:p>
      <w:pPr>
        <w:ind w:left="454"/>
      </w:pPr>
      <w:r>
        <w:rPr>
          <w:rFonts w:ascii="Times New Roman" w:hAnsi="Times New Roman" w:eastAsia="楷体"/>
          <w:b/>
          <w:color w:val="404040"/>
          <w:sz w:val="21"/>
        </w:rPr>
        <w:t>第四段（本文论点）</w:t>
      </w:r>
      <w:r>
        <w:rPr>
          <w:rFonts w:ascii="Times New Roman" w:hAnsi="Times New Roman" w:eastAsia="楷体"/>
          <w:b w:val="0"/>
          <w:color w:val="404040"/>
          <w:sz w:val="21"/>
        </w:rPr>
        <w:t>：本文提出“关系型多边主义”的概念，指一种主要依靠成员间长期关系网络维持合作的多边主义形态。本文认为，在成员偏好异质性高、法律化程度低的条件下，关系密度可以部分替代法律深度，但其代价是对关键关系冲击更为敏感。</w:t>
      </w:r>
    </w:p>
    <w:p>
      <w:pPr>
        <w:ind w:left="454"/>
      </w:pPr>
      <w:r>
        <w:rPr>
          <w:rFonts w:ascii="Times New Roman" w:hAnsi="Times New Roman" w:eastAsia="楷体"/>
          <w:b/>
          <w:color w:val="404040"/>
          <w:sz w:val="21"/>
        </w:rPr>
        <w:t>第五段（贡献）</w:t>
      </w:r>
      <w:r>
        <w:rPr>
          <w:rFonts w:ascii="Times New Roman" w:hAnsi="Times New Roman" w:eastAsia="楷体"/>
          <w:b w:val="0"/>
          <w:color w:val="404040"/>
          <w:sz w:val="21"/>
        </w:rPr>
        <w:t>：本文在理论上把关系理论转化为可检验的制度理论，并与Ruggie和Keohane的多边主义理论建立对话；在经验上提供澜湄合作等案例的系统证据；在知识建构上，展示中国学术概念如何在国际学术语境中接受检验。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2.9 审稿人可能的质疑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质疑</w:t>
            </w:r>
          </w:p>
        </w:tc>
        <w:tc>
          <w:tcPr>
            <w:tcW w:type="dxa" w:w="4873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回应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“这只是双边关系的集合”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用否定性边界回应：要求多边论坛与共同议程；测量多边层面的合作而非双边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“这是庇护关系或等级制的美化”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检验成员的退出与发言（如成员拒绝或修改议程的案例），并正面讨论差序结构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“关系是不可测量的文化概念”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提供互访、对话机制、伙伴关系层级等具体测量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“因果方向：是合作导致关系密切，还是相反？”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利用外生的关系冲击（领导人更替、突发外交事件）做识别</w:t>
            </w:r>
          </w:p>
        </w:tc>
      </w:tr>
    </w:tbl>
    <w:p/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2.10 必读文献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Ruggie（1992）；Keohane（1986）；Pouliot（2011）；秦亚青《世界政治的关系理论》（2018）；Shih与Kuo（2024）；Christina Davis（2025）；Poppo与Zenger（2002）；Granovetter（1985）；Acharya关于东盟方式与规范本土化的研究；Hafner-Burton、Kahler与Montgomery（2009）；费孝通《乡土中国》中关于“差序格局”的论述。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---</w:t>
      </w:r>
    </w:p>
    <w:p>
      <w:pPr>
        <w:jc w:val="center"/>
      </w:pPr>
      <w:r>
        <w:rPr>
          <w:rFonts w:ascii="Times New Roman" w:hAnsi="Times New Roman" w:eastAsia="黑体"/>
          <w:b/>
          <w:sz w:val="36"/>
        </w:rPr>
        <w:t>论文三 互联互通治理（Connectivity Governance）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3.1 查新与定位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Forough与Fünfgeld（2025，RIPE）</w:t>
      </w:r>
      <w:r>
        <w:rPr>
          <w:rFonts w:ascii="Times New Roman" w:hAnsi="Times New Roman" w:eastAsia="宋体"/>
          <w:b w:val="0"/>
          <w:sz w:val="22"/>
        </w:rPr>
        <w:t>认为“互联互通”是一个</w:t>
      </w:r>
      <w:r>
        <w:rPr>
          <w:rFonts w:ascii="Times New Roman" w:hAnsi="Times New Roman" w:eastAsia="宋体"/>
          <w:b/>
          <w:sz w:val="22"/>
        </w:rPr>
        <w:t>空洞能指</w:t>
      </w:r>
      <w:r>
        <w:rPr>
          <w:rFonts w:ascii="Times New Roman" w:hAnsi="Times New Roman" w:eastAsia="宋体"/>
          <w:b w:val="0"/>
          <w:sz w:val="22"/>
        </w:rPr>
        <w:t>：各方都在使用，却赋予它不同内容，基础设施由此重塑世界秩序。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政策话语中有“五通”（政策沟通、设施联通、贸易畅通、资金融通、民心相通）、“硬联通、软联通、心联通”，以及《东盟互联互通总体规划》等。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学术上相近的有：Khanna《联结》（2016）、Leonard《不和平的时代：联通如何引发冲突》（2021）、Farrell与Newman（2019）的相互依赖武器化。</w:t>
      </w:r>
    </w:p>
    <w:p>
      <w:pPr>
        <w:ind w:firstLine="440"/>
      </w:pPr>
      <w:r>
        <w:rPr>
          <w:rFonts w:ascii="Times New Roman" w:hAnsi="Times New Roman" w:eastAsia="宋体"/>
          <w:b/>
          <w:sz w:val="22"/>
        </w:rPr>
        <w:t>定位</w:t>
      </w:r>
      <w:r>
        <w:rPr>
          <w:rFonts w:ascii="Times New Roman" w:hAnsi="Times New Roman" w:eastAsia="宋体"/>
          <w:b w:val="0"/>
          <w:sz w:val="22"/>
        </w:rPr>
        <w:t>：本文的任务是</w:t>
      </w:r>
      <w:r>
        <w:rPr>
          <w:rFonts w:ascii="Times New Roman" w:hAnsi="Times New Roman" w:eastAsia="宋体"/>
          <w:b/>
          <w:sz w:val="22"/>
        </w:rPr>
        <w:t>接受“空洞能指”的批评</w:t>
      </w:r>
      <w:r>
        <w:rPr>
          <w:rFonts w:ascii="Times New Roman" w:hAnsi="Times New Roman" w:eastAsia="宋体"/>
          <w:b w:val="0"/>
          <w:sz w:val="22"/>
        </w:rPr>
        <w:t>，并回答：能否把互联互通从修辞转化为分析概念？答案是：可以，前提是区分联通的类型、次序与结构，并提出可检验的效应命题。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3.2 理论渊源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渊源</w:t>
            </w:r>
          </w:p>
        </w:tc>
        <w:tc>
          <w:tcPr>
            <w:tcW w:type="dxa" w:w="32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核心思想</w:t>
            </w:r>
          </w:p>
        </w:tc>
        <w:tc>
          <w:tcPr>
            <w:tcW w:type="dxa" w:w="32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为本概念提供什么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Deutsch等（1957）交往共同体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交易、通讯与人员往来的密度，促成“我们感”与安全共同体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联通降低偏好差异</w:t>
            </w:r>
            <w:r>
              <w:rPr>
                <w:rFonts w:ascii="Times New Roman" w:hAnsi="Times New Roman" w:eastAsia="宋体"/>
                <w:b w:val="0"/>
                <w:sz w:val="19"/>
              </w:rPr>
              <w:t>的理论根基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Haas（1958）新功能主义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部门一体化通过“外溢”推动更广泛的一体化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联通的动态扩展机制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Mann（1984）基础性权力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国家通过基础设施渗透社会、实施决策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联通作为治理能力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Keohane与Nye复合相互依赖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多重渠道的联系改变权力运作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联通与权力的关系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Farrell与Newman（2019）相互依赖武器化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网络中心节点可以把联通变成控制工具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联通制造脆弱性</w:t>
            </w:r>
            <w:r>
              <w:rPr>
                <w:rFonts w:ascii="Times New Roman" w:hAnsi="Times New Roman" w:eastAsia="宋体"/>
                <w:b w:val="0"/>
                <w:sz w:val="19"/>
              </w:rPr>
              <w:t>的一面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Leonard（2021）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联通本身会引发冲突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对联通乐观论的反驳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基础设施研究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基础设施的政治性（人类学与地理学的基础设施转向）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联通的物质与社会维度</w:t>
            </w:r>
          </w:p>
        </w:tc>
      </w:tr>
    </w:tbl>
    <w:p/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3.3 概念界定</w:t>
      </w:r>
    </w:p>
    <w:p>
      <w:pPr>
        <w:ind w:firstLine="440"/>
      </w:pPr>
      <w:r>
        <w:rPr>
          <w:rFonts w:ascii="Times New Roman" w:hAnsi="Times New Roman" w:eastAsia="宋体"/>
          <w:b/>
          <w:sz w:val="22"/>
        </w:rPr>
        <w:t>定义</w:t>
      </w:r>
      <w:r>
        <w:rPr>
          <w:rFonts w:ascii="Times New Roman" w:hAnsi="Times New Roman" w:eastAsia="宋体"/>
          <w:b w:val="0"/>
          <w:sz w:val="22"/>
        </w:rPr>
        <w:t>：以基础设施、规则标准、资金与人员的跨境联通为</w:t>
      </w:r>
      <w:r>
        <w:rPr>
          <w:rFonts w:ascii="Times New Roman" w:hAnsi="Times New Roman" w:eastAsia="宋体"/>
          <w:b/>
          <w:sz w:val="22"/>
        </w:rPr>
        <w:t>对象与工具</w:t>
      </w:r>
      <w:r>
        <w:rPr>
          <w:rFonts w:ascii="Times New Roman" w:hAnsi="Times New Roman" w:eastAsia="宋体"/>
          <w:b w:val="0"/>
          <w:sz w:val="22"/>
        </w:rPr>
        <w:t>，通过协调这些联通来组织区域与全球合作的治理方式。</w:t>
      </w:r>
    </w:p>
    <w:p>
      <w:pPr>
        <w:ind w:firstLine="440"/>
      </w:pPr>
      <w:r>
        <w:rPr>
          <w:rFonts w:ascii="Times New Roman" w:hAnsi="Times New Roman" w:eastAsia="宋体"/>
          <w:b/>
          <w:sz w:val="22"/>
        </w:rPr>
        <w:t>三个维度（把官方话语转化为分析维度）</w:t>
      </w:r>
      <w:r>
        <w:rPr>
          <w:rFonts w:ascii="Times New Roman" w:hAnsi="Times New Roman" w:eastAsia="宋体"/>
          <w:b w:val="0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2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32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测量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硬联通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交通、能源、数字基础设施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跨境基础设施存量与项目数据；物流时间与成本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软联通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规则、标准、通关与监管的对接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规则对接的层级（前文的七级谱系）；协定条款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心联通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教育、人员往来、相互认知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留学生与游客流动；民意调查中的相互好感</w:t>
            </w:r>
          </w:p>
        </w:tc>
      </w:tr>
    </w:tbl>
    <w:p/>
    <w:p>
      <w:pPr>
        <w:ind w:firstLine="440"/>
      </w:pPr>
      <w:r>
        <w:rPr>
          <w:rFonts w:ascii="Times New Roman" w:hAnsi="Times New Roman" w:eastAsia="宋体"/>
          <w:b/>
          <w:sz w:val="22"/>
        </w:rPr>
        <w:t>关键区分</w:t>
      </w:r>
      <w:r>
        <w:rPr>
          <w:rFonts w:ascii="Times New Roman" w:hAnsi="Times New Roman" w:eastAsia="宋体"/>
          <w:b w:val="0"/>
          <w:sz w:val="22"/>
        </w:rPr>
        <w:t>：联通的</w:t>
      </w:r>
      <w:r>
        <w:rPr>
          <w:rFonts w:ascii="Times New Roman" w:hAnsi="Times New Roman" w:eastAsia="宋体"/>
          <w:b/>
          <w:sz w:val="22"/>
        </w:rPr>
        <w:t>次序</w:t>
      </w:r>
      <w:r>
        <w:rPr>
          <w:rFonts w:ascii="Times New Roman" w:hAnsi="Times New Roman" w:eastAsia="宋体"/>
          <w:b w:val="0"/>
          <w:sz w:val="22"/>
        </w:rPr>
        <w:t>（先硬后软，还是先软后硬）与</w:t>
      </w:r>
      <w:r>
        <w:rPr>
          <w:rFonts w:ascii="Times New Roman" w:hAnsi="Times New Roman" w:eastAsia="宋体"/>
          <w:b/>
          <w:sz w:val="22"/>
        </w:rPr>
        <w:t>结构</w:t>
      </w:r>
      <w:r>
        <w:rPr>
          <w:rFonts w:ascii="Times New Roman" w:hAnsi="Times New Roman" w:eastAsia="宋体"/>
          <w:b w:val="0"/>
          <w:sz w:val="22"/>
        </w:rPr>
        <w:t>（星形结构以某一中心为枢纽，还是网状结构多中心互联）。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3.4 核心理论主张：联通的双重效应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联通同时产生两种相反的效应：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整合效应（Deutsch路径）</w:t>
      </w:r>
      <w:r>
        <w:rPr>
          <w:rFonts w:ascii="Times New Roman" w:hAnsi="Times New Roman" w:eastAsia="宋体"/>
          <w:b w:val="0"/>
          <w:sz w:val="22"/>
        </w:rPr>
        <w:t>：联通降低交易成本、增加相互依赖与相互理解，逐步降低成员之间的偏好差异，使更深的区域合作成为可能；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脆弱效应（Farrell与Newman路径）</w:t>
      </w:r>
      <w:r>
        <w:rPr>
          <w:rFonts w:ascii="Times New Roman" w:hAnsi="Times New Roman" w:eastAsia="宋体"/>
          <w:b w:val="0"/>
          <w:sz w:val="22"/>
        </w:rPr>
        <w:t>：联通形成的网络中心节点可以被用来施加压力，使联通成为脆弱性与控制的来源。</w:t>
      </w:r>
    </w:p>
    <w:p>
      <w:pPr>
        <w:ind w:firstLine="440"/>
      </w:pPr>
      <w:r>
        <w:rPr>
          <w:rFonts w:ascii="Times New Roman" w:hAnsi="Times New Roman" w:eastAsia="宋体"/>
          <w:b/>
          <w:sz w:val="22"/>
        </w:rPr>
        <w:t>本文的主张</w:t>
      </w:r>
      <w:r>
        <w:rPr>
          <w:rFonts w:ascii="Times New Roman" w:hAnsi="Times New Roman" w:eastAsia="宋体"/>
          <w:b w:val="0"/>
          <w:sz w:val="22"/>
        </w:rPr>
        <w:t>：哪一种效应占主导，取决于联通的次序与结构。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P1（次序）</w:t>
      </w:r>
      <w:r>
        <w:rPr>
          <w:rFonts w:ascii="Times New Roman" w:hAnsi="Times New Roman" w:eastAsia="宋体"/>
          <w:b w:val="0"/>
          <w:sz w:val="22"/>
        </w:rPr>
        <w:t>：只有硬联通而缺乏软联通时，收益集中于局部，并可能扩大内部不平等（JCE 2025关于泰老友谊大桥的研究发现，大桥扩大了正规与非正规工人的工资差距，效应限于百公里内）；软联通配套时，收益更广泛。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P2（结构）</w:t>
      </w:r>
      <w:r>
        <w:rPr>
          <w:rFonts w:ascii="Times New Roman" w:hAnsi="Times New Roman" w:eastAsia="宋体"/>
          <w:b w:val="0"/>
          <w:sz w:val="22"/>
        </w:rPr>
        <w:t>：星形结构（所有联通都经过一个中心）更容易产生脆弱效应；网状结构（多中心、可替代路径）更容易产生整合效应。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P3（内生异质性）</w:t>
      </w:r>
      <w:r>
        <w:rPr>
          <w:rFonts w:ascii="Times New Roman" w:hAnsi="Times New Roman" w:eastAsia="宋体"/>
          <w:b w:val="0"/>
          <w:sz w:val="22"/>
        </w:rPr>
        <w:t>：联通程度越高，后续区域机构的深化越容易。这是对三元悖论的动态推进：</w:t>
      </w:r>
      <w:r>
        <w:rPr>
          <w:rFonts w:ascii="Times New Roman" w:hAnsi="Times New Roman" w:eastAsia="宋体"/>
          <w:b/>
          <w:sz w:val="22"/>
        </w:rPr>
        <w:t>联通可以外移三元悖论的边界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P4（心联通的门槛作用）</w:t>
      </w:r>
      <w:r>
        <w:rPr>
          <w:rFonts w:ascii="Times New Roman" w:hAnsi="Times New Roman" w:eastAsia="宋体"/>
          <w:b w:val="0"/>
          <w:sz w:val="22"/>
        </w:rPr>
        <w:t>：心联通低于一定水平时，硬联通容易被政治化为“债务陷阱”等叙事，反而降低合作意愿。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3.5 经验设计</w:t>
      </w:r>
    </w:p>
    <w:p>
      <w:pPr>
        <w:ind w:firstLine="440"/>
      </w:pPr>
      <w:r>
        <w:rPr>
          <w:rFonts w:ascii="Times New Roman" w:hAnsi="Times New Roman" w:eastAsia="宋体"/>
          <w:b/>
          <w:sz w:val="22"/>
        </w:rPr>
        <w:t>区域锚点（推荐）</w:t>
      </w:r>
      <w:r>
        <w:rPr>
          <w:rFonts w:ascii="Times New Roman" w:hAnsi="Times New Roman" w:eastAsia="宋体"/>
          <w:b w:val="0"/>
          <w:sz w:val="22"/>
        </w:rPr>
        <w:t>：东盟与澜湄地区。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资料：《东盟互联互通总体规划》及其实施报告；中老铁路、泰老友谊大桥等项目；区域协定中的通关与标准条款。</w:t>
      </w:r>
    </w:p>
    <w:p>
      <w:pPr>
        <w:ind w:firstLine="440"/>
      </w:pPr>
      <w:r>
        <w:rPr>
          <w:rFonts w:ascii="Times New Roman" w:hAnsi="Times New Roman" w:eastAsia="宋体"/>
          <w:b/>
          <w:sz w:val="22"/>
        </w:rPr>
        <w:t>数据与方法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硬联通：地理信息数据（交通网络、电网、海底光缆）；AidData等的项目地理编码数据；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软联通：协定条款编码；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心联通：留学生、游客流动与民意调查（如东南亚国家的对华认知调查）；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效应：边境地区的经济活动（夜间灯光）、贸易流量、区域协定深度；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方法：项目开通的交错DID（P1）；网络中心性与脆弱性指标（P2）；区域层面的面板（P3）。</w:t>
      </w:r>
    </w:p>
    <w:p>
      <w:pPr>
        <w:ind w:firstLine="440"/>
      </w:pPr>
      <w:r>
        <w:rPr>
          <w:rFonts w:ascii="Times New Roman" w:hAnsi="Times New Roman" w:eastAsia="宋体"/>
          <w:b/>
          <w:sz w:val="22"/>
        </w:rPr>
        <w:t>可复现部分</w:t>
      </w:r>
      <w:r>
        <w:rPr>
          <w:rFonts w:ascii="Times New Roman" w:hAnsi="Times New Roman" w:eastAsia="宋体"/>
          <w:b w:val="0"/>
          <w:sz w:val="22"/>
        </w:rPr>
        <w:t>：项目开通的准实验分析与网络测量，均可公开数据与代码。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3.6 自主知识的意涵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回应批评</w:t>
      </w:r>
      <w:r>
        <w:rPr>
          <w:rFonts w:ascii="Times New Roman" w:hAnsi="Times New Roman" w:eastAsia="宋体"/>
          <w:b w:val="0"/>
          <w:sz w:val="22"/>
        </w:rPr>
        <w:t>：直接回应“空洞能指”论，把中国的政策话语转化为有维度、可测量、可证伪的分析框架；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理论贡献</w:t>
      </w:r>
      <w:r>
        <w:rPr>
          <w:rFonts w:ascii="Times New Roman" w:hAnsi="Times New Roman" w:eastAsia="宋体"/>
          <w:b w:val="0"/>
          <w:sz w:val="22"/>
        </w:rPr>
        <w:t>：把Deutsch与Farrell和Newman这两条通常分开的文献连接起来，提出“联通双重效应”的条件理论；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不回避代价</w:t>
      </w:r>
      <w:r>
        <w:rPr>
          <w:rFonts w:ascii="Times New Roman" w:hAnsi="Times New Roman" w:eastAsia="宋体"/>
          <w:b w:val="0"/>
          <w:sz w:val="22"/>
        </w:rPr>
        <w:t>：P1与P4明确讨论不平等与政治化风险。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3.7 论文提纲（约1万词）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1. 引言：互联互通是空洞能指吗？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2. 两种联通理论：整合与脆弱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3. 互联互通治理：概念、维度与条件理论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4. 研究设计：东盟与澜湄地区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5. 证据：次序与结构的效应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6. 结论</w:t>
      </w:r>
    </w:p>
    <w:p>
      <w:pPr>
        <w:ind w:firstLine="440"/>
      </w:pPr>
      <w:r>
        <w:rPr>
          <w:rFonts w:ascii="Times New Roman" w:hAnsi="Times New Roman" w:eastAsia="宋体"/>
          <w:b/>
          <w:sz w:val="22"/>
        </w:rPr>
        <w:t>目标期刊</w:t>
      </w:r>
      <w:r>
        <w:rPr>
          <w:rFonts w:ascii="Times New Roman" w:hAnsi="Times New Roman" w:eastAsia="宋体"/>
          <w:b w:val="0"/>
          <w:sz w:val="22"/>
        </w:rPr>
        <w:t>：英文——*Review of International Political Economy*（直接回应Forough与Fünfgeld）、*The Pacific Review*、*International Relations of the Asia-Pacific*、*Global Policy*；中文——《当代亚太》《世界经济与政治》。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3.8 引言草稿（五段式）</w:t>
      </w:r>
    </w:p>
    <w:p>
      <w:pPr>
        <w:ind w:left="454"/>
      </w:pPr>
      <w:r>
        <w:rPr>
          <w:rFonts w:ascii="Times New Roman" w:hAnsi="Times New Roman" w:eastAsia="楷体"/>
          <w:b/>
          <w:color w:val="404040"/>
          <w:sz w:val="21"/>
        </w:rPr>
        <w:t>第一段（困惑）</w:t>
      </w:r>
      <w:r>
        <w:rPr>
          <w:rFonts w:ascii="Times New Roman" w:hAnsi="Times New Roman" w:eastAsia="楷体"/>
          <w:b w:val="0"/>
          <w:color w:val="404040"/>
          <w:sz w:val="21"/>
        </w:rPr>
        <w:t>：“互联互通”已成为全球与区域治理中使用最广泛的词汇之一，从“一带一路”到《东盟互联互通总体规划》，再到欧盟的“全球门户”计划。然而有学者批评，这个词已经沦为可以装进任何内容的空洞能指。</w:t>
      </w:r>
    </w:p>
    <w:p>
      <w:pPr>
        <w:ind w:left="454"/>
      </w:pPr>
      <w:r>
        <w:rPr>
          <w:rFonts w:ascii="Times New Roman" w:hAnsi="Times New Roman" w:eastAsia="楷体"/>
          <w:b/>
          <w:color w:val="404040"/>
          <w:sz w:val="21"/>
        </w:rPr>
        <w:t>第二段（现有认识）</w:t>
      </w:r>
      <w:r>
        <w:rPr>
          <w:rFonts w:ascii="Times New Roman" w:hAnsi="Times New Roman" w:eastAsia="楷体"/>
          <w:b w:val="0"/>
          <w:color w:val="404040"/>
          <w:sz w:val="21"/>
        </w:rPr>
        <w:t>：关于联通的效应，学界有两种几乎相反的看法：一种认为联通促进相互依赖与共同体形成，另一种认为联通制造脆弱性，并可能被武器化。</w:t>
      </w:r>
    </w:p>
    <w:p>
      <w:pPr>
        <w:ind w:left="454"/>
      </w:pPr>
      <w:r>
        <w:rPr>
          <w:rFonts w:ascii="Times New Roman" w:hAnsi="Times New Roman" w:eastAsia="楷体"/>
          <w:b/>
          <w:color w:val="404040"/>
          <w:sz w:val="21"/>
        </w:rPr>
        <w:t>第三段（不足）</w:t>
      </w:r>
      <w:r>
        <w:rPr>
          <w:rFonts w:ascii="Times New Roman" w:hAnsi="Times New Roman" w:eastAsia="楷体"/>
          <w:b w:val="0"/>
          <w:color w:val="404040"/>
          <w:sz w:val="21"/>
        </w:rPr>
        <w:t>：两种看法各自都有证据，但都没有说明：在什么条件下，联通更可能带来整合，在什么条件下更可能带来脆弱？</w:t>
      </w:r>
    </w:p>
    <w:p>
      <w:pPr>
        <w:ind w:left="454"/>
      </w:pPr>
      <w:r>
        <w:rPr>
          <w:rFonts w:ascii="Times New Roman" w:hAnsi="Times New Roman" w:eastAsia="楷体"/>
          <w:b/>
          <w:color w:val="404040"/>
          <w:sz w:val="21"/>
        </w:rPr>
        <w:t>第四段（本文论点）</w:t>
      </w:r>
      <w:r>
        <w:rPr>
          <w:rFonts w:ascii="Times New Roman" w:hAnsi="Times New Roman" w:eastAsia="楷体"/>
          <w:b w:val="0"/>
          <w:color w:val="404040"/>
          <w:sz w:val="21"/>
        </w:rPr>
        <w:t>：本文提出“互联互通治理”的分析框架，区分硬联通、软联通与心联通，并认为联通的效应取决于其次序与结构。基于东盟与澜湄地区的证据，本文发现……（待数据结果）。</w:t>
      </w:r>
    </w:p>
    <w:p>
      <w:pPr>
        <w:ind w:left="454"/>
      </w:pPr>
      <w:r>
        <w:rPr>
          <w:rFonts w:ascii="Times New Roman" w:hAnsi="Times New Roman" w:eastAsia="楷体"/>
          <w:b/>
          <w:color w:val="404040"/>
          <w:sz w:val="21"/>
        </w:rPr>
        <w:t>第五段（贡献）</w:t>
      </w:r>
      <w:r>
        <w:rPr>
          <w:rFonts w:ascii="Times New Roman" w:hAnsi="Times New Roman" w:eastAsia="楷体"/>
          <w:b w:val="0"/>
          <w:color w:val="404040"/>
          <w:sz w:val="21"/>
        </w:rPr>
        <w:t>：本文把一个政策词汇转化为可检验的分析概念，连接了交往共同体理论与相互依赖武器化理论，并为评估区域互联互通政策提供了框架。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3.9 审稿人可能的质疑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质疑</w:t>
            </w:r>
          </w:p>
        </w:tc>
        <w:tc>
          <w:tcPr>
            <w:tcW w:type="dxa" w:w="4873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回应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“这只是给‘一带一路’贴学术标签”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研究对象包括东盟总体规划、欧盟全球门户等多种联通方案，比较而非辩护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“三个维度来自中国官方话语，不够学术”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说明三个维度可以分别对应基础设施、制度与社会认同三类既有文献，并给出独立测量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“因果识别困难”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项目开通时间作为准实验；同时承认结构性命题以描述与机制分析为主</w:t>
            </w:r>
          </w:p>
        </w:tc>
      </w:tr>
    </w:tbl>
    <w:p/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3.10 必读文献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Deutsch等（1957）；Haas（1958）；Mann（1984）；Keohane与Nye《权力与相互依赖》；Farrell与Newman（2019）；Leonard（2021）；Khanna（2016）；Forough与Fünfgeld（2025，RIPE）；JCE 2025关于泰老友谊大桥与中国援非基础设施就业效应的两篇。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---</w:t>
      </w:r>
    </w:p>
    <w:p>
      <w:pPr>
        <w:jc w:val="center"/>
      </w:pPr>
      <w:r>
        <w:rPr>
          <w:rFonts w:ascii="Times New Roman" w:hAnsi="Times New Roman" w:eastAsia="黑体"/>
          <w:b/>
          <w:sz w:val="36"/>
        </w:rPr>
        <w:t>三篇论文如何组合与推进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组合关系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论文一（互补性叠加）</w:t>
      </w:r>
      <w:r>
        <w:rPr>
          <w:rFonts w:ascii="Times New Roman" w:hAnsi="Times New Roman" w:eastAsia="宋体"/>
          <w:b w:val="0"/>
          <w:sz w:val="22"/>
        </w:rPr>
        <w:t>回答“新机构如何进入体系”；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论文二（关系型多边主义）</w:t>
      </w:r>
      <w:r>
        <w:rPr>
          <w:rFonts w:ascii="Times New Roman" w:hAnsi="Times New Roman" w:eastAsia="宋体"/>
          <w:b w:val="0"/>
          <w:sz w:val="22"/>
        </w:rPr>
        <w:t>回答“新安排靠什么维持”；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论文三（互联互通治理）</w:t>
      </w:r>
      <w:r>
        <w:rPr>
          <w:rFonts w:ascii="Times New Roman" w:hAnsi="Times New Roman" w:eastAsia="宋体"/>
          <w:b w:val="0"/>
          <w:sz w:val="22"/>
        </w:rPr>
        <w:t>回答“合作的基础条件如何被改变”。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三者都可以放在三元悖论框架下：叠加是在空出的角上新建机构，关系是用关系替代部分法律深度，联通是长期降低偏好差异、外移三元悖论的边界。三篇加上三元悖论理论章，本身就接近一本书的骨架。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推进顺序与时间（建议）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2436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论文一</w:t>
            </w:r>
          </w:p>
        </w:tc>
        <w:tc>
          <w:tcPr>
            <w:tcW w:type="dxa" w:w="2436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论文二</w:t>
            </w:r>
          </w:p>
        </w:tc>
        <w:tc>
          <w:tcPr>
            <w:tcW w:type="dxa" w:w="2436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论文三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第1—3个月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抓取亚投行项目与联合融资数据，完成描述分析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精读渊源文献，写概念章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收集东盟互联互通资料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第4—6个月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完成实证与过程追踪，形成初稿，投稿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中文理论文章初稿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搭建项目与地理数据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第7—12个月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修改与回复审稿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中文稿投稿；开始收集互访与承诺数据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完成准实验分析，形成初稿</w:t>
            </w:r>
          </w:p>
        </w:tc>
      </w:tr>
    </w:tbl>
    <w:p/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我可以接着做的事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 xml:space="preserve">1. </w:t>
      </w:r>
      <w:r>
        <w:rPr>
          <w:rFonts w:ascii="Times New Roman" w:hAnsi="Times New Roman" w:eastAsia="宋体"/>
          <w:b/>
          <w:sz w:val="22"/>
        </w:rPr>
        <w:t>论文一的数据</w:t>
      </w:r>
      <w:r>
        <w:rPr>
          <w:rFonts w:ascii="Times New Roman" w:hAnsi="Times New Roman" w:eastAsia="宋体"/>
          <w:b w:val="0"/>
          <w:sz w:val="22"/>
        </w:rPr>
        <w:t>：抓取亚投行公开项目清单，整理联合融资信息，做出第一批描述统计。这是最快能出结果的一步。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 xml:space="preserve">2. </w:t>
      </w:r>
      <w:r>
        <w:rPr>
          <w:rFonts w:ascii="Times New Roman" w:hAnsi="Times New Roman" w:eastAsia="宋体"/>
          <w:b/>
          <w:sz w:val="22"/>
        </w:rPr>
        <w:t>论文二的文献图谱</w:t>
      </w:r>
      <w:r>
        <w:rPr>
          <w:rFonts w:ascii="Times New Roman" w:hAnsi="Times New Roman" w:eastAsia="宋体"/>
          <w:b w:val="0"/>
          <w:sz w:val="22"/>
        </w:rPr>
        <w:t>：把关系理论、扩散互惠、关系契约三条脉络的核心文献整理成“论证图”，标出可以对话的具体论点。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 xml:space="preserve">3. </w:t>
      </w:r>
      <w:r>
        <w:rPr>
          <w:rFonts w:ascii="Times New Roman" w:hAnsi="Times New Roman" w:eastAsia="宋体"/>
          <w:b/>
          <w:sz w:val="22"/>
        </w:rPr>
        <w:t>论文三的资料</w:t>
      </w:r>
      <w:r>
        <w:rPr>
          <w:rFonts w:ascii="Times New Roman" w:hAnsi="Times New Roman" w:eastAsia="宋体"/>
          <w:b w:val="0"/>
          <w:sz w:val="22"/>
        </w:rPr>
        <w:t>：整理《东盟互联互通总体规划》及其实施报告的结构，编码其中的硬联通、软联通、心联通目标。</w:t>
      </w:r>
    </w:p>
    <w:p>
      <w:pPr>
        <w:ind w:left="454"/>
      </w:pPr>
      <w:r>
        <w:rPr>
          <w:rFonts w:ascii="Times New Roman" w:hAnsi="Times New Roman" w:eastAsia="楷体"/>
          <w:b w:val="0"/>
          <w:color w:val="404040"/>
          <w:sz w:val="21"/>
        </w:rPr>
        <w:t>提醒：文中关于具体机构做法的描述（如亚投行的联合融资模式、澜湄合作的制度特征）是研究假设而非结论，需要数据和文献核实；所有文献在引用前请核对原文。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