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6"/>
        </w:rPr>
        <w:t>从海外博士论文看全球与区域治理研究的前沿方向</w:t>
      </w:r>
    </w:p>
    <w:p>
      <w:pPr>
        <w:jc w:val="center"/>
      </w:pPr>
      <w:r>
        <w:rPr>
          <w:rFonts w:ascii="Times New Roman" w:hAnsi="Times New Roman" w:eastAsia="宋体"/>
          <w:b w:val="0"/>
          <w:color w:val="595959"/>
          <w:sz w:val="20"/>
        </w:rPr>
        <w:t>按聂辉华“看世界一流大学博士论文”的建议，结合区域国别学（全球与区域治理方向）的需要</w:t>
      </w:r>
    </w:p>
    <w:p>
      <w:pPr>
        <w:jc w:val="center"/>
      </w:pPr>
      <w:r>
        <w:rPr>
          <w:rFonts w:ascii="Times New Roman" w:hAnsi="Times New Roman" w:eastAsia="宋体"/>
          <w:b w:val="0"/>
          <w:color w:val="595959"/>
          <w:sz w:val="20"/>
        </w:rPr>
        <w:t>样本：2022—2026年海外名校博士论文679篇，核心精读88篇，另有奖项与顶级专题会议信号；配套《海外博士论文前沿附表_2022-2026.xlsx》</w:t>
      </w:r>
    </w:p>
    <w:p>
      <w:pPr>
        <w:spacing w:before="240"/>
      </w:pPr>
      <w:r>
        <w:rPr>
          <w:rFonts w:ascii="Times New Roman" w:hAnsi="Times New Roman" w:eastAsia="黑体"/>
          <w:b/>
          <w:color w:val="1F4E79"/>
          <w:sz w:val="30"/>
        </w:rPr>
        <w:t>一、为什么看博士论文，以及怎么看</w:t>
      </w:r>
    </w:p>
    <w:p>
      <w:pPr>
        <w:ind w:firstLine="440"/>
      </w:pPr>
      <w:r>
        <w:rPr>
          <w:rFonts w:ascii="Times New Roman" w:hAnsi="Times New Roman" w:eastAsia="宋体"/>
          <w:b w:val="0"/>
          <w:sz w:val="22"/>
        </w:rPr>
        <w:t>聂辉华建议从“世界一流大学的博士毕业论文和求职论文（Job Market Paper）”中找前沿选题。原因在于，期刊论文反映的是两三年前的研究，而博士论文和求职论文反映的是</w:t>
      </w:r>
      <w:r>
        <w:rPr>
          <w:rFonts w:ascii="Times New Roman" w:hAnsi="Times New Roman" w:eastAsia="宋体"/>
          <w:b/>
          <w:sz w:val="22"/>
        </w:rPr>
        <w:t>下一代学者认为最值得押注的问题</w:t>
      </w:r>
      <w:r>
        <w:rPr>
          <w:rFonts w:ascii="Times New Roman" w:hAnsi="Times New Roman" w:eastAsia="宋体"/>
          <w:b w:val="0"/>
          <w:sz w:val="22"/>
        </w:rPr>
        <w:t>。对区域国别学的博士生而言，这条建议有两个额外价值：</w:t>
      </w:r>
    </w:p>
    <w:p>
      <w:pPr>
        <w:pStyle w:val="ListBullet"/>
      </w:pPr>
      <w:r>
        <w:rPr>
          <w:rFonts w:ascii="Times New Roman" w:hAnsi="Times New Roman" w:eastAsia="宋体"/>
          <w:b w:val="0"/>
          <w:sz w:val="22"/>
        </w:rPr>
        <w:t>博士论文是“一本书的雏形”，能直接看到别人如何把一个问题组织成多章结构，这正是你需要的“专著意识”；</w:t>
      </w:r>
    </w:p>
    <w:p>
      <w:pPr>
        <w:pStyle w:val="ListBullet"/>
      </w:pPr>
      <w:r>
        <w:rPr>
          <w:rFonts w:ascii="Times New Roman" w:hAnsi="Times New Roman" w:eastAsia="宋体"/>
          <w:b w:val="0"/>
          <w:sz w:val="22"/>
        </w:rPr>
        <w:t>区域国别研究的海外博士论文往往有扎实的田野、档案与语言工作，可以帮你判断一个区域锚点“做深”到什么程度才算够。</w:t>
      </w:r>
    </w:p>
    <w:p>
      <w:pPr>
        <w:spacing w:before="120"/>
      </w:pPr>
      <w:r>
        <w:rPr>
          <w:rFonts w:ascii="Times New Roman" w:hAnsi="Times New Roman" w:eastAsia="黑体"/>
          <w:b/>
          <w:color w:val="2E5C8A"/>
          <w:sz w:val="25"/>
        </w:rPr>
        <w:t>1.1 样本与方法</w:t>
      </w:r>
    </w:p>
    <w:p>
      <w:pPr>
        <w:pStyle w:val="ListBullet"/>
      </w:pPr>
      <w:r>
        <w:rPr>
          <w:rFonts w:ascii="Times New Roman" w:hAnsi="Times New Roman" w:eastAsia="宋体"/>
          <w:b/>
          <w:sz w:val="22"/>
        </w:rPr>
        <w:t>机构知识库</w:t>
      </w:r>
      <w:r>
        <w:rPr>
          <w:rFonts w:ascii="Times New Roman" w:hAnsi="Times New Roman" w:eastAsia="宋体"/>
          <w:b w:val="0"/>
          <w:sz w:val="22"/>
        </w:rPr>
        <w:t>：通过OAI-PMH与DSpace接口抓取了以下院系2022—2026年的博士论文：哈佛（政府系、公共政策、政治经济学）、耶鲁（政治学、国际关系等学科）、MIT（政治学系，覆盖不全）、伦敦政治经济学院（LSE，政治学、国际关系、经济史等）、欧洲大学学院（EUI，政治与社会科学系）、剑桥（政治与国际研究系）。去重后共679篇。</w:t>
      </w:r>
    </w:p>
    <w:p>
      <w:pPr>
        <w:pStyle w:val="ListBullet"/>
      </w:pPr>
      <w:r>
        <w:rPr>
          <w:rFonts w:ascii="Times New Roman" w:hAnsi="Times New Roman" w:eastAsia="宋体"/>
          <w:b/>
          <w:sz w:val="22"/>
        </w:rPr>
        <w:t>关键词筛选与人工精读</w:t>
      </w:r>
      <w:r>
        <w:rPr>
          <w:rFonts w:ascii="Times New Roman" w:hAnsi="Times New Roman" w:eastAsia="宋体"/>
          <w:b w:val="0"/>
          <w:sz w:val="22"/>
        </w:rPr>
        <w:t>：用国际、全球、区域、贸易、援助、制裁、组织、发展、中国等关键词筛出585篇，再人工挑选与全球/区域治理、国际政治经济、区域国别研究最相关的88篇，逐篇阅读摘要，并编码主题、论点、方法与启发。</w:t>
      </w:r>
    </w:p>
    <w:p>
      <w:pPr>
        <w:pStyle w:val="ListBullet"/>
      </w:pPr>
      <w:r>
        <w:rPr>
          <w:rFonts w:ascii="Times New Roman" w:hAnsi="Times New Roman" w:eastAsia="宋体"/>
          <w:b/>
          <w:sz w:val="22"/>
        </w:rPr>
        <w:t>前沿信号补充</w:t>
      </w:r>
      <w:r>
        <w:rPr>
          <w:rFonts w:ascii="Times New Roman" w:hAnsi="Times New Roman" w:eastAsia="宋体"/>
          <w:b w:val="0"/>
          <w:sz w:val="22"/>
        </w:rPr>
        <w:t>：美国顶尖院系（普林斯顿、斯坦福、哥伦比亚、加州大学圣地亚哥等）的知识库无法直接抓取，因此补充了三类信号。一是APSA国际关系最佳博士论文奖（Merze Tate奖）历年得主；二是国际政治经济学会（IPES）最佳论文奖与数据集奖；三是2026年“国际组织政治经济学”（PEIO）会议与IPES 2025会议的论文清单。这两个会议是IPE和国际组织研究中青年学者，尤其是求职博士生，展示“下一篇论文”的主要场所。</w:t>
      </w:r>
    </w:p>
    <w:p>
      <w:pPr>
        <w:ind w:left="454"/>
      </w:pPr>
      <w:r>
        <w:rPr>
          <w:rFonts w:ascii="Times New Roman" w:hAnsi="Times New Roman" w:eastAsia="楷体"/>
          <w:b w:val="0"/>
          <w:color w:val="404040"/>
          <w:sz w:val="21"/>
        </w:rPr>
        <w:t>局限：样本偏重英欧（LSE与EUI合计约70%），美国样本以哈佛、耶鲁为主。英欧博士论文更偏定性、历史与批判取向，美国更偏因果推断，阅读结论时要考虑这一结构差异。</w:t>
      </w:r>
    </w:p>
    <w:p>
      <w:pPr>
        <w:spacing w:before="240"/>
      </w:pPr>
      <w:r>
        <w:rPr>
          <w:rFonts w:ascii="Times New Roman" w:hAnsi="Times New Roman" w:eastAsia="黑体"/>
          <w:b/>
          <w:color w:val="1F4E79"/>
          <w:sz w:val="30"/>
        </w:rPr>
        <w:t>二、总体判断：海外博士生在押注什么</w:t>
      </w:r>
    </w:p>
    <w:p>
      <w:pPr>
        <w:spacing w:before="120"/>
      </w:pPr>
      <w:r>
        <w:rPr>
          <w:rFonts w:ascii="Times New Roman" w:hAnsi="Times New Roman" w:eastAsia="黑体"/>
          <w:b/>
          <w:color w:val="2E5C8A"/>
          <w:sz w:val="25"/>
        </w:rPr>
        <w:t>判断1：从“秩序是否衰落”转向“秩序如何在微观上重组”</w:t>
      </w:r>
    </w:p>
    <w:p>
      <w:pPr>
        <w:ind w:firstLine="440"/>
      </w:pPr>
      <w:r>
        <w:rPr>
          <w:rFonts w:ascii="Times New Roman" w:hAnsi="Times New Roman" w:eastAsia="宋体"/>
          <w:b w:val="0"/>
          <w:sz w:val="22"/>
        </w:rPr>
        <w:t>宏大的“自由国际秩序终结”之争已经饱和。新一代博士论文关注的是秩序重组的</w:t>
      </w:r>
      <w:r>
        <w:rPr>
          <w:rFonts w:ascii="Times New Roman" w:hAnsi="Times New Roman" w:eastAsia="宋体"/>
          <w:b/>
          <w:sz w:val="22"/>
        </w:rPr>
        <w:t>具体机制</w:t>
      </w:r>
      <w:r>
        <w:rPr>
          <w:rFonts w:ascii="Times New Roman" w:hAnsi="Times New Roman" w:eastAsia="宋体"/>
          <w:b w:val="0"/>
          <w:sz w:val="22"/>
        </w:rPr>
        <w:t>：</w:t>
      </w:r>
    </w:p>
    <w:p>
      <w:pPr>
        <w:pStyle w:val="ListBullet"/>
      </w:pPr>
      <w:r>
        <w:rPr>
          <w:rFonts w:ascii="Times New Roman" w:hAnsi="Times New Roman" w:eastAsia="宋体"/>
          <w:b w:val="0"/>
          <w:sz w:val="22"/>
        </w:rPr>
        <w:t>无强制力的国际组织如何靠“监督设计”影响国家行为（哈佛2026《全球治理与劳工权利》）；</w:t>
      </w:r>
    </w:p>
    <w:p>
      <w:pPr>
        <w:pStyle w:val="ListBullet"/>
      </w:pPr>
      <w:r>
        <w:rPr>
          <w:rFonts w:ascii="Times New Roman" w:hAnsi="Times New Roman" w:eastAsia="宋体"/>
          <w:b w:val="0"/>
          <w:sz w:val="22"/>
        </w:rPr>
        <w:t>被制裁国家和企业如何适应（哈佛2025《应对武器化贸易》）；</w:t>
      </w:r>
    </w:p>
    <w:p>
      <w:pPr>
        <w:pStyle w:val="ListBullet"/>
      </w:pPr>
      <w:r>
        <w:rPr>
          <w:rFonts w:ascii="Times New Roman" w:hAnsi="Times New Roman" w:eastAsia="宋体"/>
          <w:b w:val="0"/>
          <w:sz w:val="22"/>
        </w:rPr>
        <w:t>区域秘书处官僚如何把联合国规范转化为区域制度（EUI 2025《区域组织中的儿童权利》）。</w:t>
      </w:r>
    </w:p>
    <w:p>
      <w:pPr>
        <w:ind w:firstLine="440"/>
      </w:pPr>
      <w:r>
        <w:rPr>
          <w:rFonts w:ascii="Times New Roman" w:hAnsi="Times New Roman" w:eastAsia="宋体"/>
          <w:b/>
          <w:sz w:val="22"/>
        </w:rPr>
        <w:t>问题越来越小，机制越来越清楚，证据越来越硬。</w:t>
      </w:r>
    </w:p>
    <w:p>
      <w:pPr>
        <w:spacing w:before="120"/>
      </w:pPr>
      <w:r>
        <w:rPr>
          <w:rFonts w:ascii="Times New Roman" w:hAnsi="Times New Roman" w:eastAsia="黑体"/>
          <w:b/>
          <w:color w:val="2E5C8A"/>
          <w:sz w:val="25"/>
        </w:rPr>
        <w:t>判断2：“能动性转向”（agency turn）成为主流写法</w:t>
      </w:r>
    </w:p>
    <w:p>
      <w:pPr>
        <w:ind w:firstLine="440"/>
      </w:pPr>
      <w:r>
        <w:rPr>
          <w:rFonts w:ascii="Times New Roman" w:hAnsi="Times New Roman" w:eastAsia="宋体"/>
          <w:b w:val="0"/>
          <w:sz w:val="22"/>
        </w:rPr>
        <w:t>无论研究中国在全球南方的存在，还是研究国际组织，主角都从大国和机构转向“被治理者”：</w:t>
      </w:r>
    </w:p>
    <w:p>
      <w:pPr>
        <w:pStyle w:val="ListBullet"/>
      </w:pPr>
      <w:r>
        <w:rPr>
          <w:rFonts w:ascii="Times New Roman" w:hAnsi="Times New Roman" w:eastAsia="宋体"/>
          <w:b w:val="0"/>
          <w:sz w:val="22"/>
        </w:rPr>
        <w:t>南美东道国如何主导中国支持的水电项目（LSE 2024）；</w:t>
      </w:r>
    </w:p>
    <w:p>
      <w:pPr>
        <w:pStyle w:val="ListBullet"/>
      </w:pPr>
      <w:r>
        <w:rPr>
          <w:rFonts w:ascii="Times New Roman" w:hAnsi="Times New Roman" w:eastAsia="宋体"/>
          <w:b w:val="0"/>
          <w:sz w:val="22"/>
        </w:rPr>
        <w:t>“弱国”如何在世界银行与WIPO推动传统知识保护，直至2024年WIPO条约（LSE 2025）；</w:t>
      </w:r>
    </w:p>
    <w:p>
      <w:pPr>
        <w:pStyle w:val="ListBullet"/>
      </w:pPr>
      <w:r>
        <w:rPr>
          <w:rFonts w:ascii="Times New Roman" w:hAnsi="Times New Roman" w:eastAsia="宋体"/>
          <w:b w:val="0"/>
          <w:sz w:val="22"/>
        </w:rPr>
        <w:t>东道国政府如何左右国际人道响应（LSE 2024）。</w:t>
      </w:r>
    </w:p>
    <w:p>
      <w:pPr>
        <w:ind w:firstLine="440"/>
      </w:pPr>
      <w:r>
        <w:rPr>
          <w:rFonts w:ascii="Times New Roman" w:hAnsi="Times New Roman" w:eastAsia="宋体"/>
          <w:b/>
          <w:sz w:val="22"/>
        </w:rPr>
        <w:t>对中国学者而言，这意味着只讲中国意图或中国方案的研究很难进入国际对话，必须同时呈现东道国和第三方的能动性。</w:t>
      </w:r>
    </w:p>
    <w:p>
      <w:pPr>
        <w:spacing w:before="120"/>
      </w:pPr>
      <w:r>
        <w:rPr>
          <w:rFonts w:ascii="Times New Roman" w:hAnsi="Times New Roman" w:eastAsia="黑体"/>
          <w:b/>
          <w:color w:val="2E5C8A"/>
          <w:sz w:val="25"/>
        </w:rPr>
        <w:t>判断3：中国从“话题”变成“标准研究对象”，写法全面升级</w:t>
      </w:r>
    </w:p>
    <w:p>
      <w:pPr>
        <w:ind w:firstLine="440"/>
      </w:pPr>
      <w:r>
        <w:rPr>
          <w:rFonts w:ascii="Times New Roman" w:hAnsi="Times New Roman" w:eastAsia="宋体"/>
          <w:b w:val="0"/>
          <w:sz w:val="22"/>
        </w:rPr>
        <w:t>88篇核心论文中，以中国为主要对象的有十余篇，覆盖的问题包括：</w:t>
      </w:r>
    </w:p>
    <w:p>
      <w:pPr>
        <w:pStyle w:val="ListBullet"/>
      </w:pPr>
      <w:r>
        <w:rPr>
          <w:rFonts w:ascii="Times New Roman" w:hAnsi="Times New Roman" w:eastAsia="宋体"/>
          <w:b w:val="0"/>
          <w:sz w:val="22"/>
        </w:rPr>
        <w:t>中国对外贷款为何出现、为何骤停（LSE 2023《国内经济失衡如何塑造对外经济政策》，耶鲁2022《中国对外贷款论文集》）；</w:t>
      </w:r>
    </w:p>
    <w:p>
      <w:pPr>
        <w:pStyle w:val="ListBullet"/>
      </w:pPr>
      <w:r>
        <w:rPr>
          <w:rFonts w:ascii="Times New Roman" w:hAnsi="Times New Roman" w:eastAsia="宋体"/>
          <w:b w:val="0"/>
          <w:sz w:val="22"/>
        </w:rPr>
        <w:t>技术换市场政策的行业差异（MIT 2023）；</w:t>
      </w:r>
    </w:p>
    <w:p>
      <w:pPr>
        <w:pStyle w:val="ListBullet"/>
      </w:pPr>
      <w:r>
        <w:rPr>
          <w:rFonts w:ascii="Times New Roman" w:hAnsi="Times New Roman" w:eastAsia="宋体"/>
          <w:b w:val="0"/>
          <w:sz w:val="22"/>
        </w:rPr>
        <w:t>军工国际化（LSE 2025）；</w:t>
      </w:r>
    </w:p>
    <w:p>
      <w:pPr>
        <w:pStyle w:val="ListBullet"/>
      </w:pPr>
      <w:r>
        <w:rPr>
          <w:rFonts w:ascii="Times New Roman" w:hAnsi="Times New Roman" w:eastAsia="宋体"/>
          <w:b w:val="0"/>
          <w:sz w:val="22"/>
        </w:rPr>
        <w:t>华为与中兴在北非的技术外溢与标准输出（LSE 2025）；</w:t>
      </w:r>
    </w:p>
    <w:p>
      <w:pPr>
        <w:pStyle w:val="ListBullet"/>
      </w:pPr>
      <w:r>
        <w:rPr>
          <w:rFonts w:ascii="Times New Roman" w:hAnsi="Times New Roman" w:eastAsia="宋体"/>
          <w:b w:val="0"/>
          <w:sz w:val="22"/>
        </w:rPr>
        <w:t>中国在非洲的农业投资（LSE 2023）；</w:t>
      </w:r>
    </w:p>
    <w:p>
      <w:pPr>
        <w:pStyle w:val="ListBullet"/>
      </w:pPr>
      <w:r>
        <w:rPr>
          <w:rFonts w:ascii="Times New Roman" w:hAnsi="Times New Roman" w:eastAsia="宋体"/>
          <w:b w:val="0"/>
          <w:sz w:val="22"/>
        </w:rPr>
        <w:t>开放如何强化而非削弱中国财政能力（耶鲁2025）；</w:t>
      </w:r>
    </w:p>
    <w:p>
      <w:pPr>
        <w:pStyle w:val="ListBullet"/>
      </w:pPr>
      <w:r>
        <w:rPr>
          <w:rFonts w:ascii="Times New Roman" w:hAnsi="Times New Roman" w:eastAsia="宋体"/>
          <w:b w:val="0"/>
          <w:sz w:val="22"/>
        </w:rPr>
        <w:t>中国对国际秩序态度的多受众地位逻辑（剑桥2025）。</w:t>
      </w:r>
    </w:p>
    <w:p>
      <w:pPr>
        <w:ind w:firstLine="440"/>
      </w:pPr>
      <w:r>
        <w:rPr>
          <w:rFonts w:ascii="Times New Roman" w:hAnsi="Times New Roman" w:eastAsia="宋体"/>
          <w:b w:val="0"/>
          <w:sz w:val="22"/>
        </w:rPr>
        <w:t>共同特点是：</w:t>
      </w:r>
      <w:r>
        <w:rPr>
          <w:rFonts w:ascii="Times New Roman" w:hAnsi="Times New Roman" w:eastAsia="宋体"/>
          <w:b/>
          <w:sz w:val="22"/>
        </w:rPr>
        <w:t>不把中国当作特殊个案，而是接入政治经济学的一般争论</w:t>
      </w:r>
      <w:r>
        <w:rPr>
          <w:rFonts w:ascii="Times New Roman" w:hAnsi="Times New Roman" w:eastAsia="宋体"/>
          <w:b w:val="0"/>
          <w:sz w:val="22"/>
        </w:rPr>
        <w:t>（耶鲁2022的论文明言要避免“把中国当作自成一类”），并且大量依赖原创数据与田野访谈。值得注意的是，LSE 2024有一篇民族志论文直接采用秦亚青的关系理论研究朱巴中国居民的安全实践。</w:t>
      </w:r>
      <w:r>
        <w:rPr>
          <w:rFonts w:ascii="Times New Roman" w:hAnsi="Times New Roman" w:eastAsia="宋体"/>
          <w:b/>
          <w:sz w:val="22"/>
        </w:rPr>
        <w:t>中国理论被海外博士论文“拿来用”，这本身就是自主知识体系“走出去”的信号。</w:t>
      </w:r>
    </w:p>
    <w:p>
      <w:pPr>
        <w:spacing w:before="120"/>
      </w:pPr>
      <w:r>
        <w:rPr>
          <w:rFonts w:ascii="Times New Roman" w:hAnsi="Times New Roman" w:eastAsia="黑体"/>
          <w:b/>
          <w:color w:val="2E5C8A"/>
          <w:sz w:val="25"/>
        </w:rPr>
        <w:t>判断4：地缘经济化是增长最快的议题</w:t>
      </w:r>
    </w:p>
    <w:p>
      <w:pPr>
        <w:ind w:firstLine="440"/>
      </w:pPr>
      <w:r>
        <w:rPr>
          <w:rFonts w:ascii="Times New Roman" w:hAnsi="Times New Roman" w:eastAsia="宋体"/>
          <w:b w:val="0"/>
          <w:sz w:val="22"/>
        </w:rPr>
        <w:t>制裁与反制裁、经济胁迫、出口管制、产业政策、出口信贷与战略投资，在英欧美三地的博士论文和PEIO、IPES会议中都高度集中。具体包括：</w:t>
      </w:r>
    </w:p>
    <w:p>
      <w:pPr>
        <w:pStyle w:val="ListBullet"/>
      </w:pPr>
      <w:r>
        <w:rPr>
          <w:rFonts w:ascii="Times New Roman" w:hAnsi="Times New Roman" w:eastAsia="宋体"/>
          <w:b w:val="0"/>
          <w:sz w:val="22"/>
        </w:rPr>
        <w:t>EUI 2025《我制裁故我在》：欧盟制裁谱系；</w:t>
      </w:r>
    </w:p>
    <w:p>
      <w:pPr>
        <w:pStyle w:val="ListBullet"/>
      </w:pPr>
      <w:r>
        <w:rPr>
          <w:rFonts w:ascii="Times New Roman" w:hAnsi="Times New Roman" w:eastAsia="宋体"/>
          <w:b w:val="0"/>
          <w:sz w:val="22"/>
        </w:rPr>
        <w:t>EUI 2025：欧盟出口融资的“地缘经济转向”；</w:t>
      </w:r>
    </w:p>
    <w:p>
      <w:pPr>
        <w:pStyle w:val="ListBullet"/>
      </w:pPr>
      <w:r>
        <w:rPr>
          <w:rFonts w:ascii="Times New Roman" w:hAnsi="Times New Roman" w:eastAsia="宋体"/>
          <w:b w:val="0"/>
          <w:sz w:val="22"/>
        </w:rPr>
        <w:t>哈佛2026：企业外国性与产业政策民意；</w:t>
      </w:r>
    </w:p>
    <w:p>
      <w:pPr>
        <w:pStyle w:val="ListBullet"/>
      </w:pPr>
      <w:r>
        <w:rPr>
          <w:rFonts w:ascii="Times New Roman" w:hAnsi="Times New Roman" w:eastAsia="宋体"/>
          <w:b w:val="0"/>
          <w:sz w:val="22"/>
        </w:rPr>
        <w:t>PEIO 2026：“制裁避风港”“去中心化经济方略”“国际组织如何为地缘经济冲突降级”；</w:t>
      </w:r>
    </w:p>
    <w:p>
      <w:pPr>
        <w:pStyle w:val="ListBullet"/>
      </w:pPr>
      <w:r>
        <w:rPr>
          <w:rFonts w:ascii="Times New Roman" w:hAnsi="Times New Roman" w:eastAsia="宋体"/>
          <w:b w:val="0"/>
          <w:sz w:val="22"/>
        </w:rPr>
        <w:t>IPES 2025最佳论文：产业政策作为衰退补偿。</w:t>
      </w:r>
    </w:p>
    <w:p>
      <w:pPr>
        <w:spacing w:before="120"/>
      </w:pPr>
      <w:r>
        <w:rPr>
          <w:rFonts w:ascii="Times New Roman" w:hAnsi="Times New Roman" w:eastAsia="黑体"/>
          <w:b/>
          <w:color w:val="2E5C8A"/>
          <w:sz w:val="25"/>
        </w:rPr>
        <w:t>判断5：“区域”被重新理论化，而不只是案例容器</w:t>
      </w:r>
    </w:p>
    <w:p>
      <w:pPr>
        <w:ind w:firstLine="440"/>
      </w:pPr>
      <w:r>
        <w:rPr>
          <w:rFonts w:ascii="Times New Roman" w:hAnsi="Times New Roman" w:eastAsia="宋体"/>
          <w:b w:val="0"/>
          <w:sz w:val="22"/>
        </w:rPr>
        <w:t>以下论文都把区域层当作有独立逻辑的分析对象：</w:t>
      </w:r>
    </w:p>
    <w:p>
      <w:pPr>
        <w:pStyle w:val="ListBullet"/>
      </w:pPr>
      <w:r>
        <w:rPr>
          <w:rFonts w:ascii="Times New Roman" w:hAnsi="Times New Roman" w:eastAsia="宋体"/>
          <w:b w:val="0"/>
          <w:sz w:val="22"/>
        </w:rPr>
        <w:t>剑桥2024《从非统到非盟：非洲区域政治中的领土性》提出大陆领土性与国家领土性“共构”；</w:t>
      </w:r>
    </w:p>
    <w:p>
      <w:pPr>
        <w:pStyle w:val="ListBullet"/>
      </w:pPr>
      <w:r>
        <w:rPr>
          <w:rFonts w:ascii="Times New Roman" w:hAnsi="Times New Roman" w:eastAsia="宋体"/>
          <w:b w:val="0"/>
          <w:sz w:val="22"/>
        </w:rPr>
        <w:t>剑桥2024《阿拉伯中东的区域建设》认为失败源于把“统一”误解为“同一”；</w:t>
      </w:r>
    </w:p>
    <w:p>
      <w:pPr>
        <w:pStyle w:val="ListBullet"/>
      </w:pPr>
      <w:r>
        <w:rPr>
          <w:rFonts w:ascii="Times New Roman" w:hAnsi="Times New Roman" w:eastAsia="宋体"/>
          <w:b w:val="0"/>
          <w:sz w:val="22"/>
        </w:rPr>
        <w:t>EUI 2025《重新嵌入欧洲》指出欧元区在新冠后成为国家福利的保护者；</w:t>
      </w:r>
    </w:p>
    <w:p>
      <w:pPr>
        <w:pStyle w:val="ListBullet"/>
      </w:pPr>
      <w:r>
        <w:rPr>
          <w:rFonts w:ascii="Times New Roman" w:hAnsi="Times New Roman" w:eastAsia="宋体"/>
          <w:b w:val="0"/>
          <w:sz w:val="22"/>
        </w:rPr>
        <w:t>耶鲁2024《大国、地区强国与冲突中的均势》提出体系层与区域层“双层权力分布”的一般理论。</w:t>
      </w:r>
    </w:p>
    <w:p>
      <w:pPr>
        <w:ind w:firstLine="440"/>
      </w:pPr>
      <w:r>
        <w:rPr>
          <w:rFonts w:ascii="Times New Roman" w:hAnsi="Times New Roman" w:eastAsia="宋体"/>
          <w:b/>
          <w:sz w:val="22"/>
        </w:rPr>
        <w:t>这正是区域国别学（全球与区域治理）可以发力的地方。</w:t>
      </w:r>
    </w:p>
    <w:p>
      <w:pPr>
        <w:spacing w:before="120"/>
      </w:pPr>
      <w:r>
        <w:rPr>
          <w:rFonts w:ascii="Times New Roman" w:hAnsi="Times New Roman" w:eastAsia="黑体"/>
          <w:b/>
          <w:color w:val="2E5C8A"/>
          <w:sz w:val="25"/>
        </w:rPr>
        <w:t>判断6：去殖民与全球南方思想史在英欧强势崛起</w:t>
      </w:r>
    </w:p>
    <w:p>
      <w:pPr>
        <w:ind w:firstLine="440"/>
      </w:pPr>
      <w:r>
        <w:rPr>
          <w:rFonts w:ascii="Times New Roman" w:hAnsi="Times New Roman" w:eastAsia="宋体"/>
          <w:b w:val="0"/>
          <w:sz w:val="22"/>
        </w:rPr>
        <w:t>例如：</w:t>
      </w:r>
    </w:p>
    <w:p>
      <w:pPr>
        <w:pStyle w:val="ListBullet"/>
      </w:pPr>
      <w:r>
        <w:rPr>
          <w:rFonts w:ascii="Times New Roman" w:hAnsi="Times New Roman" w:eastAsia="宋体"/>
          <w:b w:val="0"/>
          <w:sz w:val="22"/>
        </w:rPr>
        <w:t>万隆之后东南亚的后殖民社会主义（剑桥2026）；</w:t>
      </w:r>
    </w:p>
    <w:p>
      <w:pPr>
        <w:pStyle w:val="ListBullet"/>
      </w:pPr>
      <w:r>
        <w:rPr>
          <w:rFonts w:ascii="Times New Roman" w:hAnsi="Times New Roman" w:eastAsia="宋体"/>
          <w:b w:val="0"/>
          <w:sz w:val="22"/>
        </w:rPr>
        <w:t>东南亚后殖民国家的思想起源（哈佛2026）；</w:t>
      </w:r>
    </w:p>
    <w:p>
      <w:pPr>
        <w:pStyle w:val="ListBullet"/>
      </w:pPr>
      <w:r>
        <w:rPr>
          <w:rFonts w:ascii="Times New Roman" w:hAnsi="Times New Roman" w:eastAsia="宋体"/>
          <w:b w:val="0"/>
          <w:sz w:val="22"/>
        </w:rPr>
        <w:t>后殖民国家对国际社会基本制度的塑造（LSE 2026）；</w:t>
      </w:r>
    </w:p>
    <w:p>
      <w:pPr>
        <w:pStyle w:val="ListBullet"/>
      </w:pPr>
      <w:r>
        <w:rPr>
          <w:rFonts w:ascii="Times New Roman" w:hAnsi="Times New Roman" w:eastAsia="宋体"/>
          <w:b w:val="0"/>
          <w:sz w:val="22"/>
        </w:rPr>
        <w:t>巴基斯坦的世界塑造（LSE 2022）。</w:t>
      </w:r>
    </w:p>
    <w:p>
      <w:pPr>
        <w:ind w:firstLine="440"/>
      </w:pPr>
      <w:r>
        <w:rPr>
          <w:rFonts w:ascii="Times New Roman" w:hAnsi="Times New Roman" w:eastAsia="宋体"/>
          <w:b w:val="0"/>
          <w:sz w:val="22"/>
        </w:rPr>
        <w:t>这条线与“全球南方的发展与合作”“自主知识体系”天然相通。</w:t>
      </w:r>
    </w:p>
    <w:p>
      <w:pPr>
        <w:spacing w:before="120"/>
      </w:pPr>
      <w:r>
        <w:rPr>
          <w:rFonts w:ascii="Times New Roman" w:hAnsi="Times New Roman" w:eastAsia="黑体"/>
          <w:b/>
          <w:color w:val="2E5C8A"/>
          <w:sz w:val="25"/>
        </w:rPr>
        <w:t>判断7：新议题治理普遍以“制度复合体”方式呈现</w:t>
      </w:r>
    </w:p>
    <w:p>
      <w:pPr>
        <w:ind w:firstLine="440"/>
      </w:pPr>
      <w:r>
        <w:rPr>
          <w:rFonts w:ascii="Times New Roman" w:hAnsi="Times New Roman" w:eastAsia="宋体"/>
          <w:b w:val="0"/>
          <w:sz w:val="22"/>
        </w:rPr>
        <w:t>全球卫生安全与全民健康覆盖的整合（LSE 2025）、网络安全中的私人权威（LSE 2025）、KYC规则与数字身份（剑桥2024）、气候融资的国家转译（LSE 2025、2022）、跨境气候风险治理（LSE 2023），都是“多机制、多层级、公私混合”的治理问题。</w:t>
      </w:r>
    </w:p>
    <w:p>
      <w:pPr>
        <w:spacing w:before="240"/>
      </w:pPr>
      <w:r>
        <w:rPr>
          <w:rFonts w:ascii="Times New Roman" w:hAnsi="Times New Roman" w:eastAsia="黑体"/>
          <w:b/>
          <w:color w:val="1F4E79"/>
          <w:sz w:val="30"/>
        </w:rPr>
        <w:t>三、对应五个前沿方向：海外在做什么，空白在哪里</w:t>
      </w:r>
    </w:p>
    <w:p>
      <w:pPr>
        <w:ind w:firstLine="440"/>
      </w:pPr>
      <w:r>
        <w:rPr>
          <w:rFonts w:ascii="Times New Roman" w:hAnsi="Times New Roman" w:eastAsia="宋体"/>
          <w:b w:val="0"/>
          <w:sz w:val="22"/>
        </w:rPr>
        <w:t>下表把海外博士论文和会议论文对应到你笔记中列出的五个前沿方向，并补上“区域秩序”这一区域国别学特有的方向。</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fill="1F4E79"/>
          </w:tcPr>
          <w:p>
            <w:r/>
            <w:r>
              <w:rPr>
                <w:rFonts w:ascii="Times New Roman" w:hAnsi="Times New Roman" w:eastAsia="宋体"/>
                <w:b/>
                <w:color w:val="FFFFFF"/>
                <w:sz w:val="19"/>
              </w:rPr>
              <w:t>前沿方向</w:t>
            </w:r>
          </w:p>
        </w:tc>
        <w:tc>
          <w:tcPr>
            <w:tcW w:type="dxa" w:w="1949"/>
            <w:shd w:val="clear" w:fill="1F4E79"/>
          </w:tcPr>
          <w:p>
            <w:r/>
            <w:r>
              <w:rPr>
                <w:rFonts w:ascii="Times New Roman" w:hAnsi="Times New Roman" w:eastAsia="宋体"/>
                <w:b/>
                <w:color w:val="FFFFFF"/>
                <w:sz w:val="19"/>
              </w:rPr>
              <w:t>海外代表性博士论文/会议论文</w:t>
            </w:r>
          </w:p>
        </w:tc>
        <w:tc>
          <w:tcPr>
            <w:tcW w:type="dxa" w:w="1949"/>
            <w:shd w:val="clear" w:fill="1F4E79"/>
          </w:tcPr>
          <w:p>
            <w:r/>
            <w:r>
              <w:rPr>
                <w:rFonts w:ascii="Times New Roman" w:hAnsi="Times New Roman" w:eastAsia="宋体"/>
                <w:b/>
                <w:color w:val="FFFFFF"/>
                <w:sz w:val="19"/>
              </w:rPr>
              <w:t>典型问题句式</w:t>
            </w:r>
          </w:p>
        </w:tc>
        <w:tc>
          <w:tcPr>
            <w:tcW w:type="dxa" w:w="1949"/>
            <w:shd w:val="clear" w:fill="1F4E79"/>
          </w:tcPr>
          <w:p>
            <w:r/>
            <w:r>
              <w:rPr>
                <w:rFonts w:ascii="Times New Roman" w:hAnsi="Times New Roman" w:eastAsia="宋体"/>
                <w:b/>
                <w:color w:val="FFFFFF"/>
                <w:sz w:val="19"/>
              </w:rPr>
              <w:t>主流方法</w:t>
            </w:r>
          </w:p>
        </w:tc>
        <w:tc>
          <w:tcPr>
            <w:tcW w:type="dxa" w:w="1949"/>
            <w:shd w:val="clear" w:fill="1F4E79"/>
          </w:tcPr>
          <w:p>
            <w:r/>
            <w:r>
              <w:rPr>
                <w:rFonts w:ascii="Times New Roman" w:hAnsi="Times New Roman" w:eastAsia="宋体"/>
                <w:b/>
                <w:color w:val="FFFFFF"/>
                <w:sz w:val="19"/>
              </w:rPr>
              <w:t>仍然存在的空白（你的切入点）</w:t>
            </w:r>
          </w:p>
        </w:tc>
      </w:tr>
      <w:tr>
        <w:tc>
          <w:tcPr>
            <w:tcW w:type="dxa" w:w="1949"/>
          </w:tcPr>
          <w:p>
            <w:r/>
            <w:r>
              <w:rPr>
                <w:rFonts w:ascii="Times New Roman" w:hAnsi="Times New Roman" w:eastAsia="宋体"/>
                <w:b w:val="0"/>
                <w:sz w:val="19"/>
              </w:rPr>
              <w:t>1 治理碎片化与制度复合体</w:t>
            </w:r>
          </w:p>
        </w:tc>
        <w:tc>
          <w:tcPr>
            <w:tcW w:type="dxa" w:w="1949"/>
          </w:tcPr>
          <w:p>
            <w:r/>
            <w:r>
              <w:rPr>
                <w:rFonts w:ascii="Times New Roman" w:hAnsi="Times New Roman" w:eastAsia="宋体"/>
                <w:b w:val="0"/>
                <w:sz w:val="19"/>
              </w:rPr>
              <w:t>《全球治理与劳工权利》（哈佛2026）；《全球治理中的最优权威配置》（LSE 2024）；《政府为何承诺多边税收合作》（LSE 2024）；《混合规范与整合政治》（LSE 2025）；《机制复合体的分配后果：多边气候融资》（PEIO 2026）</w:t>
            </w:r>
          </w:p>
        </w:tc>
        <w:tc>
          <w:tcPr>
            <w:tcW w:type="dxa" w:w="1949"/>
          </w:tcPr>
          <w:p>
            <w:r/>
            <w:r>
              <w:rPr>
                <w:rFonts w:ascii="Times New Roman" w:hAnsi="Times New Roman" w:eastAsia="宋体"/>
                <w:b w:val="0"/>
                <w:sz w:val="19"/>
              </w:rPr>
              <w:t>重叠机制如何改变国家行为？谁从碎片化中获益？</w:t>
            </w:r>
          </w:p>
        </w:tc>
        <w:tc>
          <w:tcPr>
            <w:tcW w:type="dxa" w:w="1949"/>
          </w:tcPr>
          <w:p>
            <w:r/>
            <w:r>
              <w:rPr>
                <w:rFonts w:ascii="Times New Roman" w:hAnsi="Times New Roman" w:eastAsia="宋体"/>
                <w:b w:val="0"/>
                <w:sz w:val="19"/>
              </w:rPr>
              <w:t>面板+文本编码；比较案例；形式模型+机器学习</w:t>
            </w:r>
          </w:p>
        </w:tc>
        <w:tc>
          <w:tcPr>
            <w:tcW w:type="dxa" w:w="1949"/>
          </w:tcPr>
          <w:p>
            <w:r/>
            <w:r>
              <w:rPr>
                <w:rFonts w:ascii="Times New Roman" w:hAnsi="Times New Roman" w:eastAsia="宋体"/>
                <w:b w:val="0"/>
                <w:sz w:val="19"/>
              </w:rPr>
              <w:t>南方国家在复合体中的“论坛选择”，例如OECD还是联合国税收公约；区域机制与全球机制共同构成的复合体</w:t>
            </w:r>
          </w:p>
        </w:tc>
      </w:tr>
      <w:tr>
        <w:tc>
          <w:tcPr>
            <w:tcW w:type="dxa" w:w="1949"/>
          </w:tcPr>
          <w:p>
            <w:r/>
            <w:r>
              <w:rPr>
                <w:rFonts w:ascii="Times New Roman" w:hAnsi="Times New Roman" w:eastAsia="宋体"/>
                <w:b w:val="0"/>
                <w:sz w:val="19"/>
              </w:rPr>
              <w:t>2 相互依赖武器化与经济安全化</w:t>
            </w:r>
          </w:p>
        </w:tc>
        <w:tc>
          <w:tcPr>
            <w:tcW w:type="dxa" w:w="1949"/>
          </w:tcPr>
          <w:p>
            <w:r/>
            <w:r>
              <w:rPr>
                <w:rFonts w:ascii="Times New Roman" w:hAnsi="Times New Roman" w:eastAsia="宋体"/>
                <w:b w:val="0"/>
                <w:sz w:val="19"/>
              </w:rPr>
              <w:t>《应对武器化贸易》（哈佛2025）；《我制裁故我在》（EUI 2025）；《定向制裁与主权：津巴布韦》（剑桥2024）；《制裁避风港》《制裁、反制裁与权力》（PEIO 2026）</w:t>
            </w:r>
          </w:p>
        </w:tc>
        <w:tc>
          <w:tcPr>
            <w:tcW w:type="dxa" w:w="1949"/>
          </w:tcPr>
          <w:p>
            <w:r/>
            <w:r>
              <w:rPr>
                <w:rFonts w:ascii="Times New Roman" w:hAnsi="Times New Roman" w:eastAsia="宋体"/>
                <w:b w:val="0"/>
                <w:sz w:val="19"/>
              </w:rPr>
              <w:t>被胁迫的国家和企业如何适应？谁能为冲突降级？</w:t>
            </w:r>
          </w:p>
        </w:tc>
        <w:tc>
          <w:tcPr>
            <w:tcW w:type="dxa" w:w="1949"/>
          </w:tcPr>
          <w:p>
            <w:r/>
            <w:r>
              <w:rPr>
                <w:rFonts w:ascii="Times New Roman" w:hAnsi="Times New Roman" w:eastAsia="宋体"/>
                <w:b w:val="0"/>
                <w:sz w:val="19"/>
              </w:rPr>
              <w:t>企业层面面板、事件研究、谱系学</w:t>
            </w:r>
          </w:p>
        </w:tc>
        <w:tc>
          <w:tcPr>
            <w:tcW w:type="dxa" w:w="1949"/>
          </w:tcPr>
          <w:p>
            <w:r/>
            <w:r>
              <w:rPr>
                <w:rFonts w:ascii="Times New Roman" w:hAnsi="Times New Roman" w:eastAsia="宋体"/>
                <w:b/>
                <w:sz w:val="19"/>
              </w:rPr>
              <w:t>被限制方与第三国视角</w:t>
            </w:r>
            <w:r>
              <w:rPr>
                <w:rFonts w:ascii="Times New Roman" w:hAnsi="Times New Roman" w:eastAsia="宋体"/>
                <w:b w:val="0"/>
                <w:sz w:val="19"/>
              </w:rPr>
              <w:t>；区域组织与区域金融安排作为“缓冲器”的作用；中国反制工具的效果</w:t>
            </w:r>
          </w:p>
        </w:tc>
      </w:tr>
      <w:tr>
        <w:tc>
          <w:tcPr>
            <w:tcW w:type="dxa" w:w="1949"/>
          </w:tcPr>
          <w:p>
            <w:r/>
            <w:r>
              <w:rPr>
                <w:rFonts w:ascii="Times New Roman" w:hAnsi="Times New Roman" w:eastAsia="宋体"/>
                <w:b w:val="0"/>
                <w:sz w:val="19"/>
              </w:rPr>
              <w:t>3 产业政策回潮对多边规则的冲击</w:t>
            </w:r>
          </w:p>
        </w:tc>
        <w:tc>
          <w:tcPr>
            <w:tcW w:type="dxa" w:w="1949"/>
          </w:tcPr>
          <w:p>
            <w:r/>
            <w:r>
              <w:rPr>
                <w:rFonts w:ascii="Times New Roman" w:hAnsi="Times New Roman" w:eastAsia="宋体"/>
                <w:b w:val="0"/>
                <w:sz w:val="19"/>
              </w:rPr>
              <w:t>《再创新国家：中国技术转让政策》（MIT 2023）；《谁是“我们”？企业外国性与产业政策》（哈佛2026）；《市场塑造之后：欧盟产业政策》（EUI 2023）；《官僚与韩国出口奇迹》（LSE 2024）；《绿色产业政策与关键矿产投资的地缘政治》（PEIO 2026）</w:t>
            </w:r>
          </w:p>
        </w:tc>
        <w:tc>
          <w:tcPr>
            <w:tcW w:type="dxa" w:w="1949"/>
          </w:tcPr>
          <w:p>
            <w:r/>
            <w:r>
              <w:rPr>
                <w:rFonts w:ascii="Times New Roman" w:hAnsi="Times New Roman" w:eastAsia="宋体"/>
                <w:b w:val="0"/>
                <w:sz w:val="19"/>
              </w:rPr>
              <w:t>产业政策为何在此时此地回潮？其国际外部性如何被多边规则吸收或放大？</w:t>
            </w:r>
          </w:p>
        </w:tc>
        <w:tc>
          <w:tcPr>
            <w:tcW w:type="dxa" w:w="1949"/>
          </w:tcPr>
          <w:p>
            <w:r/>
            <w:r>
              <w:rPr>
                <w:rFonts w:ascii="Times New Roman" w:hAnsi="Times New Roman" w:eastAsia="宋体"/>
                <w:b w:val="0"/>
                <w:sz w:val="19"/>
              </w:rPr>
              <w:t>原创政策数据库、调查实验、准实验（官僚轮换）</w:t>
            </w:r>
          </w:p>
        </w:tc>
        <w:tc>
          <w:tcPr>
            <w:tcW w:type="dxa" w:w="1949"/>
          </w:tcPr>
          <w:p>
            <w:r/>
            <w:r>
              <w:rPr>
                <w:rFonts w:ascii="Times New Roman" w:hAnsi="Times New Roman" w:eastAsia="宋体"/>
                <w:b w:val="0"/>
                <w:sz w:val="19"/>
              </w:rPr>
              <w:t>南方国家产业政策空间在区域协定中的保留，可参照《南北优惠贸易协定中的原产地规则》（LSE 2022）；WTO出口限制裁决的作用（PEIO 2026）</w:t>
            </w:r>
          </w:p>
        </w:tc>
      </w:tr>
      <w:tr>
        <w:tc>
          <w:tcPr>
            <w:tcW w:type="dxa" w:w="1949"/>
          </w:tcPr>
          <w:p>
            <w:r/>
            <w:r>
              <w:rPr>
                <w:rFonts w:ascii="Times New Roman" w:hAnsi="Times New Roman" w:eastAsia="宋体"/>
                <w:b w:val="0"/>
                <w:sz w:val="19"/>
              </w:rPr>
              <w:t>4 新兴供给者与国际公共产品</w:t>
            </w:r>
          </w:p>
        </w:tc>
        <w:tc>
          <w:tcPr>
            <w:tcW w:type="dxa" w:w="1949"/>
          </w:tcPr>
          <w:p>
            <w:r/>
            <w:r>
              <w:rPr>
                <w:rFonts w:ascii="Times New Roman" w:hAnsi="Times New Roman" w:eastAsia="宋体"/>
                <w:b w:val="0"/>
                <w:sz w:val="19"/>
              </w:rPr>
              <w:t>《中国对外贷款论文集》（耶鲁2022）；《国内经济失衡如何塑造中国海外贷款》（LSE 2023）；《编织网络：中国信通技术企业在北非》（LSE 2025）；《中国支持的南美基础设施》（LSE 2024）；PEIO 2026关于世行回应亚投行、亚投行项目策略分配、中国货币互换替代IMF、发展中国家如何替代优惠融资、美国援助收缩后的中国的多篇论文</w:t>
            </w:r>
          </w:p>
        </w:tc>
        <w:tc>
          <w:tcPr>
            <w:tcW w:type="dxa" w:w="1949"/>
          </w:tcPr>
          <w:p>
            <w:r/>
            <w:r>
              <w:rPr>
                <w:rFonts w:ascii="Times New Roman" w:hAnsi="Times New Roman" w:eastAsia="宋体"/>
                <w:b w:val="0"/>
                <w:sz w:val="19"/>
              </w:rPr>
              <w:t>新供给者是替代还是补充？其供给逻辑来自外部战略还是国内驱动？</w:t>
            </w:r>
          </w:p>
        </w:tc>
        <w:tc>
          <w:tcPr>
            <w:tcW w:type="dxa" w:w="1949"/>
          </w:tcPr>
          <w:p>
            <w:r/>
            <w:r>
              <w:rPr>
                <w:rFonts w:ascii="Times New Roman" w:hAnsi="Times New Roman" w:eastAsia="宋体"/>
                <w:b w:val="0"/>
                <w:sz w:val="19"/>
              </w:rPr>
              <w:t>原创贷款/项目数据、准实验、田野</w:t>
            </w:r>
          </w:p>
        </w:tc>
        <w:tc>
          <w:tcPr>
            <w:tcW w:type="dxa" w:w="1949"/>
          </w:tcPr>
          <w:p>
            <w:r/>
            <w:r>
              <w:rPr>
                <w:rFonts w:ascii="Times New Roman" w:hAnsi="Times New Roman" w:eastAsia="宋体"/>
                <w:b/>
                <w:sz w:val="19"/>
              </w:rPr>
              <w:t>供给的层级选择、排他性、网络位置</w:t>
            </w:r>
            <w:r>
              <w:rPr>
                <w:rFonts w:ascii="Times New Roman" w:hAnsi="Times New Roman" w:eastAsia="宋体"/>
                <w:b w:val="0"/>
                <w:sz w:val="19"/>
              </w:rPr>
              <w:t>几乎没有被系统理论化。现有研究多为“中国贷款/亚投行”单一工具研究，缺少跨工具（贷款、互换、多边银行、倡议）的统一框架</w:t>
            </w:r>
          </w:p>
        </w:tc>
      </w:tr>
      <w:tr>
        <w:tc>
          <w:tcPr>
            <w:tcW w:type="dxa" w:w="1949"/>
          </w:tcPr>
          <w:p>
            <w:r/>
            <w:r>
              <w:rPr>
                <w:rFonts w:ascii="Times New Roman" w:hAnsi="Times New Roman" w:eastAsia="宋体"/>
                <w:b w:val="0"/>
                <w:sz w:val="19"/>
              </w:rPr>
              <w:t>5 全球南方的发展与合作</w:t>
            </w:r>
          </w:p>
        </w:tc>
        <w:tc>
          <w:tcPr>
            <w:tcW w:type="dxa" w:w="1949"/>
          </w:tcPr>
          <w:p>
            <w:r/>
            <w:r>
              <w:rPr>
                <w:rFonts w:ascii="Times New Roman" w:hAnsi="Times New Roman" w:eastAsia="宋体"/>
                <w:b w:val="0"/>
                <w:sz w:val="19"/>
              </w:rPr>
              <w:t>《扎根于文化：国际组织中被治理者的能动性》（LSE 2025）；《英国学派视角下的去殖民化》（LSE 2026）；《全球价值链与经济发展》（LSE 2025）；《农业发展主义》（哈佛2025）；《国家的戏法：东道国与人道响应》（LSE 2024）</w:t>
            </w:r>
          </w:p>
        </w:tc>
        <w:tc>
          <w:tcPr>
            <w:tcW w:type="dxa" w:w="1949"/>
          </w:tcPr>
          <w:p>
            <w:r/>
            <w:r>
              <w:rPr>
                <w:rFonts w:ascii="Times New Roman" w:hAnsi="Times New Roman" w:eastAsia="宋体"/>
                <w:b w:val="0"/>
                <w:sz w:val="19"/>
              </w:rPr>
              <w:t>南方国家如何塑造规则？外部融入如何影响本地发展？</w:t>
            </w:r>
          </w:p>
        </w:tc>
        <w:tc>
          <w:tcPr>
            <w:tcW w:type="dxa" w:w="1949"/>
          </w:tcPr>
          <w:p>
            <w:r/>
            <w:r>
              <w:rPr>
                <w:rFonts w:ascii="Times New Roman" w:hAnsi="Times New Roman" w:eastAsia="宋体"/>
                <w:b w:val="0"/>
                <w:sz w:val="19"/>
              </w:rPr>
              <w:t>档案+过程追踪；地理空间+准实验</w:t>
            </w:r>
          </w:p>
        </w:tc>
        <w:tc>
          <w:tcPr>
            <w:tcW w:type="dxa" w:w="1949"/>
          </w:tcPr>
          <w:p>
            <w:r/>
            <w:r>
              <w:rPr>
                <w:rFonts w:ascii="Times New Roman" w:hAnsi="Times New Roman" w:eastAsia="宋体"/>
                <w:b w:val="0"/>
                <w:sz w:val="19"/>
              </w:rPr>
              <w:t>南南合作中的规则生成；南方国家的“造规”比较研究</w:t>
            </w:r>
          </w:p>
        </w:tc>
      </w:tr>
      <w:tr>
        <w:tc>
          <w:tcPr>
            <w:tcW w:type="dxa" w:w="1949"/>
          </w:tcPr>
          <w:p>
            <w:r/>
            <w:r>
              <w:rPr>
                <w:rFonts w:ascii="Times New Roman" w:hAnsi="Times New Roman" w:eastAsia="宋体"/>
                <w:b w:val="0"/>
                <w:sz w:val="19"/>
              </w:rPr>
              <w:t>6（区域国别学特有）区域组织与区域秩序</w:t>
            </w:r>
          </w:p>
        </w:tc>
        <w:tc>
          <w:tcPr>
            <w:tcW w:type="dxa" w:w="1949"/>
          </w:tcPr>
          <w:p>
            <w:r/>
            <w:r>
              <w:rPr>
                <w:rFonts w:ascii="Times New Roman" w:hAnsi="Times New Roman" w:eastAsia="宋体"/>
                <w:b w:val="0"/>
                <w:sz w:val="19"/>
              </w:rPr>
              <w:t>《从非统到非盟》（剑桥2024）；《阿拉伯中东的区域建设》（剑桥2024）；《区域组织中的儿童权利》（EUI 2025）；《重新嵌入欧洲》（EUI 2025）；《大国、地区强国与均势》（耶鲁2024）；《重新思考对冲：马来西亚与菲律宾》（LSE 2022）</w:t>
            </w:r>
          </w:p>
        </w:tc>
        <w:tc>
          <w:tcPr>
            <w:tcW w:type="dxa" w:w="1949"/>
          </w:tcPr>
          <w:p>
            <w:r/>
            <w:r>
              <w:rPr>
                <w:rFonts w:ascii="Times New Roman" w:hAnsi="Times New Roman" w:eastAsia="宋体"/>
                <w:b w:val="0"/>
                <w:sz w:val="19"/>
              </w:rPr>
              <w:t>区域层的独立逻辑是什么？区域与全球、国家如何互构？</w:t>
            </w:r>
          </w:p>
        </w:tc>
        <w:tc>
          <w:tcPr>
            <w:tcW w:type="dxa" w:w="1949"/>
          </w:tcPr>
          <w:p>
            <w:r/>
            <w:r>
              <w:rPr>
                <w:rFonts w:ascii="Times New Roman" w:hAnsi="Times New Roman" w:eastAsia="宋体"/>
                <w:b w:val="0"/>
                <w:sz w:val="19"/>
              </w:rPr>
              <w:t>历史+理论；比较案例；溯因推理</w:t>
            </w:r>
          </w:p>
        </w:tc>
        <w:tc>
          <w:tcPr>
            <w:tcW w:type="dxa" w:w="1949"/>
          </w:tcPr>
          <w:p>
            <w:r/>
            <w:r>
              <w:rPr>
                <w:rFonts w:ascii="Times New Roman" w:hAnsi="Times New Roman" w:eastAsia="宋体"/>
                <w:b w:val="0"/>
                <w:sz w:val="19"/>
              </w:rPr>
              <w:t>亚洲区域组织（东盟、上合、澜湄）与全球机制的“对接”比较；区域官僚的转译作用</w:t>
            </w:r>
          </w:p>
        </w:tc>
      </w:tr>
    </w:tbl>
    <w:p/>
    <w:p>
      <w:pPr>
        <w:spacing w:before="240"/>
      </w:pPr>
      <w:r>
        <w:rPr>
          <w:rFonts w:ascii="Times New Roman" w:hAnsi="Times New Roman" w:eastAsia="黑体"/>
          <w:b/>
          <w:color w:val="1F4E79"/>
          <w:sz w:val="30"/>
        </w:rPr>
        <w:t>四、与你的研究方向逐一对标</w:t>
      </w:r>
    </w:p>
    <w:p>
      <w:pPr>
        <w:spacing w:before="120"/>
      </w:pPr>
      <w:r>
        <w:rPr>
          <w:rFonts w:ascii="Times New Roman" w:hAnsi="Times New Roman" w:eastAsia="黑体"/>
          <w:b/>
          <w:color w:val="2E5C8A"/>
          <w:sz w:val="25"/>
        </w:rPr>
        <w:t>4.1 “层级选择”与“国际公共产品”：已有直接竞争者，必须差异化</w:t>
      </w:r>
    </w:p>
    <w:p>
      <w:pPr>
        <w:ind w:firstLine="440"/>
      </w:pPr>
      <w:r>
        <w:rPr>
          <w:rFonts w:ascii="Times New Roman" w:hAnsi="Times New Roman" w:eastAsia="宋体"/>
          <w:b/>
          <w:sz w:val="22"/>
        </w:rPr>
        <w:t>LSE 2024年Peng Wan（知识库著录为“Peng, Wan”，中文姓名待核）的博士论文《全球治理中的最优权威配置：规范与实证分析》</w:t>
      </w:r>
      <w:r>
        <w:rPr>
          <w:rFonts w:ascii="Times New Roman" w:hAnsi="Times New Roman" w:eastAsia="宋体"/>
          <w:b w:val="0"/>
          <w:sz w:val="22"/>
        </w:rPr>
        <w:t>几乎与你的“层级选择”方向正面重合。该论文：</w:t>
      </w:r>
    </w:p>
    <w:p>
      <w:pPr>
        <w:pStyle w:val="ListBullet"/>
      </w:pPr>
      <w:r>
        <w:rPr>
          <w:rFonts w:ascii="Times New Roman" w:hAnsi="Times New Roman" w:eastAsia="宋体"/>
          <w:b w:val="0"/>
          <w:sz w:val="22"/>
        </w:rPr>
        <w:t>从公共产品供给角度，用形式模型推导出外部性、规模经济与成本结构推动公共产品向更高层级配置，偏好异质性则作用相反；</w:t>
      </w:r>
    </w:p>
    <w:p>
      <w:pPr>
        <w:pStyle w:val="ListBullet"/>
      </w:pPr>
      <w:r>
        <w:rPr>
          <w:rFonts w:ascii="Times New Roman" w:hAnsi="Times New Roman" w:eastAsia="宋体"/>
          <w:b w:val="0"/>
          <w:sz w:val="22"/>
        </w:rPr>
        <w:t>用命名实体识别（NER）从21个代表性国际组织的年报中识别国际公共产品；</w:t>
      </w:r>
    </w:p>
    <w:p>
      <w:pPr>
        <w:pStyle w:val="ListBullet"/>
      </w:pPr>
      <w:r>
        <w:rPr>
          <w:rFonts w:ascii="Times New Roman" w:hAnsi="Times New Roman" w:eastAsia="宋体"/>
          <w:b w:val="0"/>
          <w:sz w:val="22"/>
        </w:rPr>
        <w:t>区分“供给手段、中间产品、最终产品”三个阶段；</w:t>
      </w:r>
    </w:p>
    <w:p>
      <w:pPr>
        <w:pStyle w:val="ListBullet"/>
      </w:pPr>
      <w:r>
        <w:rPr>
          <w:rFonts w:ascii="Times New Roman" w:hAnsi="Times New Roman" w:eastAsia="宋体"/>
          <w:b w:val="0"/>
          <w:sz w:val="22"/>
        </w:rPr>
        <w:t>用专家调查（向885位学者发放，回收75份有效问卷，覆盖30种公共产品）测量现实配置偏离最优的程度，结论是多数公共产品应上移至更高层级，并应加强区域机构的作用；政治冲突与供给复杂性是造成偏差的主要因素。</w:t>
      </w:r>
    </w:p>
    <w:p>
      <w:pPr>
        <w:ind w:firstLine="440"/>
      </w:pPr>
      <w:r>
        <w:rPr>
          <w:rFonts w:ascii="Times New Roman" w:hAnsi="Times New Roman" w:eastAsia="宋体"/>
          <w:b/>
          <w:sz w:val="22"/>
        </w:rPr>
        <w:t>这既是威胁也是机会。</w:t>
      </w:r>
      <w:r>
        <w:rPr>
          <w:rFonts w:ascii="Times New Roman" w:hAnsi="Times New Roman" w:eastAsia="宋体"/>
          <w:b w:val="0"/>
          <w:sz w:val="22"/>
        </w:rPr>
        <w:t xml:space="preserve"> 一方面，你需要精读并在文献综述中正面回应它；另一方面，它恰好留下了几条差异化路径：</w:t>
      </w:r>
    </w:p>
    <w:p>
      <w:pPr>
        <w:pStyle w:val="ListBullet"/>
      </w:pPr>
      <w:r>
        <w:rPr>
          <w:rFonts w:ascii="Times New Roman" w:hAnsi="Times New Roman" w:eastAsia="宋体"/>
          <w:b/>
          <w:sz w:val="22"/>
        </w:rPr>
        <w:t>从“规范上的最优配置”转向“供给者的策略选择”</w:t>
      </w:r>
      <w:r>
        <w:rPr>
          <w:rFonts w:ascii="Times New Roman" w:hAnsi="Times New Roman" w:eastAsia="宋体"/>
          <w:b w:val="0"/>
          <w:sz w:val="22"/>
        </w:rPr>
        <w:t>：不问“应该”配置在哪一层，而问新兴供给者“为什么选择”某一层（双边、区域、全球、诸边）以及排他程度；</w:t>
      </w:r>
    </w:p>
    <w:p>
      <w:pPr>
        <w:pStyle w:val="ListBullet"/>
      </w:pPr>
      <w:r>
        <w:rPr>
          <w:rFonts w:ascii="Times New Roman" w:hAnsi="Times New Roman" w:eastAsia="宋体"/>
          <w:b/>
          <w:sz w:val="22"/>
        </w:rPr>
        <w:t>深化“区域”层的解释</w:t>
      </w:r>
      <w:r>
        <w:rPr>
          <w:rFonts w:ascii="Times New Roman" w:hAnsi="Times New Roman" w:eastAsia="宋体"/>
          <w:b w:val="0"/>
          <w:sz w:val="22"/>
        </w:rPr>
        <w:t>：该论文已涉及区域层，并得出“应加强区域机构作用”的规范结论，但其依据是专家打分与效率标准。你可以转向解释：区域层为何在某些议题上被选择、在另一些议题上被绕开，以及区域内部结构（主导国、制度密度、认同）如何影响这一选择。这需要区域国别学的在地知识；</w:t>
      </w:r>
    </w:p>
    <w:p>
      <w:pPr>
        <w:pStyle w:val="ListBullet"/>
      </w:pPr>
      <w:r>
        <w:rPr>
          <w:rFonts w:ascii="Times New Roman" w:hAnsi="Times New Roman" w:eastAsia="宋体"/>
          <w:b/>
          <w:sz w:val="22"/>
        </w:rPr>
        <w:t>把“网络位置”纳入解释</w:t>
      </w:r>
      <w:r>
        <w:rPr>
          <w:rFonts w:ascii="Times New Roman" w:hAnsi="Times New Roman" w:eastAsia="宋体"/>
          <w:b w:val="0"/>
          <w:sz w:val="22"/>
        </w:rPr>
        <w:t>：从“规模”（供给多少）转向“位置”（供给者在供给网络中的中心性、桥接性），对应你的“从规模到位置”“供给网络拓扑”设想；</w:t>
      </w:r>
    </w:p>
    <w:p>
      <w:pPr>
        <w:pStyle w:val="ListBullet"/>
      </w:pPr>
      <w:r>
        <w:rPr>
          <w:rFonts w:ascii="Times New Roman" w:hAnsi="Times New Roman" w:eastAsia="宋体"/>
          <w:b/>
          <w:sz w:val="22"/>
        </w:rPr>
        <w:t>用中国与南方经验检验</w:t>
      </w:r>
      <w:r>
        <w:rPr>
          <w:rFonts w:ascii="Times New Roman" w:hAnsi="Times New Roman" w:eastAsia="宋体"/>
          <w:b w:val="0"/>
          <w:sz w:val="22"/>
        </w:rPr>
        <w:t>：多种中国供给工具（政策性贷款、货币互换、亚投行、新开发银行、全球发展倡议项目、南南合作援助基金）构成天然的“同一供给者、不同层级与排他性”的比较样本。</w:t>
      </w:r>
    </w:p>
    <w:p>
      <w:pPr>
        <w:spacing w:before="120"/>
      </w:pPr>
      <w:r>
        <w:rPr>
          <w:rFonts w:ascii="Times New Roman" w:hAnsi="Times New Roman" w:eastAsia="黑体"/>
          <w:b/>
          <w:color w:val="2E5C8A"/>
          <w:sz w:val="25"/>
        </w:rPr>
        <w:t>4.2 “新兴供给者”：PEIO 2026显示这是最热的会议议题之一</w:t>
      </w:r>
    </w:p>
    <w:p>
      <w:pPr>
        <w:ind w:firstLine="440"/>
      </w:pPr>
      <w:r>
        <w:rPr>
          <w:rFonts w:ascii="Times New Roman" w:hAnsi="Times New Roman" w:eastAsia="宋体"/>
          <w:b w:val="0"/>
          <w:sz w:val="22"/>
        </w:rPr>
        <w:t>PEIO 2026的海报与分组会中，至少有六篇论文直接关于中国、亚投行、货币互换或援助替代。耶鲁2022的论文用新方法证明，基础设施贷款可以提供国际收支支持并替代IMF援助，而亚投行不受国企委托代理问题影响。LSE 2023的论文用“国内经济失衡”解释中国贷款的兴起与骤停。</w:t>
      </w:r>
    </w:p>
    <w:p>
      <w:pPr>
        <w:ind w:firstLine="440"/>
      </w:pPr>
      <w:r>
        <w:rPr>
          <w:rFonts w:ascii="Times New Roman" w:hAnsi="Times New Roman" w:eastAsia="宋体"/>
          <w:b/>
          <w:sz w:val="22"/>
        </w:rPr>
        <w:t>这说明“新兴供给者是否替代传统供给者”已有因果证据，下一步的空白是“供给结构”：层级、排他性与网络。</w:t>
      </w:r>
      <w:r>
        <w:rPr>
          <w:rFonts w:ascii="Times New Roman" w:hAnsi="Times New Roman" w:eastAsia="宋体"/>
          <w:b w:val="0"/>
          <w:sz w:val="22"/>
        </w:rPr>
        <w:t xml:space="preserve"> 这一点与你的主线高度契合。</w:t>
      </w:r>
    </w:p>
    <w:p>
      <w:pPr>
        <w:spacing w:before="120"/>
      </w:pPr>
      <w:r>
        <w:rPr>
          <w:rFonts w:ascii="Times New Roman" w:hAnsi="Times New Roman" w:eastAsia="黑体"/>
          <w:b/>
          <w:color w:val="2E5C8A"/>
          <w:sz w:val="25"/>
        </w:rPr>
        <w:t>4.3 “上诉机构瘫痪”与“数智治理三难”</w:t>
      </w:r>
    </w:p>
    <w:p>
      <w:pPr>
        <w:pStyle w:val="ListBullet"/>
      </w:pPr>
      <w:r>
        <w:rPr>
          <w:rFonts w:ascii="Times New Roman" w:hAnsi="Times New Roman" w:eastAsia="宋体"/>
          <w:b w:val="0"/>
          <w:sz w:val="22"/>
        </w:rPr>
        <w:t>上诉机构瘫痪：PEIO 2026有《塑造贸易稳定：WTO出口限制裁决与供应链商业信心》《审查之下的退让：WTO中的证据与监管》等论文，说明WTO争端解决的“效果评估”仍在推进。结合RIPE 2024关于上诉机构停摆后发展空间回归的研究，可以考虑把“瘫痪”作为自然实验。</w:t>
      </w:r>
    </w:p>
    <w:p>
      <w:pPr>
        <w:pStyle w:val="ListBullet"/>
      </w:pPr>
      <w:r>
        <w:rPr>
          <w:rFonts w:ascii="Times New Roman" w:hAnsi="Times New Roman" w:eastAsia="宋体"/>
          <w:b w:val="0"/>
          <w:sz w:val="22"/>
        </w:rPr>
        <w:t>数智治理三难：海外博士论文中有网络安全私人权威（LSE 2025）、致命性自主武器话语（EUI 2026）、KYC与数字身份（剑桥2024）、数字时代东欧IT比较优势（EUI 2025），但尚未见到以“三难”结构理论化数字治理的论文。</w:t>
      </w:r>
      <w:r>
        <w:rPr>
          <w:rFonts w:ascii="Times New Roman" w:hAnsi="Times New Roman" w:eastAsia="宋体"/>
          <w:b/>
          <w:sz w:val="22"/>
        </w:rPr>
        <w:t>这是概念创新的空间，但需要配套经验检验。</w:t>
      </w:r>
    </w:p>
    <w:p>
      <w:pPr>
        <w:spacing w:before="120"/>
      </w:pPr>
      <w:r>
        <w:rPr>
          <w:rFonts w:ascii="Times New Roman" w:hAnsi="Times New Roman" w:eastAsia="黑体"/>
          <w:b/>
          <w:color w:val="2E5C8A"/>
          <w:sz w:val="25"/>
        </w:rPr>
        <w:t>4.4 “开放与中国式现代化”：耶鲁2025提供了可直接借鉴的框架</w:t>
      </w:r>
    </w:p>
    <w:p>
      <w:pPr>
        <w:ind w:firstLine="440"/>
      </w:pPr>
      <w:r>
        <w:rPr>
          <w:rFonts w:ascii="Times New Roman" w:hAnsi="Times New Roman" w:eastAsia="宋体"/>
          <w:b w:val="0"/>
          <w:sz w:val="22"/>
        </w:rPr>
        <w:t>耶鲁2025年《当代中国经济开放的财政政治》发现，开放没有削弱、反而强化了中国的财政能力：关税削减有策略地倾向央企，全球化推动的改革提升了税收征管能力，并带来再分配后果。方法是原创企业/行业数据、贸易与税收记录加上田野调查。MIT 2023的技术转让研究、LSE 2024的韩国出口官僚研究、IPES 2025的“产业政策作为衰退补偿”也都在回答“开放—国家能力—发展”的关系。</w:t>
      </w:r>
    </w:p>
    <w:p>
      <w:pPr>
        <w:ind w:firstLine="440"/>
      </w:pPr>
      <w:r>
        <w:rPr>
          <w:rFonts w:ascii="Times New Roman" w:hAnsi="Times New Roman" w:eastAsia="宋体"/>
          <w:b/>
          <w:sz w:val="22"/>
        </w:rPr>
        <w:t>如果你保留“开放”这条线，海外前沿的写法是“开放如何重塑国家能力与再分配”，而非宏观增长回归。</w:t>
      </w:r>
    </w:p>
    <w:p>
      <w:pPr>
        <w:spacing w:before="120"/>
      </w:pPr>
      <w:r>
        <w:rPr>
          <w:rFonts w:ascii="Times New Roman" w:hAnsi="Times New Roman" w:eastAsia="黑体"/>
          <w:b/>
          <w:color w:val="2E5C8A"/>
          <w:sz w:val="25"/>
        </w:rPr>
        <w:t>4.5 两条线是否可以连起来？一个值得认真考虑的桥接</w:t>
      </w:r>
    </w:p>
    <w:p>
      <w:pPr>
        <w:ind w:firstLine="440"/>
      </w:pPr>
      <w:r>
        <w:rPr>
          <w:rFonts w:ascii="Times New Roman" w:hAnsi="Times New Roman" w:eastAsia="宋体"/>
          <w:b w:val="0"/>
          <w:sz w:val="22"/>
        </w:rPr>
        <w:t>你的博士论文方向基于Aizenman的增长研究，而Aizenman的工作远不止增长：</w:t>
      </w:r>
    </w:p>
    <w:p>
      <w:pPr>
        <w:pStyle w:val="ListBullet"/>
      </w:pPr>
      <w:r>
        <w:rPr>
          <w:rFonts w:ascii="Times New Roman" w:hAnsi="Times New Roman" w:eastAsia="宋体"/>
          <w:b w:val="0"/>
          <w:sz w:val="22"/>
        </w:rPr>
        <w:t>他与Chinn、Ito提出了“三元悖论指数”，研究外汇储备的预防性需求；</w:t>
      </w:r>
    </w:p>
    <w:p>
      <w:pPr>
        <w:pStyle w:val="ListBullet"/>
      </w:pPr>
      <w:r>
        <w:rPr>
          <w:rFonts w:ascii="Times New Roman" w:hAnsi="Times New Roman" w:eastAsia="宋体"/>
          <w:b w:val="0"/>
          <w:sz w:val="22"/>
        </w:rPr>
        <w:t>他与Pasricha研究了2008年危机中美联储“选择性货币互换”的分配逻辑。</w:t>
      </w:r>
    </w:p>
    <w:p>
      <w:pPr>
        <w:ind w:firstLine="440"/>
      </w:pPr>
      <w:r>
        <w:rPr>
          <w:rFonts w:ascii="Times New Roman" w:hAnsi="Times New Roman" w:eastAsia="宋体"/>
          <w:b/>
          <w:sz w:val="22"/>
        </w:rPr>
        <w:t>金融安全网（IMF、区域安排、双边互换）本身就是典型的分层级、有排他性的国际公共产品。</w:t>
      </w:r>
      <w:r>
        <w:rPr>
          <w:rFonts w:ascii="Times New Roman" w:hAnsi="Times New Roman" w:eastAsia="宋体"/>
          <w:b w:val="0"/>
          <w:sz w:val="22"/>
        </w:rPr>
        <w:t xml:space="preserve"> 由此可以形成一条桥接主线：</w:t>
      </w:r>
    </w:p>
    <w:p>
      <w:pPr>
        <w:ind w:left="454"/>
      </w:pPr>
      <w:r>
        <w:rPr>
          <w:rFonts w:ascii="Times New Roman" w:hAnsi="Times New Roman" w:eastAsia="楷体"/>
          <w:b w:val="0"/>
          <w:color w:val="404040"/>
          <w:sz w:val="21"/>
        </w:rPr>
        <w:t>发展中国家的开放选择（资本账户开放、汇率制度、储备积累）受到其可获得的“国际金融公共产品”约束；新兴供给者（如中国的货币互换网络、亚投行、金砖应急储备安排）在不同层级、以不同排他程度供给这些产品，从而改变了南方国家的开放空间与发展路径。</w:t>
      </w:r>
    </w:p>
    <w:p>
      <w:pPr>
        <w:ind w:firstLine="440"/>
      </w:pPr>
      <w:r>
        <w:rPr>
          <w:rFonts w:ascii="Times New Roman" w:hAnsi="Times New Roman" w:eastAsia="宋体"/>
          <w:b w:val="0"/>
          <w:sz w:val="22"/>
        </w:rPr>
        <w:t>这条主线把“开放与中国式现代化”转化为“开放的外部条件”，把“国际公共产品”具体化为“金融公共产品”，并天然包含层级（全球/区域/双边）、排他性（谁能获得互换）与网络位置（互换网络拓扑）。它也有PEIO 2026《中国货币互换安排如何成为IMF贷款的替代？》与RIPE 2026相关论文作为对话对象。是否采用由你决定，详见配套的《深挖备忘》。</w:t>
      </w:r>
    </w:p>
    <w:p>
      <w:pPr>
        <w:spacing w:before="240"/>
      </w:pPr>
      <w:r>
        <w:rPr>
          <w:rFonts w:ascii="Times New Roman" w:hAnsi="Times New Roman" w:eastAsia="黑体"/>
          <w:b/>
          <w:color w:val="1F4E79"/>
          <w:sz w:val="30"/>
        </w:rPr>
        <w:t>五、可以从海外博士论文直接学到的五种“写法”</w:t>
      </w:r>
    </w:p>
    <w:tbl>
      <w:tblPr>
        <w:tblStyle w:val="TableGrid"/>
        <w:tblW w:type="auto" w:w="0"/>
        <w:tblLook w:firstColumn="1" w:firstRow="1" w:lastColumn="0" w:lastRow="0" w:noHBand="0" w:noVBand="1" w:val="04A0"/>
      </w:tblPr>
      <w:tblGrid>
        <w:gridCol w:w="3249"/>
        <w:gridCol w:w="3249"/>
        <w:gridCol w:w="3249"/>
      </w:tblGrid>
      <w:tr>
        <w:tc>
          <w:tcPr>
            <w:tcW w:type="dxa" w:w="3249"/>
            <w:shd w:val="clear" w:fill="1F4E79"/>
          </w:tcPr>
          <w:p>
            <w:r/>
            <w:r>
              <w:rPr>
                <w:rFonts w:ascii="Times New Roman" w:hAnsi="Times New Roman" w:eastAsia="宋体"/>
                <w:b/>
                <w:color w:val="FFFFFF"/>
                <w:sz w:val="19"/>
              </w:rPr>
              <w:t>写法</w:t>
            </w:r>
          </w:p>
        </w:tc>
        <w:tc>
          <w:tcPr>
            <w:tcW w:type="dxa" w:w="3249"/>
            <w:shd w:val="clear" w:fill="1F4E79"/>
          </w:tcPr>
          <w:p>
            <w:r/>
            <w:r>
              <w:rPr>
                <w:rFonts w:ascii="Times New Roman" w:hAnsi="Times New Roman" w:eastAsia="宋体"/>
                <w:b/>
                <w:color w:val="FFFFFF"/>
                <w:sz w:val="19"/>
              </w:rPr>
              <w:t>含义</w:t>
            </w:r>
          </w:p>
        </w:tc>
        <w:tc>
          <w:tcPr>
            <w:tcW w:type="dxa" w:w="3249"/>
            <w:shd w:val="clear" w:fill="1F4E79"/>
          </w:tcPr>
          <w:p>
            <w:r/>
            <w:r>
              <w:rPr>
                <w:rFonts w:ascii="Times New Roman" w:hAnsi="Times New Roman" w:eastAsia="宋体"/>
                <w:b/>
                <w:color w:val="FFFFFF"/>
                <w:sz w:val="19"/>
              </w:rPr>
              <w:t>样板</w:t>
            </w:r>
          </w:p>
        </w:tc>
      </w:tr>
      <w:tr>
        <w:tc>
          <w:tcPr>
            <w:tcW w:type="dxa" w:w="3249"/>
          </w:tcPr>
          <w:p>
            <w:r/>
            <w:r>
              <w:rPr>
                <w:rFonts w:ascii="Times New Roman" w:hAnsi="Times New Roman" w:eastAsia="宋体"/>
                <w:b w:val="0"/>
                <w:sz w:val="19"/>
              </w:rPr>
              <w:t>三篇论文式（three-paper）</w:t>
            </w:r>
          </w:p>
        </w:tc>
        <w:tc>
          <w:tcPr>
            <w:tcW w:type="dxa" w:w="3249"/>
          </w:tcPr>
          <w:p>
            <w:r/>
            <w:r>
              <w:rPr>
                <w:rFonts w:ascii="Times New Roman" w:hAnsi="Times New Roman" w:eastAsia="宋体"/>
                <w:b w:val="0"/>
                <w:sz w:val="19"/>
              </w:rPr>
              <w:t>一个总问题，三篇可独立发表的论文</w:t>
            </w:r>
          </w:p>
        </w:tc>
        <w:tc>
          <w:tcPr>
            <w:tcW w:type="dxa" w:w="3249"/>
          </w:tcPr>
          <w:p>
            <w:r/>
            <w:r>
              <w:rPr>
                <w:rFonts w:ascii="Times New Roman" w:hAnsi="Times New Roman" w:eastAsia="宋体"/>
                <w:b w:val="0"/>
                <w:sz w:val="19"/>
              </w:rPr>
              <w:t>哈佛2026《全球治理与劳工权利》；哈佛2025《应对武器化贸易》</w:t>
            </w:r>
          </w:p>
        </w:tc>
      </w:tr>
      <w:tr>
        <w:tc>
          <w:tcPr>
            <w:tcW w:type="dxa" w:w="3249"/>
          </w:tcPr>
          <w:p>
            <w:r/>
            <w:r>
              <w:rPr>
                <w:rFonts w:ascii="Times New Roman" w:hAnsi="Times New Roman" w:eastAsia="宋体"/>
                <w:b w:val="0"/>
                <w:sz w:val="19"/>
              </w:rPr>
              <w:t>书稿式（monograph）</w:t>
            </w:r>
          </w:p>
        </w:tc>
        <w:tc>
          <w:tcPr>
            <w:tcW w:type="dxa" w:w="3249"/>
          </w:tcPr>
          <w:p>
            <w:r/>
            <w:r>
              <w:rPr>
                <w:rFonts w:ascii="Times New Roman" w:hAnsi="Times New Roman" w:eastAsia="宋体"/>
                <w:b w:val="0"/>
                <w:sz w:val="19"/>
              </w:rPr>
              <w:t>一个核心论点、多章证据、强理论</w:t>
            </w:r>
          </w:p>
        </w:tc>
        <w:tc>
          <w:tcPr>
            <w:tcW w:type="dxa" w:w="3249"/>
          </w:tcPr>
          <w:p>
            <w:r/>
            <w:r>
              <w:rPr>
                <w:rFonts w:ascii="Times New Roman" w:hAnsi="Times New Roman" w:eastAsia="宋体"/>
                <w:b w:val="0"/>
                <w:sz w:val="19"/>
              </w:rPr>
              <w:t>剑桥2024《从非统到非盟》；LSE 2024《中国支持的南美基础设施》</w:t>
            </w:r>
          </w:p>
        </w:tc>
      </w:tr>
      <w:tr>
        <w:tc>
          <w:tcPr>
            <w:tcW w:type="dxa" w:w="3249"/>
          </w:tcPr>
          <w:p>
            <w:r/>
            <w:r>
              <w:rPr>
                <w:rFonts w:ascii="Times New Roman" w:hAnsi="Times New Roman" w:eastAsia="宋体"/>
                <w:b w:val="0"/>
                <w:sz w:val="19"/>
              </w:rPr>
              <w:t>原创数据驱动</w:t>
            </w:r>
          </w:p>
        </w:tc>
        <w:tc>
          <w:tcPr>
            <w:tcW w:type="dxa" w:w="3249"/>
          </w:tcPr>
          <w:p>
            <w:r/>
            <w:r>
              <w:rPr>
                <w:rFonts w:ascii="Times New Roman" w:hAnsi="Times New Roman" w:eastAsia="宋体"/>
                <w:b w:val="0"/>
                <w:sz w:val="19"/>
              </w:rPr>
              <w:t>先建数据，再提问题</w:t>
            </w:r>
          </w:p>
        </w:tc>
        <w:tc>
          <w:tcPr>
            <w:tcW w:type="dxa" w:w="3249"/>
          </w:tcPr>
          <w:p>
            <w:r/>
            <w:r>
              <w:rPr>
                <w:rFonts w:ascii="Times New Roman" w:hAnsi="Times New Roman" w:eastAsia="宋体"/>
                <w:b w:val="0"/>
                <w:sz w:val="19"/>
              </w:rPr>
              <w:t>MIT 2023技术转让政策数据；耶鲁2022中国贷款</w:t>
            </w:r>
          </w:p>
        </w:tc>
      </w:tr>
      <w:tr>
        <w:tc>
          <w:tcPr>
            <w:tcW w:type="dxa" w:w="3249"/>
          </w:tcPr>
          <w:p>
            <w:r/>
            <w:r>
              <w:rPr>
                <w:rFonts w:ascii="Times New Roman" w:hAnsi="Times New Roman" w:eastAsia="宋体"/>
                <w:b w:val="0"/>
                <w:sz w:val="19"/>
              </w:rPr>
              <w:t>田野密集型</w:t>
            </w:r>
          </w:p>
        </w:tc>
        <w:tc>
          <w:tcPr>
            <w:tcW w:type="dxa" w:w="3249"/>
          </w:tcPr>
          <w:p>
            <w:r/>
            <w:r>
              <w:rPr>
                <w:rFonts w:ascii="Times New Roman" w:hAnsi="Times New Roman" w:eastAsia="宋体"/>
                <w:b w:val="0"/>
                <w:sz w:val="19"/>
              </w:rPr>
              <w:t>上百次访谈加多点田野</w:t>
            </w:r>
          </w:p>
        </w:tc>
        <w:tc>
          <w:tcPr>
            <w:tcW w:type="dxa" w:w="3249"/>
          </w:tcPr>
          <w:p>
            <w:r/>
            <w:r>
              <w:rPr>
                <w:rFonts w:ascii="Times New Roman" w:hAnsi="Times New Roman" w:eastAsia="宋体"/>
                <w:b w:val="0"/>
                <w:sz w:val="19"/>
              </w:rPr>
              <w:t>LSE 2025华为、中兴北非研究（107次访谈）；LSE 2025欧盟萨赫勒（65次深访加参与观察）</w:t>
            </w:r>
          </w:p>
        </w:tc>
      </w:tr>
      <w:tr>
        <w:tc>
          <w:tcPr>
            <w:tcW w:type="dxa" w:w="3249"/>
          </w:tcPr>
          <w:p>
            <w:r/>
            <w:r>
              <w:rPr>
                <w:rFonts w:ascii="Times New Roman" w:hAnsi="Times New Roman" w:eastAsia="宋体"/>
                <w:b w:val="0"/>
                <w:sz w:val="19"/>
              </w:rPr>
              <w:t>理论+计算</w:t>
            </w:r>
          </w:p>
        </w:tc>
        <w:tc>
          <w:tcPr>
            <w:tcW w:type="dxa" w:w="3249"/>
          </w:tcPr>
          <w:p>
            <w:r/>
            <w:r>
              <w:rPr>
                <w:rFonts w:ascii="Times New Roman" w:hAnsi="Times New Roman" w:eastAsia="宋体"/>
                <w:b w:val="0"/>
                <w:sz w:val="19"/>
              </w:rPr>
              <w:t>形式模型、机器学习与调查结合</w:t>
            </w:r>
          </w:p>
        </w:tc>
        <w:tc>
          <w:tcPr>
            <w:tcW w:type="dxa" w:w="3249"/>
          </w:tcPr>
          <w:p>
            <w:r/>
            <w:r>
              <w:rPr>
                <w:rFonts w:ascii="Times New Roman" w:hAnsi="Times New Roman" w:eastAsia="宋体"/>
                <w:b w:val="0"/>
                <w:sz w:val="19"/>
              </w:rPr>
              <w:t>LSE 2024最优权威配置（形式模型、命名实体识别与专家调查）</w:t>
            </w:r>
          </w:p>
        </w:tc>
      </w:tr>
    </w:tbl>
    <w:p/>
    <w:p>
      <w:pPr>
        <w:ind w:firstLine="440"/>
      </w:pPr>
      <w:r>
        <w:rPr>
          <w:rFonts w:ascii="Times New Roman" w:hAnsi="Times New Roman" w:eastAsia="宋体"/>
          <w:b/>
          <w:sz w:val="22"/>
        </w:rPr>
        <w:t>对区域国别学博士的建议</w:t>
      </w:r>
      <w:r>
        <w:rPr>
          <w:rFonts w:ascii="Times New Roman" w:hAnsi="Times New Roman" w:eastAsia="宋体"/>
          <w:b w:val="0"/>
          <w:sz w:val="22"/>
        </w:rPr>
        <w:t>：国内评价体系重视专著，国际发表又需要可独立成文的论文。比较理想的做法是“书稿式结构 + 每章可单独投稿”，并确保至少两章有可复现的经验证据。</w:t>
      </w:r>
    </w:p>
    <w:p>
      <w:pPr>
        <w:spacing w:before="240"/>
      </w:pPr>
      <w:r>
        <w:rPr>
          <w:rFonts w:ascii="Times New Roman" w:hAnsi="Times New Roman" w:eastAsia="黑体"/>
          <w:b/>
          <w:color w:val="1F4E79"/>
          <w:sz w:val="30"/>
        </w:rPr>
        <w:t>六、如何持续追踪海外博士论文（可执行的流程）</w:t>
      </w:r>
    </w:p>
    <w:p>
      <w:pPr>
        <w:spacing w:before="120"/>
      </w:pPr>
      <w:r>
        <w:rPr>
          <w:rFonts w:ascii="Times New Roman" w:hAnsi="Times New Roman" w:eastAsia="黑体"/>
          <w:b/>
          <w:color w:val="2E5C8A"/>
          <w:sz w:val="25"/>
        </w:rPr>
        <w:t>6.1 渠道</w:t>
      </w:r>
    </w:p>
    <w:p>
      <w:pPr>
        <w:pStyle w:val="ListBullet"/>
      </w:pPr>
      <w:r>
        <w:rPr>
          <w:rFonts w:ascii="Times New Roman" w:hAnsi="Times New Roman" w:eastAsia="宋体"/>
          <w:b/>
          <w:sz w:val="22"/>
        </w:rPr>
        <w:t>院系求职候选人页面</w:t>
      </w:r>
      <w:r>
        <w:rPr>
          <w:rFonts w:ascii="Times New Roman" w:hAnsi="Times New Roman" w:eastAsia="宋体"/>
          <w:b w:val="0"/>
          <w:sz w:val="22"/>
        </w:rPr>
        <w:t>：哈佛政府系、斯坦福政治学系、威斯康星政治学系等都设有“Job Market Candidates”页面，每年9—11月更新。页面通常只列姓名、方向与导师，需要再点进个人主页下载求职论文。建议每年10月集中浏览一次国际关系与政治经济学方向的候选人。</w:t>
      </w:r>
    </w:p>
    <w:p>
      <w:pPr>
        <w:pStyle w:val="ListBullet"/>
      </w:pPr>
      <w:r>
        <w:rPr>
          <w:rFonts w:ascii="Times New Roman" w:hAnsi="Times New Roman" w:eastAsia="宋体"/>
          <w:b/>
          <w:sz w:val="22"/>
        </w:rPr>
        <w:t>机构知识库</w:t>
      </w:r>
      <w:r>
        <w:rPr>
          <w:rFonts w:ascii="Times New Roman" w:hAnsi="Times New Roman" w:eastAsia="宋体"/>
          <w:b w:val="0"/>
          <w:sz w:val="22"/>
        </w:rPr>
        <w:t>：哈佛DASH、MIT DSpace、LSE Theses Online、EUI Cadmus、剑桥Apollo都开放了OAI-PMH接口，可以用Python批量抓取元数据。本报告就是这样做的，脚本可以复用。</w:t>
      </w:r>
    </w:p>
    <w:p>
      <w:pPr>
        <w:pStyle w:val="ListBullet"/>
      </w:pPr>
      <w:r>
        <w:rPr>
          <w:rFonts w:ascii="Times New Roman" w:hAnsi="Times New Roman" w:eastAsia="宋体"/>
          <w:b/>
          <w:sz w:val="22"/>
        </w:rPr>
        <w:t>聚合平台</w:t>
      </w:r>
      <w:r>
        <w:rPr>
          <w:rFonts w:ascii="Times New Roman" w:hAnsi="Times New Roman" w:eastAsia="宋体"/>
          <w:b w:val="0"/>
          <w:sz w:val="22"/>
        </w:rPr>
        <w:t>：OATD（开放获取学位论文检索）、DART-Europe（欧洲学位论文门户）；英国国家图书馆EThOS曾因2023年网络攻击长期中断，使用前请确认是否恢复；ProQuest学位论文库可通过学校图书馆访问。</w:t>
      </w:r>
    </w:p>
    <w:p>
      <w:pPr>
        <w:pStyle w:val="ListBullet"/>
      </w:pPr>
      <w:r>
        <w:rPr>
          <w:rFonts w:ascii="Times New Roman" w:hAnsi="Times New Roman" w:eastAsia="宋体"/>
          <w:b/>
          <w:sz w:val="22"/>
        </w:rPr>
        <w:t>奖项</w:t>
      </w:r>
      <w:r>
        <w:rPr>
          <w:rFonts w:ascii="Times New Roman" w:hAnsi="Times New Roman" w:eastAsia="宋体"/>
          <w:b w:val="0"/>
          <w:sz w:val="22"/>
        </w:rPr>
        <w:t>：APSA Merze Tate奖（国际关系最佳博士论文）、ISA各分会的博士论文与青年学者奖、IPES最佳论文奖。</w:t>
      </w:r>
    </w:p>
    <w:p>
      <w:pPr>
        <w:pStyle w:val="ListBullet"/>
      </w:pPr>
      <w:r>
        <w:rPr>
          <w:rFonts w:ascii="Times New Roman" w:hAnsi="Times New Roman" w:eastAsia="宋体"/>
          <w:b/>
          <w:sz w:val="22"/>
        </w:rPr>
        <w:t>会议议程</w:t>
      </w:r>
      <w:r>
        <w:rPr>
          <w:rFonts w:ascii="Times New Roman" w:hAnsi="Times New Roman" w:eastAsia="宋体"/>
          <w:b w:val="0"/>
          <w:sz w:val="22"/>
        </w:rPr>
        <w:t>：PEIO（每年1—2月）、IPES（每年秋季）、ISA年会（每年春季）、APSA年会（每年8—9月）、EISA泛欧会议。这些会议的议程是“未来两三年期刊内容”的预告。</w:t>
      </w:r>
    </w:p>
    <w:p>
      <w:pPr>
        <w:spacing w:before="120"/>
      </w:pPr>
      <w:r>
        <w:rPr>
          <w:rFonts w:ascii="Times New Roman" w:hAnsi="Times New Roman" w:eastAsia="黑体"/>
          <w:b/>
          <w:color w:val="2E5C8A"/>
          <w:sz w:val="25"/>
        </w:rPr>
        <w:t>6.2 读法（每篇博士论文控制在两小时内）</w:t>
      </w:r>
    </w:p>
    <w:p>
      <w:pPr>
        <w:pStyle w:val="ListBullet"/>
      </w:pPr>
      <w:r>
        <w:rPr>
          <w:rFonts w:ascii="Times New Roman" w:hAnsi="Times New Roman" w:eastAsia="宋体"/>
          <w:b w:val="0"/>
          <w:sz w:val="22"/>
        </w:rPr>
        <w:t>先读摘要和导论，回答四个问题：问题是什么，困惑类型是什么，核心论点与机制是什么，证据与方法是什么。</w:t>
      </w:r>
    </w:p>
    <w:p>
      <w:pPr>
        <w:pStyle w:val="ListBullet"/>
      </w:pPr>
      <w:r>
        <w:rPr>
          <w:rFonts w:ascii="Times New Roman" w:hAnsi="Times New Roman" w:eastAsia="宋体"/>
          <w:b w:val="0"/>
          <w:sz w:val="22"/>
        </w:rPr>
        <w:t>再读章节结构，学习它如何把一个问题拆成三到五章。</w:t>
      </w:r>
    </w:p>
    <w:p>
      <w:pPr>
        <w:pStyle w:val="ListBullet"/>
      </w:pPr>
      <w:r>
        <w:rPr>
          <w:rFonts w:ascii="Times New Roman" w:hAnsi="Times New Roman" w:eastAsia="宋体"/>
          <w:b w:val="0"/>
          <w:sz w:val="22"/>
        </w:rPr>
        <w:t>再读结论中的“局限与未来研究”，这是别人留给你的空白。</w:t>
      </w:r>
    </w:p>
    <w:p>
      <w:pPr>
        <w:pStyle w:val="ListBullet"/>
      </w:pPr>
      <w:r>
        <w:rPr>
          <w:rFonts w:ascii="Times New Roman" w:hAnsi="Times New Roman" w:eastAsia="宋体"/>
          <w:b w:val="0"/>
          <w:sz w:val="22"/>
        </w:rPr>
        <w:t>最后在附表中加一行，记下“对我的启发”和“我如何差异化”。</w:t>
      </w:r>
    </w:p>
    <w:p>
      <w:pPr>
        <w:spacing w:before="120"/>
      </w:pPr>
      <w:r>
        <w:rPr>
          <w:rFonts w:ascii="Times New Roman" w:hAnsi="Times New Roman" w:eastAsia="黑体"/>
          <w:b/>
          <w:color w:val="2E5C8A"/>
          <w:sz w:val="25"/>
        </w:rPr>
        <w:t>6.3 建议节奏</w:t>
      </w:r>
    </w:p>
    <w:p>
      <w:pPr>
        <w:ind w:firstLine="440"/>
      </w:pPr>
      <w:r>
        <w:rPr>
          <w:rFonts w:ascii="Times New Roman" w:hAnsi="Times New Roman" w:eastAsia="宋体"/>
          <w:b w:val="0"/>
          <w:sz w:val="22"/>
        </w:rPr>
        <w:t>每月精读2篇博士论文或求职论文，每季度浏览一次会议议程，每年10月集中浏览一轮求职候选人。一年下来大约积累30篇深度阅读，足以建立对本领域“下一代”的判断。</w:t>
      </w:r>
    </w:p>
    <w:p>
      <w:pPr>
        <w:spacing w:before="240"/>
      </w:pPr>
      <w:r>
        <w:rPr>
          <w:rFonts w:ascii="Times New Roman" w:hAnsi="Times New Roman" w:eastAsia="黑体"/>
          <w:b/>
          <w:color w:val="1F4E79"/>
          <w:sz w:val="30"/>
        </w:rPr>
        <w:t>七、结论：值得押注的三个方向</w:t>
      </w:r>
    </w:p>
    <w:p>
      <w:pPr>
        <w:ind w:firstLine="440"/>
      </w:pPr>
      <w:r>
        <w:rPr>
          <w:rFonts w:ascii="Times New Roman" w:hAnsi="Times New Roman" w:eastAsia="宋体"/>
          <w:b w:val="0"/>
          <w:sz w:val="22"/>
        </w:rPr>
        <w:t>综合海外博士论文、会议信号与七刊文献，以下三个方向同时满足三个条件：国际同行在问、国内学界觉得有现实分量、你具备比较优势。</w:t>
      </w:r>
    </w:p>
    <w:p>
      <w:pPr>
        <w:pStyle w:val="ListBullet"/>
      </w:pPr>
      <w:r>
        <w:rPr>
          <w:rFonts w:ascii="Times New Roman" w:hAnsi="Times New Roman" w:eastAsia="宋体"/>
          <w:b/>
          <w:sz w:val="22"/>
        </w:rPr>
        <w:t>新兴供给者的国际公共产品供给结构</w:t>
      </w:r>
      <w:r>
        <w:rPr>
          <w:rFonts w:ascii="Times New Roman" w:hAnsi="Times New Roman" w:eastAsia="宋体"/>
          <w:b w:val="0"/>
          <w:sz w:val="22"/>
        </w:rPr>
        <w:t>：层级选择、排他性与网络位置。这是对现有“中国贷款/亚投行”单一工具研究的整合与理论升级，与你的主线最契合。</w:t>
      </w:r>
    </w:p>
    <w:p>
      <w:pPr>
        <w:pStyle w:val="ListBullet"/>
      </w:pPr>
      <w:r>
        <w:rPr>
          <w:rFonts w:ascii="Times New Roman" w:hAnsi="Times New Roman" w:eastAsia="宋体"/>
          <w:b/>
          <w:sz w:val="22"/>
        </w:rPr>
        <w:t>地缘经济冲突中的区域缓冲</w:t>
      </w:r>
      <w:r>
        <w:rPr>
          <w:rFonts w:ascii="Times New Roman" w:hAnsi="Times New Roman" w:eastAsia="宋体"/>
          <w:b w:val="0"/>
          <w:sz w:val="22"/>
        </w:rPr>
        <w:t>：区域组织、区域金融安排与第三国在制裁、胁迫与产业政策冲击中的作用，以及被限制方视角。这是海外研究的明显空白。</w:t>
      </w:r>
    </w:p>
    <w:p>
      <w:pPr>
        <w:pStyle w:val="ListBullet"/>
      </w:pPr>
      <w:r>
        <w:rPr>
          <w:rFonts w:ascii="Times New Roman" w:hAnsi="Times New Roman" w:eastAsia="宋体"/>
          <w:b/>
          <w:sz w:val="22"/>
        </w:rPr>
        <w:t>区域—全球规则的转译与对接</w:t>
      </w:r>
      <w:r>
        <w:rPr>
          <w:rFonts w:ascii="Times New Roman" w:hAnsi="Times New Roman" w:eastAsia="宋体"/>
          <w:b w:val="0"/>
          <w:sz w:val="22"/>
        </w:rPr>
        <w:t>：区域秘书处、区域协定与全球规则之间的上传、下载与转译。这一方向有EUI与剑桥的博士论文作为理论起点，亚洲区域组织的比较研究仍是空白，也最能体现区域国别学的学科特色。</w:t>
      </w:r>
    </w:p>
    <w:p>
      <w:pPr>
        <w:ind w:left="454"/>
      </w:pPr>
      <w:r>
        <w:rPr>
          <w:rFonts w:ascii="Times New Roman" w:hAnsi="Times New Roman" w:eastAsia="楷体"/>
          <w:b w:val="0"/>
          <w:color w:val="404040"/>
          <w:sz w:val="21"/>
        </w:rPr>
        <w:t>附表《海外博士论文前沿附表_2022-2026.xlsx》含核心88篇（中文标题、主题、论点、方法、启发，其中★为与你主线直接相关）、前沿信号39条与全部679篇原题，可按主题筛选。</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