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全球—区域治理三元悖论：从一个启发性命题到一项博士研究计划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深挖备忘录（第二版）· 配套《全球—区域治理专题文献库_2023-2026.xlsx》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0"/>
        </w:rPr>
        <w:t>依据：七刊830篇拆解 + 新增23种期刊与NBER工作论文约9800篇筛选所得762篇候选、130篇精选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先说结论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这个命题值得做成博士论文，但它不是空白地带。</w:t>
      </w:r>
      <w:r>
        <w:rPr>
          <w:rFonts w:ascii="Times New Roman" w:hAnsi="Times New Roman" w:eastAsia="宋体"/>
          <w:b w:val="0"/>
          <w:sz w:val="22"/>
        </w:rPr>
        <w:t xml:space="preserve"> 查新发现，Stephen、Biedermann与Langendonk在 *Global Policy*（2026）上已提出“全球治理三元悖论”（权威、广度、普遍性三者难以兼得），Lewis在 *Global Studies Quarterly*（2024）上系统梳理了国际关系中的“开放—有效—自主”类三元悖论；更早还有“广度—深度权衡”的整条文献脉络。</w:t>
      </w:r>
      <w:r>
        <w:rPr>
          <w:rFonts w:ascii="Times New Roman" w:hAnsi="Times New Roman" w:eastAsia="宋体"/>
          <w:b/>
          <w:sz w:val="22"/>
        </w:rPr>
        <w:t>你的贡献必须是精确的再定位，而不是“首次提出”。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最有价值的再定位是“尺度”：</w:t>
      </w:r>
      <w:r>
        <w:rPr>
          <w:rFonts w:ascii="Times New Roman" w:hAnsi="Times New Roman" w:eastAsia="宋体"/>
          <w:b w:val="0"/>
          <w:sz w:val="22"/>
        </w:rPr>
        <w:t xml:space="preserve"> 现有三元悖论都在单一层级内讨论。本备忘录的核心主张是：</w:t>
      </w:r>
      <w:r>
        <w:rPr>
          <w:rFonts w:ascii="Times New Roman" w:hAnsi="Times New Roman" w:eastAsia="宋体"/>
          <w:b/>
          <w:sz w:val="22"/>
        </w:rPr>
        <w:t>三元悖论在每个层级内部都成立，但多层级架构可以把三个角“分配”到不同层级；全球与区域治理的关系，本质上就是这种分配方式的选择。</w:t>
      </w:r>
      <w:r>
        <w:rPr>
          <w:rFonts w:ascii="Times New Roman" w:hAnsi="Times New Roman" w:eastAsia="宋体"/>
          <w:b w:val="0"/>
          <w:sz w:val="22"/>
        </w:rPr>
        <w:t xml:space="preserve"> 这是区域国别学最能发力、现有文献最薄弱的地方。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“自主性”是隐藏的关键变量。</w:t>
      </w:r>
      <w:r>
        <w:rPr>
          <w:rFonts w:ascii="Times New Roman" w:hAnsi="Times New Roman" w:eastAsia="宋体"/>
          <w:b w:val="0"/>
          <w:sz w:val="22"/>
        </w:rPr>
        <w:t xml:space="preserve"> Gilligan（2004）证明，只要允许成员设定不同的政策水平，广度—深度权衡就会消失。三元悖论的推进在于指出：这条出路本身有代价（规则不统一、歧视、碎片化），因此“自主性”应当被看作与广度、深度并列的第三个角，而不是免费的解决方案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最适合作为主战场的是国际金融安全网</w:t>
      </w:r>
      <w:r>
        <w:rPr>
          <w:rFonts w:ascii="Times New Roman" w:hAnsi="Times New Roman" w:eastAsia="宋体"/>
          <w:b w:val="0"/>
          <w:sz w:val="22"/>
        </w:rPr>
        <w:t>（IMF—区域金融安排—双边货币互换），其次是贸易，气候作为样本外检验。金融领域的数据最完整、层级最清楚，也与你的“国际公共产品供给”和桥接方案（方案C）直接相连。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六个候选标识性概念可以统一到这个装置之下</w:t>
      </w:r>
      <w:r>
        <w:rPr>
          <w:rFonts w:ascii="Times New Roman" w:hAnsi="Times New Roman" w:eastAsia="宋体"/>
          <w:b w:val="0"/>
          <w:sz w:val="22"/>
        </w:rPr>
        <w:t>：规则对接、发展空间托底、互补性叠加、关系型多边主义、区域转译者、互联互通治理，分别对应“松动三元悖论”的不同技术。这让概念体系有了一个共同的分析骨架。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一、查新：我们站在谁的肩膀上，又和谁撞车了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1.1 三条相关文献脉络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脉络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代表文献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核心主张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与本命题的关系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① 广度—深度权衡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Downs, Rocke &amp; Barsoom 1998（*International Organization*）；Gilligan 2004（*International Organization*）；Bernauer等 2013（*Review of International Organizations*）；Chacha &amp; Nussipov 2022（*Journal of Common Market Studies*）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成员越多越难深化；但可以通过顺序吸纳成员（Downs等）或允许政策水平不同（Gilligan）缓解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直接前身</w:t>
            </w:r>
            <w:r>
              <w:rPr>
                <w:rFonts w:ascii="Times New Roman" w:hAnsi="Times New Roman" w:eastAsia="宋体"/>
                <w:b w:val="0"/>
                <w:sz w:val="19"/>
              </w:rPr>
              <w:t>。我们的第三个角“自主性”正是Gilligan的出路，但我们把它当作有代价的选项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② 宏观与政治经济三元悖论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Mundell—Fleming“不可能三角”；Rodrik（2000，2011）政治三元悖论（超级全球化、国家主权、民主）；Lewis 2024（*Global Studies Quarterly*）综述“开放—有效—自主”类三元悖论；Pascha 2019（*East Asian Community Review*）讨论区域层面的政策空间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三个目标最多兼得其二，程度可变、随时间变化、对不同国家约束不对称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形式上的同类</w:t>
            </w:r>
            <w:r>
              <w:rPr>
                <w:rFonts w:ascii="Times New Roman" w:hAnsi="Times New Roman" w:eastAsia="宋体"/>
                <w:b w:val="0"/>
                <w:sz w:val="19"/>
              </w:rPr>
              <w:t>。我们借用其结构，但分析单位从“国家政策”换成“治理架构”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③ 全球治理三元悖论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Stephen, Biedermann &amp; Langendonk 2026（*Global Policy*）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权威、广度、普遍性三者难以兼得；冷战后霸权使三者暂时兼容，美中竞争使三元悖论“复仇”；推导出“俱乐部世界”“交易世界”“薄治理世界”三种情景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最近、最直接的竞争性框架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，必须正面回应</w:t>
            </w:r>
          </w:p>
        </w:tc>
      </w:tr>
    </w:tbl>
    <w:p/>
    <w:p>
      <w:pPr>
        <w:ind w:left="454"/>
      </w:pPr>
      <w:r>
        <w:rPr>
          <w:rFonts w:ascii="Times New Roman" w:hAnsi="Times New Roman" w:eastAsia="楷体"/>
          <w:b w:val="0"/>
          <w:color w:val="404040"/>
          <w:sz w:val="21"/>
        </w:rPr>
        <w:t>说明：Stephen等人一文的全文因出版社限制未能读取，以上依据其公开摘要与检索结果。动笔前请务必通读原文，核对其“广度”的具体含义（议题范围还是其他维度）。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1.2 与Stephen等人框架的区别（差异化的关键）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Stephen等（2026）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本备忘录的再定位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三个角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权威、广度、普遍性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普遍性、深度、</w:t>
            </w:r>
            <w:r>
              <w:rPr>
                <w:rFonts w:ascii="Times New Roman" w:hAnsi="Times New Roman" w:eastAsia="宋体"/>
                <w:b/>
                <w:sz w:val="19"/>
              </w:rPr>
              <w:t>自主性（政策空间）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分析层级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全球治理整体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多层级：全球、区域、双边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，三元悖论在每层成立，架构是“角的分配”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驱动力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霸权与权力分配（美中竞争）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偏好异质性、执行能力、议题外部性的空间范围，以及权力分配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主要关切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世界秩序情景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全球南方的发展空间</w:t>
            </w:r>
            <w:r>
              <w:rPr>
                <w:rFonts w:ascii="Times New Roman" w:hAnsi="Times New Roman" w:eastAsia="宋体"/>
                <w:b w:val="0"/>
                <w:sz w:val="19"/>
              </w:rPr>
              <w:t>与新兴供给者的层级选择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区域的位置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情景之一（俱乐部）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核心变量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：区域是同质化偏好、提供执行、保留自主的制度技术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经验策略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情景推演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跨领域、跨时期的机构编码，加上区域锚点案例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一句话差异化</w:t>
      </w:r>
      <w:r>
        <w:rPr>
          <w:rFonts w:ascii="Times New Roman" w:hAnsi="Times New Roman" w:eastAsia="宋体"/>
          <w:b w:val="0"/>
          <w:sz w:val="22"/>
        </w:rPr>
        <w:t>：Stephen等人问“全球治理还能同时做到什么”，我们问“在全球治理做不到时，三个目标如何被分配到不同层级，这种分配对谁有利”。两者互补而非重复，你可以把他们的三种情景重新解释为“全球层占据了哪个角”，然后加上“区域层占据了哪个角”的第二维度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二、掰开揉碎：三元悖论到底在说什么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2.1 一个生活化的类比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设想一个年级要制定统一的作息与学习规则：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普遍性</w:t>
      </w:r>
      <w:r>
        <w:rPr>
          <w:rFonts w:ascii="Times New Roman" w:hAnsi="Times New Roman" w:eastAsia="宋体"/>
          <w:b w:val="0"/>
          <w:sz w:val="22"/>
        </w:rPr>
        <w:t>：全年级所有班级都参加；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深度</w:t>
      </w:r>
      <w:r>
        <w:rPr>
          <w:rFonts w:ascii="Times New Roman" w:hAnsi="Times New Roman" w:eastAsia="宋体"/>
          <w:b w:val="0"/>
          <w:sz w:val="22"/>
        </w:rPr>
        <w:t>：规则详细、严格，违反要受罚；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自主性</w:t>
      </w:r>
      <w:r>
        <w:rPr>
          <w:rFonts w:ascii="Times New Roman" w:hAnsi="Times New Roman" w:eastAsia="宋体"/>
          <w:b w:val="0"/>
          <w:sz w:val="22"/>
        </w:rPr>
        <w:t>：每个班可以按自己的情况调整。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三者很难同时做到：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全员参加又严格执行，就不能让各班自行调整（</w:t>
      </w:r>
      <w:r>
        <w:rPr>
          <w:rFonts w:ascii="Times New Roman" w:hAnsi="Times New Roman" w:eastAsia="宋体"/>
          <w:b/>
          <w:sz w:val="22"/>
        </w:rPr>
        <w:t>普遍＋深度，牺牲自主</w:t>
      </w:r>
      <w:r>
        <w:rPr>
          <w:rFonts w:ascii="Times New Roman" w:hAnsi="Times New Roman" w:eastAsia="宋体"/>
          <w:b w:val="0"/>
          <w:sz w:val="22"/>
        </w:rPr>
        <w:t>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严格执行又允许各班调整，往往只有理念相近的几个班愿意加入（</w:t>
      </w:r>
      <w:r>
        <w:rPr>
          <w:rFonts w:ascii="Times New Roman" w:hAnsi="Times New Roman" w:eastAsia="宋体"/>
          <w:b/>
          <w:sz w:val="22"/>
        </w:rPr>
        <w:t>深度＋自主，牺牲普遍</w:t>
      </w:r>
      <w:r>
        <w:rPr>
          <w:rFonts w:ascii="Times New Roman" w:hAnsi="Times New Roman" w:eastAsia="宋体"/>
          <w:b w:val="0"/>
          <w:sz w:val="22"/>
        </w:rPr>
        <w:t>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全员参加又各自调整，规则只能写成原则性的倡议（</w:t>
      </w:r>
      <w:r>
        <w:rPr>
          <w:rFonts w:ascii="Times New Roman" w:hAnsi="Times New Roman" w:eastAsia="宋体"/>
          <w:b/>
          <w:sz w:val="22"/>
        </w:rPr>
        <w:t>普遍＋自主，牺牲深度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多层级的解法</w:t>
      </w:r>
      <w:r>
        <w:rPr>
          <w:rFonts w:ascii="Times New Roman" w:hAnsi="Times New Roman" w:eastAsia="宋体"/>
          <w:b w:val="0"/>
          <w:sz w:val="22"/>
        </w:rPr>
        <w:t>：年级层面只定几条人人遵守的底线（普遍、浅），各班内部再制定严格而合身的班规（深、自主）。这就是“全球薄、区域厚”的架构。代价是：班与班之间规则不同，转班的学生会无所适从（碎片化与协调成本）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2.2 三个角的精确定义与测量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角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可测量的指标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现成数据或工具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普遍性（U）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规则覆盖的范围与非歧视程度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成员数占全球国家数或GDP的比例；是否开放加入；是否适用最惠国或非歧视原则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国际组织成员数据（COW国际组织数据）；协定成员与加入条款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深度（D）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规则对成员行为约束的强度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法律化三维度：义务性、精确性、授权程度（Abbott等 2000）；边境后规则的覆盖范围；争端解决与执行机制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DESTA协定设计数据库（深度指数）；Hooghe与Marks的国际权威测量（授权与汇集）；条款编码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自主性（A）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成员保留自行设定规则的空间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保留条款、例外与免责条款、特殊与差别待遇条款数量、选择退出、差异化义务、规制自主保障条款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Koremenos的灵活性编码思路；TAPED数字贸易数据库中的规制自主条款；WTO特殊与差别待遇条款清单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一个容易出错的测量细节</w:t>
      </w:r>
      <w:r>
        <w:rPr>
          <w:rFonts w:ascii="Times New Roman" w:hAnsi="Times New Roman" w:eastAsia="宋体"/>
          <w:b w:val="0"/>
          <w:sz w:val="22"/>
        </w:rPr>
        <w:t>：自主性要明确“谁的自主”。例如中国的双边开发贷款，对借款国几乎不附加经济政策条件（借款国政策自主高），但合同条款可能相当严格（如抵押与保密安排，见AidData等对中国贷款合同的研究）。因此要区分</w:t>
      </w:r>
      <w:r>
        <w:rPr>
          <w:rFonts w:ascii="Times New Roman" w:hAnsi="Times New Roman" w:eastAsia="宋体"/>
          <w:b/>
          <w:sz w:val="22"/>
        </w:rPr>
        <w:t>规则深度</w:t>
      </w:r>
      <w:r>
        <w:rPr>
          <w:rFonts w:ascii="Times New Roman" w:hAnsi="Times New Roman" w:eastAsia="宋体"/>
          <w:b w:val="0"/>
          <w:sz w:val="22"/>
        </w:rPr>
        <w:t>（对政策的约束）与</w:t>
      </w:r>
      <w:r>
        <w:rPr>
          <w:rFonts w:ascii="Times New Roman" w:hAnsi="Times New Roman" w:eastAsia="宋体"/>
          <w:b/>
          <w:sz w:val="22"/>
        </w:rPr>
        <w:t>契约严格性</w:t>
      </w:r>
      <w:r>
        <w:rPr>
          <w:rFonts w:ascii="Times New Roman" w:hAnsi="Times New Roman" w:eastAsia="宋体"/>
          <w:b w:val="0"/>
          <w:sz w:val="22"/>
        </w:rPr>
        <w:t>（对还款的约束），否则会得出相反的结论。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2.3 三个角为什么互相冲突：三条机制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机制一：偏好异质性（普遍＋深度 → 牺牲自主）。</w:t>
      </w:r>
      <w:r>
        <w:rPr>
          <w:rFonts w:ascii="Times New Roman" w:hAnsi="Times New Roman" w:eastAsia="宋体"/>
          <w:b w:val="0"/>
          <w:sz w:val="22"/>
        </w:rPr>
        <w:t xml:space="preserve"> 成员越多，偏好差异越大。要在差异很大的成员间维持严格统一的规则，只能要求所有人向同一标准调整，于是自主空间被压缩。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例：WTO上诉机构鼎盛期的“一揽子承诺”加强制性争端解决；结构调整时期附加统一政策条件的国际金融机构贷款。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机制二：执行与信任（深度＋自主 → 牺牲普遍）。</w:t>
      </w:r>
      <w:r>
        <w:rPr>
          <w:rFonts w:ascii="Times New Roman" w:hAnsi="Times New Roman" w:eastAsia="宋体"/>
          <w:b w:val="0"/>
          <w:sz w:val="22"/>
        </w:rPr>
        <w:t xml:space="preserve"> 深度规则需要可信的执行；允许成员保留自主又要维持深度，就必须挑选偏好相近、彼此信任的成员，把其他国家排除在外。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例：欧盟单一市场；《全面与进步跨太平洋伙伴关系协定》（CPTPP）的高标准加严格的加入程序。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机制三：规则稀释（普遍＋自主 → 牺牲深度）。</w:t>
      </w:r>
      <w:r>
        <w:rPr>
          <w:rFonts w:ascii="Times New Roman" w:hAnsi="Times New Roman" w:eastAsia="宋体"/>
          <w:b w:val="0"/>
          <w:sz w:val="22"/>
        </w:rPr>
        <w:t xml:space="preserve"> 既要人人参加，又允许各自决定，共同规则只能停留在程序性和原则性层面。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例：《巴黎协定》的国家自主贡献；联合国2030年可持续发展议程。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2.4 关键推进：多层级如何“松动”三元悖论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单一层级内三者不可兼得，但一个治理架构可以把不同的角分配给不同层级：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架构类型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全球层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区域层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典型领域（举例）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全球深层主导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普遍＋深度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弱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WTO鼎盛期、布雷顿森林体系早期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南方国家政策空间受压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全球薄、区域厚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普遍＋自主（薄）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深度＋自主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当前的贸易（WTO加区域与诸边协定）、气候（《巴黎协定》加区域碳市场）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规则碎片化、“意大利面碗”、歧视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俱乐部并列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弱或缺位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若干个深度＋自主的俱乐部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地缘阵营化的技术与数字规则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阵营对立、第三方被迫选边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分层安全网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普遍＋深度（附条件）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自主（附条件较少）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金融：IMF加清迈倡议多边化与双边货币互换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道德风险、协调困难（Liu与Pang 2026）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由此可以把“全球—区域关系”重新定义为：</w:t>
      </w:r>
      <w:r>
        <w:rPr>
          <w:rFonts w:ascii="Times New Roman" w:hAnsi="Times New Roman" w:eastAsia="宋体"/>
          <w:b/>
          <w:sz w:val="22"/>
        </w:rPr>
        <w:t>三个治理目标在不同层级之间的分配方式。</w:t>
      </w:r>
      <w:r>
        <w:rPr>
          <w:rFonts w:ascii="Times New Roman" w:hAnsi="Times New Roman" w:eastAsia="宋体"/>
          <w:b w:val="0"/>
          <w:sz w:val="22"/>
        </w:rPr>
        <w:t xml:space="preserve"> 前一份备忘录提出的“嵌套、下载、上传、叠加、替代、竞争、区域间对接”七种关系，都可以理解为这种分配随时间的调整过程。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但多层级不是免费午餐。</w:t>
      </w:r>
      <w:r>
        <w:rPr>
          <w:rFonts w:ascii="Times New Roman" w:hAnsi="Times New Roman" w:eastAsia="宋体"/>
          <w:b w:val="0"/>
          <w:sz w:val="22"/>
        </w:rPr>
        <w:t xml:space="preserve"> 它引入了第四个约束：</w:t>
      </w:r>
      <w:r>
        <w:rPr>
          <w:rFonts w:ascii="Times New Roman" w:hAnsi="Times New Roman" w:eastAsia="宋体"/>
          <w:b/>
          <w:sz w:val="22"/>
        </w:rPr>
        <w:t>层级之间的协调与一致性</w:t>
      </w:r>
      <w:r>
        <w:rPr>
          <w:rFonts w:ascii="Times New Roman" w:hAnsi="Times New Roman" w:eastAsia="宋体"/>
          <w:b w:val="0"/>
          <w:sz w:val="22"/>
        </w:rPr>
        <w:t>。层级越多、规则越不同，界面冲突越多。Kreuder-Sonnen、Schmotz与Zürn（2025，*European Journal of International Relations*）的冲突模型指出，复合体的效果取决于界面冲突如何被管理；Panke等（2024，*Global Studies Quarterly*）则发现国家会以退出区域组织来应对区域层的复杂性。这一点要写进理论，否则审稿人会质疑“区域是万能解”。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三、把直觉写成理论：一个最简模型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不必追求数理深度，目标是推出清晰、可检验的比较静态命题。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设定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有N个国家，各自理想政策为θᵢ，其离散程度为σ（偏好异质性）。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机构设定共同规则x、深度d（偏离规则的惩罚强度）和灵活度f（允许偏离的幅度）。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成员的收益来自合作规模和深度：G(n, d)，随参与国数n和深度d递增（规模经济、外部性内部化）。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成员的成本来自向共同规则调整：d × max(0, |x−θᵢ|−f)²，即只有超出灵活区间的偏离才受深度约束。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灵活度有“泄漏”代价：f越大，合作的有效深度越低，即收益变为G(n, d·(1−λf))。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国家只有在收益不低于成本时才参加（参与约束），参与国数n由此内生决定。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比较静态命题（可以严格证明，也可以先用数值模拟展示）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命题1（广度—深度权衡）</w:t>
      </w:r>
      <w:r>
        <w:rPr>
          <w:rFonts w:ascii="Times New Roman" w:hAnsi="Times New Roman" w:eastAsia="宋体"/>
          <w:b w:val="0"/>
          <w:sz w:val="22"/>
        </w:rPr>
        <w:t>：给定f，提高d会使偏离较大的国家退出，n下降。这复现了Downs等人的结论。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命题2（灵活性的双刃）</w:t>
      </w:r>
      <w:r>
        <w:rPr>
          <w:rFonts w:ascii="Times New Roman" w:hAnsi="Times New Roman" w:eastAsia="宋体"/>
          <w:b w:val="0"/>
          <w:sz w:val="22"/>
        </w:rPr>
        <w:t>：提高f可以让更多国家留在机构内（缓解命题1，这是Gilligan的出路），但会降低有效深度。这就是第三个角的代价。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命题3（异质性放大三元悖论）</w:t>
      </w:r>
      <w:r>
        <w:rPr>
          <w:rFonts w:ascii="Times New Roman" w:hAnsi="Times New Roman" w:eastAsia="宋体"/>
          <w:b w:val="0"/>
          <w:sz w:val="22"/>
        </w:rPr>
        <w:t>：σ越大，在(n, d, f)三者之间可以同时达到的边界越向内收缩。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命题4（区域分组的作用）</w:t>
      </w:r>
      <w:r>
        <w:rPr>
          <w:rFonts w:ascii="Times New Roman" w:hAnsi="Times New Roman" w:eastAsia="宋体"/>
          <w:b w:val="0"/>
          <w:sz w:val="22"/>
        </w:rPr>
        <w:t>：如果按地理或经济联系把国家分成若干区域，区域内σ较小，区域机构可以在较高的d与f上维持较高的区域内参与。这就是“全球薄、区域厚”的微观基础，与Alesina与Spolaore的“国家规模”理论、Oates的财政分权定理同一逻辑：</w:t>
      </w:r>
      <w:r>
        <w:rPr>
          <w:rFonts w:ascii="Times New Roman" w:hAnsi="Times New Roman" w:eastAsia="宋体"/>
          <w:b/>
          <w:sz w:val="22"/>
        </w:rPr>
        <w:t>规模经济与偏好异质性之间的权衡，决定公共产品在哪一级供给。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命题5（外部性范围）</w:t>
      </w:r>
      <w:r>
        <w:rPr>
          <w:rFonts w:ascii="Times New Roman" w:hAnsi="Times New Roman" w:eastAsia="宋体"/>
          <w:b w:val="0"/>
          <w:sz w:val="22"/>
        </w:rPr>
        <w:t>：当议题的外部性主要发生在区域内部（如跨境河流、区域电网），深度宜放在区域层；当外部性是全球性的（如气候、金融传染），区域层的深度会因“泄漏”而效果有限，需要全球层至少维持薄的普遍规则。这一命题与LSE 2024年Peng Wan的博士论文（外部性、规模经济、成本结构与偏好异质性决定权威配置）直接对话：</w:t>
      </w:r>
      <w:r>
        <w:rPr>
          <w:rFonts w:ascii="Times New Roman" w:hAnsi="Times New Roman" w:eastAsia="宋体"/>
          <w:b/>
          <w:sz w:val="22"/>
        </w:rPr>
        <w:t>他回答“应该放在哪一级”，你回答“实际上为何、由谁、以什么代价放在哪一级”。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四、可检验的假设（博士论文的经验主干）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假设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检验思路</w:t>
            </w:r>
          </w:p>
        </w:tc>
        <w:tc>
          <w:tcPr>
            <w:tcW w:type="dxa" w:w="2436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主要数据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H1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区域内偏好与经济结构越同质，区域机构越深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区域组织或区域协定层面的面板，异质性用联大投票距离、经济结构差异测量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DESTA；联大投票理想点（Bailey等）；Jetschke等（2026）的区域组织协定相似度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H2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全球层深度受冲击（如上诉机构停摆、霸权退出）后，区域与诸边层的深度化加速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事件研究或交错DID：冲击前后新签协定的深度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DESTA；WTO区域贸易协定数据库；MPIA成员（Pelc 2025）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H3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深度越高的机构，给予发展中成员的自主性工具（特殊与差别待遇、过渡期、例外）越多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条款编码后的机构层面回归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协定文本编码；WTO特殊与差别待遇条款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H4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区域或双边安全网可得性越高，国家在危机中求助IMF的概率越低、维持资本管制与逆周期政策的可能越大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国家—年份面板，以安全网可得性为解释变量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IMF项目数据；双边货币互换协议数据（Liu与Pang 2026）；清迈倡议多边化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H5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新兴供给者在偏好异质性高的伙伴群体中倾向“普遍＋自主”的组合，在同质群体中倾向深度更高的安排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中国各类供给工具（双边贷款、货币互换、亚投行、新开发银行、全球发展倡议项目）的层级与条款比较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AidData；中国主导机构设计（Wang、Dijkstra与Lo 2026的定性比较分析）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H6（动态）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机构会在三角形中“迁移”：重大冲击后，机构移向成本最低的角，而非恢复原位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机构—年份三维坐标的轨迹分析</w:t>
            </w:r>
          </w:p>
        </w:tc>
        <w:tc>
          <w:tcPr>
            <w:tcW w:type="dxa" w:w="2436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自建的“三元悖论坐标数据集”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这项研究的标志性图形</w:t>
      </w:r>
      <w:r>
        <w:rPr>
          <w:rFonts w:ascii="Times New Roman" w:hAnsi="Times New Roman" w:eastAsia="宋体"/>
          <w:b w:val="0"/>
          <w:sz w:val="22"/>
        </w:rPr>
        <w:t>：把每个机构在每个时点的(U, D, A)画在三角坐标图上，画出1990—2026年的移动轨迹。例如：WTO从“普遍＋深度”向“普遍＋薄”的漂移；气候机制从京都向巴黎的移动；东亚金融安排从无到“自主＋逐步加深”。一张这样的图，可能就是你“被同行记住”的那张图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五、六个领域的案例图谱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下表是初步判断，用于选案和设计编码，具体细节需逐项核实。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全球层的轨迹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区域与诸边层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中国的位置与做法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研究价值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贸易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GATT（成员较少、例外较多）→ WTO（普遍＋深度：一揽子承诺与上诉机构）→ 2019年底上诉机构停摆后深度受损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区域全面经济伙伴关系协定（RCEP，2022年生效）、CPTPP；联合声明倡议与MPIA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RCEP成员；MPIA参加方；申请加入CPTPP与《数字经济伙伴关系协定》（DEPA）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数据最丰富，最适合做大样本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金融安全网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IMF：普遍＋深度（条件性）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清迈倡议多边化（与IMF挂钩的比例逐步下调）；美联储互换网络；中国人民银行双边互换网络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庞大的双边互换网络；参与清迈倡议多边化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建议作为主战场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：层级清楚、数据可得、与国际公共产品主线吻合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发展融资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世界银行：普遍＋深度（保障政策与条件）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区域开发银行；亚投行、新开发银行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创建亚投行与新开发银行，同时大量双边贷款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“新旧机构关系”的天然实验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气候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《京都议定书》（附件一国家深度承诺，普遍性不足）→《巴黎协定》（普遍＋自主，深度主要靠透明度框架）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区域碳市场、欧盟碳边境调节机制（单边规则外溢）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自主贡献；南南合作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最清晰的“角点迁移”案例，适合作为样本外检验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卫生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《国际卫生条例（2005）》约束力有限；2024年修订；2025年世界卫生大会通过《大流行协定》，病原体获取与惠益分享附件仍在谈判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非盟、东盟等区域卫生机制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参与世卫组织框架与南南卫生合作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普遍性受主要国家退出冲击（美国宣布退出世卫组织）的案例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税收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OECD/G20包容性框架与“支柱二”全球最低税（深度较高，主要国家的参与与豁免存在争议）；联合国国际税收合作框架公约谈判（更强调普遍性与发展中国家的发言权）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区域层较弱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参与包容性框架，但国内立法进度受关注（JIEL 2025）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“两条全球路径之争”：OECD偏深度，联合国偏普遍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数字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WTO电子商务联合声明倡议（诸边）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DEPA（模块化，允许按模块加入）；RCEP电子商务章节（保留较多规制自主）；欧盟数据规则外溢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申请加入DEPA；强调数据主权与发展导向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模块化</w:t>
            </w:r>
            <w:r>
              <w:rPr>
                <w:rFonts w:ascii="Times New Roman" w:hAnsi="Times New Roman" w:eastAsia="宋体"/>
                <w:b w:val="0"/>
                <w:sz w:val="19"/>
              </w:rPr>
              <w:t>是化解三元悖论的新技术，值得单独成章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六、把六个标识性概念统一到这个装置之下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三元悖论提供了一个共同问题：</w:t>
      </w:r>
      <w:r>
        <w:rPr>
          <w:rFonts w:ascii="Times New Roman" w:hAnsi="Times New Roman" w:eastAsia="宋体"/>
          <w:b/>
          <w:sz w:val="22"/>
        </w:rPr>
        <w:t>怎样在不可兼得的三个目标之间争取更好的组合？</w:t>
      </w:r>
      <w:r>
        <w:rPr>
          <w:rFonts w:ascii="Times New Roman" w:hAnsi="Times New Roman" w:eastAsia="宋体"/>
          <w:b w:val="0"/>
          <w:sz w:val="22"/>
        </w:rPr>
        <w:t xml:space="preserve"> 六个概念分别是六种“松动技术”：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松动三元悖论的方式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可检验的含义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规则对接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用互认、等效、互操作，在保留自主的同时获得部分深度的好处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对接层级（第2—4级）越高，参与国在保持规则差异的情况下贸易或合作收益越大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发展空间托底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在区域层保留自主，抵御全球层深度规则的压力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区域安全网与区域协定的灵活条款越多，成员在冲击下维持产业与逆周期政策的能力越强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互补性叠加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不改造旧机构，而是在另一个角新建机构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新机构的定位与旧机构“错角”时，更可能合作而非竞争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关系型多边主义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以关系密度替代法律深度，在普遍＋自主的条件下仍维持一定的执行力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在法律化程度低的区域，关系网络越密，合作落实越好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区域转译者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把全球层的深度规则转化为区域与国家层的自主实施方案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双重嵌入的转译者越多，全球规则在本地的落实率越高、变形越少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互联互通治理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通过长期的基础设施、规则与人员联通，</w:t>
            </w:r>
            <w:r>
              <w:rPr>
                <w:rFonts w:ascii="Times New Roman" w:hAnsi="Times New Roman" w:eastAsia="宋体"/>
                <w:b/>
                <w:sz w:val="19"/>
              </w:rPr>
              <w:t>内生地降低偏好异质性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，从而外移三元悖论的边界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联通程度越高，后续区域机构的深化越容易（动态检验）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最后一条尤其值得重视：</w:t>
      </w:r>
      <w:r>
        <w:rPr>
          <w:rFonts w:ascii="Times New Roman" w:hAnsi="Times New Roman" w:eastAsia="宋体"/>
          <w:b/>
          <w:sz w:val="22"/>
        </w:rPr>
        <w:t>多数理论把偏好异质性当作给定，而互联互通可能改变它。</w:t>
      </w:r>
      <w:r>
        <w:rPr>
          <w:rFonts w:ascii="Times New Roman" w:hAnsi="Times New Roman" w:eastAsia="宋体"/>
          <w:b w:val="0"/>
          <w:sz w:val="22"/>
        </w:rPr>
        <w:t xml:space="preserve"> 如果能证明联通降低异质性、进而使区域深化成为可能，就是一个有分量的理论推进，也与中国的实践经验直接相关。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七、中国视角与自主知识：可以怎样讲而不变成口号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7.1 一个可检验的刻画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中国的全球治理主张，“以联合国为核心”接近普遍性，“共商共建共享”接近自主性，项目制、伙伴关系与软法化的推进方式意味着法律深度相对较低。可以概括为：</w:t>
      </w:r>
      <w:r>
        <w:rPr>
          <w:rFonts w:ascii="Times New Roman" w:hAnsi="Times New Roman" w:eastAsia="宋体"/>
          <w:b/>
          <w:sz w:val="22"/>
        </w:rPr>
        <w:t>偏向“普遍＋自主”的角，并以关系与项目来部分替代法律深度。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这不是价值判断，而是一个可检验的命题：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它预测中国主导的安排在成员包容性和政策条件上更宽松（可用Wang、Dijkstra与Lo 2026的20余个机构编码检验）；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它也预测在需要高度协调的问题上（如主权债务重组的多方协调）会面临深度不足的挑战（可对照RIPE 2025关于中国参与债务重组“曲折过程”的研究）。</w:t>
      </w:r>
    </w:p>
    <w:p>
      <w:pPr>
        <w:ind w:firstLine="440"/>
      </w:pPr>
      <w:r>
        <w:rPr>
          <w:rFonts w:ascii="Times New Roman" w:hAnsi="Times New Roman" w:eastAsia="宋体"/>
          <w:b/>
          <w:sz w:val="22"/>
        </w:rPr>
        <w:t>同时呈现优势和代价</w:t>
      </w:r>
      <w:r>
        <w:rPr>
          <w:rFonts w:ascii="Times New Roman" w:hAnsi="Times New Roman" w:eastAsia="宋体"/>
          <w:b w:val="0"/>
          <w:sz w:val="22"/>
        </w:rPr>
        <w:t>，才是学术研究而非政策宣传，也才能被国际同行接受。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7.2 一个候选的标识性概念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在此基础上，可以考虑提出“</w:t>
      </w:r>
      <w:r>
        <w:rPr>
          <w:rFonts w:ascii="Times New Roman" w:hAnsi="Times New Roman" w:eastAsia="宋体"/>
          <w:b/>
          <w:sz w:val="22"/>
        </w:rPr>
        <w:t>发展兼容型多边主义</w:t>
      </w:r>
      <w:r>
        <w:rPr>
          <w:rFonts w:ascii="Times New Roman" w:hAnsi="Times New Roman" w:eastAsia="宋体"/>
          <w:b w:val="0"/>
          <w:sz w:val="22"/>
        </w:rPr>
        <w:t>”（development-compatible multilateralism）：一种以普遍参与和政策自主为优先、以关系与项目替代部分法律深度、并以发展绩效为合法性来源的多边主义形态。它对应三元悖论中的一个角，有明确的种差（区别于Ruggie式的基于普遍原则的多边主义、区别于俱乐部式多边主义），也有可测量的维度。</w:t>
      </w:r>
      <w:r>
        <w:rPr>
          <w:rFonts w:ascii="Times New Roman" w:hAnsi="Times New Roman" w:eastAsia="宋体"/>
          <w:b/>
          <w:sz w:val="22"/>
        </w:rPr>
        <w:t>提出前请务必查新</w:t>
      </w:r>
      <w:r>
        <w:rPr>
          <w:rFonts w:ascii="Times New Roman" w:hAnsi="Times New Roman" w:eastAsia="宋体"/>
          <w:b w:val="0"/>
          <w:sz w:val="22"/>
        </w:rPr>
        <w:t>，确认没有既有的相近用法。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7.3 与全球南方思想资源的对接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三元悖论中“自主性”一角，与南方国家长期主张的发展权、政策空间、特殊与差别待遇一脉相承。RIPE 2025关于“可持续发展主义的失落原则”、关于第三世界与政治自由去殖民化的研究，以及 *Annual Review of Political Science* 2026年《非西方的国际秩序构想》，都可以作为把“自主性”从技术变量提升为规范议题的思想资源。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八、博士论文蓝图（书稿式结构 + 每章可单独投稿）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8.1 题目方向（任选其一再打磨）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《分层的治理：全球—区域三元悖论与国际金融安全网的重构》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《普遍、深度与自主：全球与区域治理的层级分配》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*Scaling the Trilemma: How Global and Regional Institutions Divide the Work of Governance*</w:t>
      </w:r>
    </w:p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8.2 章节设计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章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单独成文</w:t>
            </w:r>
          </w:p>
        </w:tc>
        <w:tc>
          <w:tcPr>
            <w:tcW w:type="dxa" w:w="19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可复现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 导论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困惑：为何霸权收缩后全球治理没有崩溃，而是“变薄、分层、区域化”？谁从中受益？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 理论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多层级三元悖论：定义、三条机制、最简模型、命题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形式模型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中文顶刊（理论文章）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 测量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“三元悖论坐标数据集”：约60个全球、区域、诸边机构，1990—2026年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条款编码、文本分析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英文数据论文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 金融安全网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H4：安全网分层如何影响国家的政策自主（主战场）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面板、事件研究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英文实证论文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 贸易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H1—H3：全球深度受损后的区域深化与灵活性补偿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大样本、交错DID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英文或中文实证论文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✓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 区域锚点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东亚（或东盟）：清迈倡议多边化与RCEP如何在三角中定位，由谁推动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过程追踪、访谈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区域研究期刊或中文期刊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 样本外检验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气候与数字：从京都到巴黎；DEPA的模块化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比较案例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可合并为一篇比较文章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 结论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理论贡献、中国与全球南方的选择、政策含义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智库报告</w:t>
            </w:r>
          </w:p>
        </w:tc>
        <w:tc>
          <w:tcPr>
            <w:tcW w:type="dxa" w:w="19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/>
    <w:p>
      <w:pPr>
        <w:spacing w:before="120"/>
      </w:pPr>
      <w:r>
        <w:rPr>
          <w:rFonts w:ascii="Times New Roman" w:hAnsi="Times New Roman" w:eastAsia="黑体"/>
          <w:b/>
          <w:color w:val="2E5C8A"/>
          <w:sz w:val="25"/>
        </w:rPr>
        <w:t>8.3 区域锚点的选择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东亚/东盟</w:t>
      </w:r>
      <w:r>
        <w:rPr>
          <w:rFonts w:ascii="Times New Roman" w:hAnsi="Times New Roman" w:eastAsia="宋体"/>
          <w:b w:val="0"/>
          <w:sz w:val="22"/>
        </w:rPr>
        <w:t>（推荐）：清迈倡议多边化、RCEP、东盟方式，材料丰富，与中国关系密切，Grimes等（2023，*IRAP*）和Hofmann与Yeo（2023，*EJIR*）已提供亚洲机制复合体的研究基础。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中亚</w:t>
      </w:r>
      <w:r>
        <w:rPr>
          <w:rFonts w:ascii="Times New Roman" w:hAnsi="Times New Roman" w:eastAsia="宋体"/>
          <w:b w:val="0"/>
          <w:sz w:val="22"/>
        </w:rPr>
        <w:t>：上合组织、中国—中亚机制、欧亚经济联盟并存，多层级重叠明显，但数据较少。</w:t>
      </w:r>
    </w:p>
    <w:p>
      <w:pPr>
        <w:pStyle w:val="ListBullet"/>
      </w:pPr>
      <w:r>
        <w:rPr>
          <w:rFonts w:ascii="Times New Roman" w:hAnsi="Times New Roman" w:eastAsia="宋体"/>
          <w:b/>
          <w:sz w:val="22"/>
        </w:rPr>
        <w:t>非洲</w:t>
      </w:r>
      <w:r>
        <w:rPr>
          <w:rFonts w:ascii="Times New Roman" w:hAnsi="Times New Roman" w:eastAsia="宋体"/>
          <w:b w:val="0"/>
          <w:sz w:val="22"/>
        </w:rPr>
        <w:t>：非盟与非洲大陆自贸区的“有条件最惠国”（*World Trade Review* 2023）是化解三元悖论的有趣案例，但需要相应的语言与田野准备。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九、审稿人可能的质疑与回应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质疑</w:t>
            </w:r>
          </w:p>
        </w:tc>
        <w:tc>
          <w:tcPr>
            <w:tcW w:type="dxa" w:w="4873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回应思路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“三元悖论不可证伪，只是分类框架”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给出可观测的边界：同时高于某个阈值的(U, D, A)组合在数据中不应出现或不可持续；并用H1—H6的比较静态检验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“这不就是广度—深度权衡吗？”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说明Gilligan的出路正是第三个角，并证明这条出路有可测量的代价（碎片化、歧视、有效深度下降）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“Stephen等人已经提出了”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承认并对话：他们的角不同，关注单一层级与霸权；我们关注多层级分配与发展空间，可以把他们的三种情景嵌入我们的二维架构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“三个角的测量是内生的”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以条款文本为主的事前设计测量，并利用外生冲击（上诉机构停摆、亚洲金融危机、美国退出）做识别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“区域被浪漫化了”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理论中纳入层级协调成本与区域内部等级（区域可能复制中心—外围结构）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“规范与实证混在一起”</w:t>
            </w:r>
          </w:p>
        </w:tc>
        <w:tc>
          <w:tcPr>
            <w:tcW w:type="dxa" w:w="4873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明确区分：实证部分解释分配为何如此；规范部分讨论分配对谁有利，分开论证</w:t>
            </w:r>
          </w:p>
        </w:tc>
      </w:tr>
    </w:tbl>
    <w:p/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十、扩展学术视野：相邻领域值得借鉴的理论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关键文献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可以借来做什么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财政联邦主义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Oates《财政联邦主义》（1972）的分权定理；Alesina与Spolaore《国家的规模》（2003）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规模经济与偏好异质性的权衡，是“哪一级供给”的经济学基础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俱乐部与公共产品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Buchanan（1965）俱乐部理论；Barrett《为何合作？》（2007）；Kaul等《全球公共产品》（1999）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排他性与供给规模；全球公共产品的分类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多中心治理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Ostrom《公共事物的治理之道》（1990）及其诺贝尔演讲（*American Economic Review* 2010）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多中心未必等于碎片化，可以是适应性优势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多层级治理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Hooghe与Marks（2003，*American Political Science Review*）区分第一类与第二类多层级治理；Hooghe、Lenz与Marks《国际组织理论》（2019）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区域组织（共同体型）与全球组织（契约型）的不同逻辑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法律化与制度设计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Abbott等（2000，*International Organization*）法律化三维度；Koremenos、Lipson与Snidal（2001）；Rosendorff与Milner（2001）关于免责条款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深度与灵活性的测量与理论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差异化一体化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Schimmelfennig与Winzen关于欧盟差异化一体化的系列研究；*JCMS* 2023、2024相关论文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自主性的制度形式（多速、选择退出、差异化实施）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实验主义治理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Sabel与Zeitlin关于实验主义治理的研究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以框架目标加地方试验化解深度与自主的冲突，与中国“先行先试”可以对话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规制竞争与外溢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Bradford《布鲁塞尔效应》（2020）；Ylönen（2025，*JCMS*）的再概念化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单边或区域规则如何成为事实上的全球规则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机制复合体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Alter与Raustiala（2018，*Annual Review of Law and Social Science*）；Kreuder-Sonnen与Zürn关于界面冲突的研究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层级之间的协调成本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经济学的地缘经济理论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Clayton、Maggiori与Schreger关于经济胁迫与碎片化的理论；Mattoo、Ruta与Staiger（NBER 2024）关于地缘政治与世界贸易体系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把权力与胁迫纳入三元悖论模型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国内学界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国内关于区域性国际公共产品、东亚地区合作、新地区主义、国际公共产品的中国供给等研究（请系统检索《世界经济与政治》《当代亚太》等刊）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中文文献对话与本土概念资源</w:t>
            </w:r>
          </w:p>
        </w:tc>
      </w:tr>
    </w:tbl>
    <w:p/>
    <w:p>
      <w:pPr>
        <w:ind w:left="454"/>
      </w:pPr>
      <w:r>
        <w:rPr>
          <w:rFonts w:ascii="Times New Roman" w:hAnsi="Times New Roman" w:eastAsia="楷体"/>
          <w:b w:val="0"/>
          <w:color w:val="404040"/>
          <w:sz w:val="21"/>
        </w:rPr>
        <w:t>以上书目的出版年份与刊次，引用前请逐一核对。</w:t>
      </w:r>
    </w:p>
    <w:p>
      <w:pPr>
        <w:spacing w:before="240"/>
      </w:pPr>
      <w:r>
        <w:rPr>
          <w:rFonts w:ascii="Times New Roman" w:hAnsi="Times New Roman" w:eastAsia="黑体"/>
          <w:b/>
          <w:color w:val="1F4E79"/>
          <w:sz w:val="30"/>
        </w:rPr>
        <w:t>十一、我们怎样一起推进（建议的下一步）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你来做</w:t>
            </w:r>
          </w:p>
        </w:tc>
        <w:tc>
          <w:tcPr>
            <w:tcW w:type="dxa" w:w="3249"/>
            <w:shd w:val="clear" w:fill="1F4E79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我可以协助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 精读竞争文献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通读Stephen等（2026）、Lewis（2024）、Gilligan（2004）、Downs等（1998）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为每篇做“论证图”和与本命题的逐点对照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 定主战场与区域锚点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决定金融或贸易为主，选定东亚、中亚或非洲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列出该领域机构清单与可得数据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 试点编码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选10个机构，试编(U, D, A)三个维度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起草编码手册初稿，抓取机构文本与成员数据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 最简模型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与导师讨论模型设定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写出模型推导与数值模拟代码，画出可行边界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 理论文章初稿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写出引言与理论部分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按引言五段结构逐段修改，检查与竞争文献的区分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6 持续追踪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每季度浏览一次文献库更新</w:t>
            </w:r>
          </w:p>
        </w:tc>
        <w:tc>
          <w:tcPr>
            <w:tcW w:type="dxa" w:w="32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用已建好的抓取流程按季度更新文献库</w:t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  <w:b/>
          <w:sz w:val="22"/>
        </w:rPr>
        <w:t>最需要你先回答的两个问题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1. 主战场选金融安全网还是贸易？（我的建议是金融，理由见第五节）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2. 区域锚点选哪里？（我的建议是东亚/东盟，理由见第八节）</w:t>
      </w:r>
    </w:p>
    <w:p>
      <w:pPr>
        <w:ind w:firstLine="440"/>
      </w:pPr>
      <w:r>
        <w:rPr>
          <w:rFonts w:ascii="Times New Roman" w:hAnsi="Times New Roman" w:eastAsia="宋体"/>
          <w:b w:val="0"/>
          <w:sz w:val="22"/>
        </w:rPr>
        <w:t>确定之后，我们就可以从第3步的试点编码开始，把这个命题变成数据。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