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如何提出好问题、如何写好文章：区域国别学（全球与区域治理）博士生手册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参照南京大学LAMDA“科研入门指南”的框架（找论文—读论文—想Idea—汇报—写作各部分—Rebuttal），结合管理学顶刊引言写作的经典方法与国际关系/IPE写作惯例改写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例子取自七刊830篇拆解与海外博士论文样本，以及你的“国际公共产品供给”主线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写在前面：这份手册的来源与边界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LAMDA“科研入门指南”（郭兰哲等）的正文托管在飞书，需要登录，我只能看到目录。本手册借用它的流程框架，内容则改写到社会科学。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你提供的《顶刊论文引言写作指南》是你本机的文件，我无法读取。这里的引言部分依据的是这类指南通常所本的公开文献：Grant与Pollock在AMJ发表的引言写作社论（2011），Locke与Golden-Biddle关于“构建贡献机会”的研究（1997），Alvesson与Sandberg关于“问题化”的研究（2011），以及Davis的《That's Interesting!》（1971）。如果你那份指南有不同的结构，请以它为准，并把差异告诉我。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LAMDA指南致谢中列出的理工科经验，如Hamming的“You and Your Research”、周志华《做研究与写论文》、彭思达的科研经验文档，也被吸收进“想问题”部分。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第一部分 如何提出好问题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一、问题、话题与困惑的区别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博士生最常见的问题，是只有</w:t>
      </w:r>
      <w:r>
        <w:rPr>
          <w:rFonts w:ascii="Times New Roman" w:hAnsi="Times New Roman" w:eastAsia="宋体"/>
          <w:b/>
          <w:sz w:val="22"/>
        </w:rPr>
        <w:t>话题</w:t>
      </w:r>
      <w:r>
        <w:rPr>
          <w:rFonts w:ascii="Times New Roman" w:hAnsi="Times New Roman" w:eastAsia="宋体"/>
          <w:b w:val="0"/>
          <w:sz w:val="22"/>
        </w:rPr>
        <w:t>，没有</w:t>
      </w: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能写成论文吗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话题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中国与全球治理；亚投行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不能，只是一个领域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问题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亚投行如何影响世界银行？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勉强可以，但答案往往是描述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困惑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按竞争理论，新机构会挤压旧机构，为何亚投行与世界银行的联合融资反而最多？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可以，有张力、有待解释的结果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困惑（puzzle）</w:t>
      </w:r>
      <w:r>
        <w:rPr>
          <w:rFonts w:ascii="Times New Roman" w:hAnsi="Times New Roman" w:eastAsia="宋体"/>
          <w:b w:val="0"/>
          <w:sz w:val="22"/>
        </w:rPr>
        <w:t>的标志是：</w:t>
      </w:r>
      <w:r>
        <w:rPr>
          <w:rFonts w:ascii="Times New Roman" w:hAnsi="Times New Roman" w:eastAsia="宋体"/>
          <w:b/>
          <w:sz w:val="22"/>
        </w:rPr>
        <w:t>按照现有理论或常识，我们本来预期A，但观察到的是B。</w:t>
      </w:r>
      <w:r>
        <w:rPr>
          <w:rFonts w:ascii="Times New Roman" w:hAnsi="Times New Roman" w:eastAsia="宋体"/>
          <w:b w:val="0"/>
          <w:sz w:val="22"/>
        </w:rPr>
        <w:t xml:space="preserve"> 有了这种张力，读者才会想知道答案。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二、七种困惑来源（与《思路拆解表》的“困惑类型”一一对应）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操作方法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七刊范例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经验反差/悖论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找“理论预测失败”的事实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民族主义者为何采用欧元（黑山，NPE）；上诉机构停摆反而扩大发展空间（RIPE）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文献矛盾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找两派结论相反的文献，寻找调节条件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区域协定是多边化的积木还是绊脚石（NPE中等强国与联合声明倡议）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理论gap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找理论没有覆盖的行为体、层级或时期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新兴国家的“制度叠加”策略（RIPE关于全球发展倡议的研究）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事实-反事实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问“如果没有X，会怎样”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三线建设的长期人力资本效应（JCE）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概念-测量创新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发现旧概念或测量掩盖了差异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中国是否“金融化”（NPE）；双边地缘政治转折点指数（JCE）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机制追问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已知X影响Y，追问渠道与条件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外交关系经由沟通渠道影响农产品贸易（JCE）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新现象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新事物尚无理论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深海采矿、央行数字货币、AI治理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在830篇中，高相关度论文有约四分之一从“经验反差/悖论”出发。</w:t>
      </w:r>
      <w:r>
        <w:rPr>
          <w:rFonts w:ascii="Times New Roman" w:hAnsi="Times New Roman" w:eastAsia="宋体"/>
          <w:b/>
          <w:sz w:val="22"/>
        </w:rPr>
        <w:t>从反常现象出发，是最有效的提问方式。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三、从“发现”到“问题化”：三种构建贡献的方式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Locke与Golden-Biddle（1997）分析管理学顶刊后发现，作者通常用三种方式说明“我的研究填补了什么”。Alvesson与Sandberg（2011）在此基础上提出了更有冲击力的第四种：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力度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国际关系中的例子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填补空白（gap-spotting）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现有研究没有考察X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弱，最常见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“很少有研究考察中国的货币互换”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连接对话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两支互不相通的文献可以结合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把国际公共产品理论与网络分析结合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指出不完整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现有解释只说对了一部分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地缘战略解释不了中国贷款为何骤停（LSE 2023）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挑战假设（问题化）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现有研究共享的某个前提本身有问题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“新兴供给者要么挑战、要么维持现状”的二分法本身不成立（RIPE中国专题）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：引言里至少做到“指出不完整”，最好能对某个隐含假设做问题化。只说“没人研究过”，最容易被审稿人回一句“那也许是因为不重要”。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四、Davis的“有趣”：让读者想知道答案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Davis（1971）指出，被广泛关注的理论通常</w:t>
      </w:r>
      <w:r>
        <w:rPr>
          <w:rFonts w:ascii="Times New Roman" w:hAnsi="Times New Roman" w:eastAsia="宋体"/>
          <w:b/>
          <w:sz w:val="22"/>
        </w:rPr>
        <w:t>否定了读者原本相信的某种看法</w:t>
      </w:r>
      <w:r>
        <w:rPr>
          <w:rFonts w:ascii="Times New Roman" w:hAnsi="Times New Roman" w:eastAsia="宋体"/>
          <w:b w:val="0"/>
          <w:sz w:val="22"/>
        </w:rPr>
        <w:t>，而不是简单确认。几种常见的“有趣”形式，改写到国际关系语境：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看似孤立的，其实相互关联</w:t>
      </w:r>
      <w:r>
        <w:rPr>
          <w:rFonts w:ascii="Times New Roman" w:hAnsi="Times New Roman" w:eastAsia="宋体"/>
          <w:b w:val="0"/>
          <w:sz w:val="22"/>
        </w:rPr>
        <w:t>：区域安全网与全球金融安全网看似并列，其实相互替代、相互塑造。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看似单一的，其实是多种</w:t>
      </w:r>
      <w:r>
        <w:rPr>
          <w:rFonts w:ascii="Times New Roman" w:hAnsi="Times New Roman" w:eastAsia="宋体"/>
          <w:b w:val="0"/>
          <w:sz w:val="22"/>
        </w:rPr>
        <w:t>：“中国方案”其实有多种层级与排他程度的组合。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看似稳定的，其实在变化</w:t>
      </w:r>
      <w:r>
        <w:rPr>
          <w:rFonts w:ascii="Times New Roman" w:hAnsi="Times New Roman" w:eastAsia="宋体"/>
          <w:b w:val="0"/>
          <w:sz w:val="22"/>
        </w:rPr>
        <w:t>：多边体制不是“衰落”，而是在重组。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看似有益的，其实有代价（或反之）</w:t>
      </w:r>
      <w:r>
        <w:rPr>
          <w:rFonts w:ascii="Times New Roman" w:hAnsi="Times New Roman" w:eastAsia="宋体"/>
          <w:b w:val="0"/>
          <w:sz w:val="22"/>
        </w:rPr>
        <w:t>：互联互通扩大了边境地区的正规与非正规工资差距（JCE泰老友谊大桥研究）。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看似被动的，其实是主动的</w:t>
      </w:r>
      <w:r>
        <w:rPr>
          <w:rFonts w:ascii="Times New Roman" w:hAnsi="Times New Roman" w:eastAsia="宋体"/>
          <w:b w:val="0"/>
          <w:sz w:val="22"/>
        </w:rPr>
        <w:t>：这正是“能动性转向”的力量所在。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自检问题</w:t>
      </w:r>
      <w:r>
        <w:rPr>
          <w:rFonts w:ascii="Times New Roman" w:hAnsi="Times New Roman" w:eastAsia="宋体"/>
          <w:b w:val="0"/>
          <w:sz w:val="22"/>
        </w:rPr>
        <w:t>：你的结论能否写成“人们通常认为……，但本文发现……”？如果“但”后面的内容并不出人意料，问题就还不够有趣。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五、判断问题价值：五道过滤网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过滤网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要问的问题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不通过的信号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重要性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答案会改变谁的认知或决策？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只有你自己关心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新颖性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和最近五年的论文相比，增量在哪里？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只是换了一个案例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可回答性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两年内能拿到证据吗？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关键数据或访谈无法获取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匹配度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你有别人没有的优势吗？（语言、准入、数据）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任何人都能做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可推广性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结论能否超出单一案例？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只能讲一个国家的故事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Hamming提醒科研人员定期问自己：本领域最重要的问题是什么？我为什么不在做它？问题不一定要最大，但应该处在一个“重要问题的谱系”上，并且有进攻的路径。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六、可执行的提问流程（每个想法1—2周）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记录异常</w:t>
      </w:r>
      <w:r>
        <w:rPr>
          <w:rFonts w:ascii="Times New Roman" w:hAnsi="Times New Roman" w:eastAsia="宋体"/>
          <w:b w:val="0"/>
          <w:sz w:val="22"/>
        </w:rPr>
        <w:t>：读文献、新闻、田野笔记时，随手记下“这不对劲”的事实，放进想法库。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写一句话困惑</w:t>
      </w:r>
      <w:r>
        <w:rPr>
          <w:rFonts w:ascii="Times New Roman" w:hAnsi="Times New Roman" w:eastAsia="宋体"/>
          <w:b w:val="0"/>
          <w:sz w:val="22"/>
        </w:rPr>
        <w:t>：用“既然……，为何……？”的句式写出来。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做两小时文献检索</w:t>
      </w:r>
      <w:r>
        <w:rPr>
          <w:rFonts w:ascii="Times New Roman" w:hAnsi="Times New Roman" w:eastAsia="宋体"/>
          <w:b w:val="0"/>
          <w:sz w:val="22"/>
        </w:rPr>
        <w:t>：检查是否已有答案（Google Scholar、Web of Science、知网，以及七刊拆解表与海外博士论文附表）。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写竞争性解释</w:t>
      </w:r>
      <w:r>
        <w:rPr>
          <w:rFonts w:ascii="Times New Roman" w:hAnsi="Times New Roman" w:eastAsia="宋体"/>
          <w:b w:val="0"/>
          <w:sz w:val="22"/>
        </w:rPr>
        <w:t>：至少列出三个可能的答案，并写下每个答案对应的可观察证据。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画X—M—Y图</w:t>
      </w:r>
      <w:r>
        <w:rPr>
          <w:rFonts w:ascii="Times New Roman" w:hAnsi="Times New Roman" w:eastAsia="宋体"/>
          <w:b w:val="0"/>
          <w:sz w:val="22"/>
        </w:rPr>
        <w:t>：明确解释变量、机制与结果，以及范围条件。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6. </w:t>
      </w:r>
      <w:r>
        <w:rPr>
          <w:rFonts w:ascii="Times New Roman" w:hAnsi="Times New Roman" w:eastAsia="宋体"/>
          <w:b/>
          <w:sz w:val="22"/>
        </w:rPr>
        <w:t>一页纸提案</w:t>
      </w:r>
      <w:r>
        <w:rPr>
          <w:rFonts w:ascii="Times New Roman" w:hAnsi="Times New Roman" w:eastAsia="宋体"/>
          <w:b w:val="0"/>
          <w:sz w:val="22"/>
        </w:rPr>
        <w:t>：问题、困惑、竞争解释、你的论点、证据、贡献，各写一两句。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7. </w:t>
      </w:r>
      <w:r>
        <w:rPr>
          <w:rFonts w:ascii="Times New Roman" w:hAnsi="Times New Roman" w:eastAsia="宋体"/>
          <w:b/>
          <w:sz w:val="22"/>
        </w:rPr>
        <w:t>找人“攻击”</w:t>
      </w:r>
      <w:r>
        <w:rPr>
          <w:rFonts w:ascii="Times New Roman" w:hAnsi="Times New Roman" w:eastAsia="宋体"/>
          <w:b w:val="0"/>
          <w:sz w:val="22"/>
        </w:rPr>
        <w:t>：拿给导师和一位同行，请他们找出最弱的地方。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七、例子：把你的主线写成一个困惑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话题</w:t>
      </w:r>
      <w:r>
        <w:rPr>
          <w:rFonts w:ascii="Times New Roman" w:hAnsi="Times New Roman" w:eastAsia="楷体"/>
          <w:b w:val="0"/>
          <w:color w:val="404040"/>
          <w:sz w:val="21"/>
        </w:rPr>
        <w:t>：新兴供给者与国际公共产品。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困惑</w:t>
      </w:r>
      <w:r>
        <w:rPr>
          <w:rFonts w:ascii="Times New Roman" w:hAnsi="Times New Roman" w:eastAsia="楷体"/>
          <w:b w:val="0"/>
          <w:color w:val="404040"/>
          <w:sz w:val="21"/>
        </w:rPr>
        <w:t>：若中国的目标是扩大影响力，理应偏好它能主导的双边渠道；但在同一时期，中国一方面以双边贷款和货币互换为主，另一方面又创立并持续注资多边的亚投行，还把部分贷款交由多边机构联合融资。</w:t>
      </w:r>
      <w:r>
        <w:rPr>
          <w:rFonts w:ascii="Times New Roman" w:hAnsi="Times New Roman" w:eastAsia="楷体"/>
          <w:b/>
          <w:color w:val="404040"/>
          <w:sz w:val="21"/>
        </w:rPr>
        <w:t>同一供给者为何在不同产品上选择不同的层级与排他程度？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竞争解释</w:t>
      </w:r>
      <w:r>
        <w:rPr>
          <w:rFonts w:ascii="Times New Roman" w:hAnsi="Times New Roman" w:eastAsia="楷体"/>
          <w:b w:val="0"/>
          <w:color w:val="404040"/>
          <w:sz w:val="21"/>
        </w:rPr>
        <w:t>：①地缘战略（控制）；②风险分担（降低违约与声誉风险）；③合法性（多边背书）；④国内官僚与机构利益。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你的论点（待检验）</w:t>
      </w:r>
      <w:r>
        <w:rPr>
          <w:rFonts w:ascii="Times New Roman" w:hAnsi="Times New Roman" w:eastAsia="楷体"/>
          <w:b w:val="0"/>
          <w:color w:val="404040"/>
          <w:sz w:val="21"/>
        </w:rPr>
        <w:t>：层级选择取决于产品的“可排他性”和使用者的“网络位置”。可排他、使用者集中的产品倾向双边供给；溢出大、使用者分散的产品倾向多边供给。</w:t>
      </w:r>
    </w:p>
    <w:p>
      <w:pPr>
        <w:ind w:left="454"/>
      </w:pPr>
      <w:r>
        <w:rPr>
          <w:rFonts w:ascii="Times New Roman" w:hAnsi="Times New Roman" w:eastAsia="楷体"/>
          <w:b/>
          <w:color w:val="404040"/>
          <w:sz w:val="21"/>
        </w:rPr>
        <w:t>证据</w:t>
      </w:r>
      <w:r>
        <w:rPr>
          <w:rFonts w:ascii="Times New Roman" w:hAnsi="Times New Roman" w:eastAsia="楷体"/>
          <w:b w:val="0"/>
          <w:color w:val="404040"/>
          <w:sz w:val="21"/>
        </w:rPr>
        <w:t>：项目与协议层面的数据，加两到三个过程追踪案例。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第二部分 如何读论文、管理文献（为提问和写作打底）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八、三遍阅读法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第一遍（10分钟）</w:t>
      </w:r>
      <w:r>
        <w:rPr>
          <w:rFonts w:ascii="Times New Roman" w:hAnsi="Times New Roman" w:eastAsia="宋体"/>
          <w:b w:val="0"/>
          <w:sz w:val="22"/>
        </w:rPr>
        <w:t>：标题、摘要、引言最后两段、图表、结论，判断是否相关。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第二遍（1小时）</w:t>
      </w:r>
      <w:r>
        <w:rPr>
          <w:rFonts w:ascii="Times New Roman" w:hAnsi="Times New Roman" w:eastAsia="宋体"/>
          <w:b w:val="0"/>
          <w:sz w:val="22"/>
        </w:rPr>
        <w:t>：读完全文，抓住困惑、论点、证据和识别策略，填入拆解表的一行。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第三遍（半天，仅限关键文献）</w:t>
      </w:r>
      <w:r>
        <w:rPr>
          <w:rFonts w:ascii="Times New Roman" w:hAnsi="Times New Roman" w:eastAsia="宋体"/>
          <w:b w:val="0"/>
          <w:sz w:val="22"/>
        </w:rPr>
        <w:t>：设想自己从头重做这项研究，有条件的话复现它，并写下你会怎么改进。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九、读论文时要回答的八个问题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沿用拆解表的结构：研究问题是什么？困惑类型是什么？X、M、Y分别是什么？研究设计与识别策略是什么？数据从哪里来？核心发现是什么？最弱的地方在哪里？对我的启发是什么？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特别建议</w:t>
      </w:r>
      <w:r>
        <w:rPr>
          <w:rFonts w:ascii="Times New Roman" w:hAnsi="Times New Roman" w:eastAsia="宋体"/>
          <w:b w:val="0"/>
          <w:sz w:val="22"/>
        </w:rPr>
        <w:t>：每读一篇好论文，单独抄下它引言的前三句和“贡献”段落，建立你自己的“引言样本库”。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第三部分 如何写好文章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十、先想清楚：一篇论文只讲一个故事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动笔之前，用三句话写出论文：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：本文问的是……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论点</w:t>
      </w:r>
      <w:r>
        <w:rPr>
          <w:rFonts w:ascii="Times New Roman" w:hAnsi="Times New Roman" w:eastAsia="宋体"/>
          <w:b w:val="0"/>
          <w:sz w:val="22"/>
        </w:rPr>
        <w:t>：本文认为……，因为……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证据与贡献</w:t>
      </w:r>
      <w:r>
        <w:rPr>
          <w:rFonts w:ascii="Times New Roman" w:hAnsi="Times New Roman" w:eastAsia="宋体"/>
          <w:b w:val="0"/>
          <w:sz w:val="22"/>
        </w:rPr>
        <w:t>：基于……的证据，本文对……文献的贡献在于……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写不出这三句，说明还没想清楚，这时不应该开始写正文。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十一、引言：整篇论文最重要的两页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Grant与Pollock（2011）在AMJ的社论中，把好的引言概括为回答三个问题：</w:t>
      </w:r>
      <w:r>
        <w:rPr>
          <w:rFonts w:ascii="Times New Roman" w:hAnsi="Times New Roman" w:eastAsia="宋体"/>
          <w:b/>
          <w:sz w:val="22"/>
        </w:rPr>
        <w:t>谁在乎（Who cares?）、我们知道什么、我们不知道什么（以及为什么重要）、你会告诉我们什么。</w:t>
      </w:r>
      <w:r>
        <w:rPr>
          <w:rFonts w:ascii="Times New Roman" w:hAnsi="Times New Roman" w:eastAsia="宋体"/>
          <w:b w:val="0"/>
          <w:sz w:val="22"/>
        </w:rPr>
        <w:t xml:space="preserve"> 在国际关系与IPE期刊中，一个常见而有效的五段结构如下：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写法要点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 钩子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让读者马上意识到问题的重要性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用一个具体事实、数字或事件开头，而不是“随着全球化的深入发展”；也可以直接用困惑开头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 现有认识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简要说明学界已有的解释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归纳成两三个流派，不要罗列文献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 不足（问题化）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指出现有解释为何不够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用第三节的“指出不完整”或“挑战假设”方式，最好配一个反例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 本文做什么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你的论点、证据与方法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明确写出“本文认为……”，并预告关键发现，不要卖关子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 贡献与路线图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对理论、经验、方法、政策各有什么贡献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贡献要具体到“对哪一支文献、改变了什么认识”；路线图一两句即可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常见的钩子写法（以你的方向为例）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事实型</w:t>
      </w:r>
      <w:r>
        <w:rPr>
          <w:rFonts w:ascii="Times New Roman" w:hAnsi="Times New Roman" w:eastAsia="宋体"/>
          <w:b w:val="0"/>
          <w:sz w:val="22"/>
        </w:rPr>
        <w:t>：“截至2024年，中国人民银行已与四十多个国家和地区签署双边货币互换协议，规模超过……，这一网络的覆盖面已可与美联储的常设互换网络相比，但二者的分布逻辑截然不同。”（具体数字请核实最新数据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困惑型</w:t>
      </w:r>
      <w:r>
        <w:rPr>
          <w:rFonts w:ascii="Times New Roman" w:hAnsi="Times New Roman" w:eastAsia="宋体"/>
          <w:b w:val="0"/>
          <w:sz w:val="22"/>
        </w:rPr>
        <w:t>：“亚投行成立时，许多观察者预期它将与世界银行竞争。然而成立后的头几年，它约有一半项目与既有多边开发银行联合融资。”（比例请核实）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争论型</w:t>
      </w:r>
      <w:r>
        <w:rPr>
          <w:rFonts w:ascii="Times New Roman" w:hAnsi="Times New Roman" w:eastAsia="宋体"/>
          <w:b w:val="0"/>
          <w:sz w:val="22"/>
        </w:rPr>
        <w:t>：“关于中国是在挑战还是维持现有秩序的争论已持续十余年，但这个问题本身可能问错了。”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引言的十个常见错误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从宏大背景写起，三段之后才出现问题；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把文献综述写进引言，罗列十几个作者；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只说“填补空白”，没有说明空白为什么重要；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没有明确的论点，只说“本文将探讨……”；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贡献写得笼统，例如“丰富了相关研究”；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隐瞒主要发现，等到结论才揭晓；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用大量术语而不解释；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引言承诺的内容正文没有兑现；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中文论文中“政策意义”喧宾夺主；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篇幅过长（英文期刊一般控制在1000—1500词）。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十二、摘要：一段话的完整论文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英文摘要一般150—250词，按五个要素写：</w:t>
      </w:r>
      <w:r>
        <w:rPr>
          <w:rFonts w:ascii="Times New Roman" w:hAnsi="Times New Roman" w:eastAsia="宋体"/>
          <w:b/>
          <w:sz w:val="22"/>
        </w:rPr>
        <w:t>背景/困惑（1句）—问题（1句）—论点（1—2句）—证据与方法（1—2句）—发现与贡献（1—2句）</w:t>
      </w:r>
      <w:r>
        <w:rPr>
          <w:rFonts w:ascii="Times New Roman" w:hAnsi="Times New Roman" w:eastAsia="宋体"/>
          <w:b w:val="0"/>
          <w:sz w:val="22"/>
        </w:rPr>
        <w:t>。中文摘要可用同样的结构，避免“本文首先……然后……最后……”式的目录描述。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十三、文献综述（理论部分）：建立对话，而不是罗列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按观点组织，不按作者组织</w:t>
      </w:r>
      <w:r>
        <w:rPr>
          <w:rFonts w:ascii="Times New Roman" w:hAnsi="Times New Roman" w:eastAsia="宋体"/>
          <w:b w:val="0"/>
          <w:sz w:val="22"/>
        </w:rPr>
        <w:t>：把文献归纳为两三种解释，每种说明逻辑、证据与局限。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为你的论点铺路</w:t>
      </w:r>
      <w:r>
        <w:rPr>
          <w:rFonts w:ascii="Times New Roman" w:hAnsi="Times New Roman" w:eastAsia="宋体"/>
          <w:b w:val="0"/>
          <w:sz w:val="22"/>
        </w:rPr>
        <w:t>：综述的终点应该自然引出你的理论。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从综述中导出假设</w:t>
      </w:r>
      <w:r>
        <w:rPr>
          <w:rFonts w:ascii="Times New Roman" w:hAnsi="Times New Roman" w:eastAsia="宋体"/>
          <w:b w:val="0"/>
          <w:sz w:val="22"/>
        </w:rPr>
        <w:t>：理论部分要明确写出可检验的命题，例如：“H1：产品的可排他性越强，供给者越倾向于双边供给。”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区分范围条件</w:t>
      </w:r>
      <w:r>
        <w:rPr>
          <w:rFonts w:ascii="Times New Roman" w:hAnsi="Times New Roman" w:eastAsia="宋体"/>
          <w:b w:val="0"/>
          <w:sz w:val="22"/>
        </w:rPr>
        <w:t>：说明理论在什么条件下成立、不适用于哪些情形。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十四、研究设计：让审稿人相信你的证据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定量研究</w:t>
      </w:r>
      <w:r>
        <w:rPr>
          <w:rFonts w:ascii="Times New Roman" w:hAnsi="Times New Roman" w:eastAsia="宋体"/>
          <w:b w:val="0"/>
          <w:sz w:val="22"/>
        </w:rPr>
        <w:t>：写清楚数据来源、变量测量、识别策略和主要假定，并说明为什么这样识别是可信的。稳健性检验放在正文简述，细节放附录。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定性研究</w:t>
      </w:r>
      <w:r>
        <w:rPr>
          <w:rFonts w:ascii="Times New Roman" w:hAnsi="Times New Roman" w:eastAsia="宋体"/>
          <w:b w:val="0"/>
          <w:sz w:val="22"/>
        </w:rPr>
        <w:t>：说明案例选择逻辑、证据类型（访谈、档案、文本）、竞争性解释，以及你用什么检验区分这些解释。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多方法研究</w:t>
      </w:r>
      <w:r>
        <w:rPr>
          <w:rFonts w:ascii="Times New Roman" w:hAnsi="Times New Roman" w:eastAsia="宋体"/>
          <w:b w:val="0"/>
          <w:sz w:val="22"/>
        </w:rPr>
        <w:t>：说明各种方法分别回答什么问题，如何相互印证。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透明度</w:t>
      </w:r>
      <w:r>
        <w:rPr>
          <w:rFonts w:ascii="Times New Roman" w:hAnsi="Times New Roman" w:eastAsia="宋体"/>
          <w:b w:val="0"/>
          <w:sz w:val="22"/>
        </w:rPr>
        <w:t>：说明数据和代码在哪里公开，访谈如何匿名化。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十五、实证与结果：一段一个发现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每段开头先给结论</w:t>
      </w:r>
      <w:r>
        <w:rPr>
          <w:rFonts w:ascii="Times New Roman" w:hAnsi="Times New Roman" w:eastAsia="宋体"/>
          <w:b w:val="0"/>
          <w:sz w:val="22"/>
        </w:rPr>
        <w:t>，再给证据，例如：“基准结果支持H1：……”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图表要能独立阅读</w:t>
      </w:r>
      <w:r>
        <w:rPr>
          <w:rFonts w:ascii="Times New Roman" w:hAnsi="Times New Roman" w:eastAsia="宋体"/>
          <w:b w:val="0"/>
          <w:sz w:val="22"/>
        </w:rPr>
        <w:t>：标题写结论，注释写清数据来源与变量含义。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区分统计显著性与实质意义</w:t>
      </w:r>
      <w:r>
        <w:rPr>
          <w:rFonts w:ascii="Times New Roman" w:hAnsi="Times New Roman" w:eastAsia="宋体"/>
          <w:b w:val="0"/>
          <w:sz w:val="22"/>
        </w:rPr>
        <w:t>：解释系数的大小意味着什么。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主动讨论替代解释</w:t>
      </w:r>
      <w:r>
        <w:rPr>
          <w:rFonts w:ascii="Times New Roman" w:hAnsi="Times New Roman" w:eastAsia="宋体"/>
          <w:b w:val="0"/>
          <w:sz w:val="22"/>
        </w:rPr>
        <w:t>：在审稿人提出之前，自己先排除。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十六、讨论与结论：回到引言，提升层次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先用一段话回答引言提出的问题；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再说明理论含义：对哪些文献、改变了什么认识；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坦率讨论局限，并指出未来研究方向（这是后来者的“空白清单”）；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政策含义写得克制，避免从有限证据推出过大结论。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十七、中文期刊与英文期刊的写作差异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方面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中文期刊（如《世界经济与政治》）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英文期刊（如RIPE、RIO）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篇幅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2—3万字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8000—12000词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引言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常有较长的问题提出与文献回顾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精炼，一两页内亮出论点与贡献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重视概念与理论框架的完整性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重视可检验命题与范围条件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现实关怀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常要求与国家战略、政策相联系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政策含义通常放在结论，篇幅较短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证据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案例与理论分析的比重较高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视期刊而定，美国期刊偏重因果推断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贡献表述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“丰富了……”“拓展了……”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要求明确指向某支文献的具体争论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一稿两用要格外谨慎</w:t>
      </w:r>
      <w:r>
        <w:rPr>
          <w:rFonts w:ascii="Times New Roman" w:hAnsi="Times New Roman" w:eastAsia="宋体"/>
          <w:b w:val="0"/>
          <w:sz w:val="22"/>
        </w:rPr>
        <w:t>：同一研究分别以中英文发表，须遵守期刊关于重复发表的规定，并在投稿时说明。更稳妥的做法是两篇论文使用不同的数据、侧重点或章节。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十八、写作流程与修改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先写“反向提纲”</w:t>
      </w:r>
      <w:r>
        <w:rPr>
          <w:rFonts w:ascii="Times New Roman" w:hAnsi="Times New Roman" w:eastAsia="宋体"/>
          <w:b w:val="0"/>
          <w:sz w:val="22"/>
        </w:rPr>
        <w:t>：每段只写一句主题句，检查逻辑是否连贯；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先写结果，再写引言</w:t>
      </w:r>
      <w:r>
        <w:rPr>
          <w:rFonts w:ascii="Times New Roman" w:hAnsi="Times New Roman" w:eastAsia="宋体"/>
          <w:b w:val="0"/>
          <w:sz w:val="22"/>
        </w:rPr>
        <w:t>：发现确定之后，引言才能写准；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大改先于小改</w:t>
      </w:r>
      <w:r>
        <w:rPr>
          <w:rFonts w:ascii="Times New Roman" w:hAnsi="Times New Roman" w:eastAsia="宋体"/>
          <w:b w:val="0"/>
          <w:sz w:val="22"/>
        </w:rPr>
        <w:t>：先改结构与论证，再改语言；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大声朗读</w:t>
      </w:r>
      <w:r>
        <w:rPr>
          <w:rFonts w:ascii="Times New Roman" w:hAnsi="Times New Roman" w:eastAsia="宋体"/>
          <w:b w:val="0"/>
          <w:sz w:val="22"/>
        </w:rPr>
        <w:t>：读不顺的地方就是要改的地方；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找三类读者</w:t>
      </w:r>
      <w:r>
        <w:rPr>
          <w:rFonts w:ascii="Times New Roman" w:hAnsi="Times New Roman" w:eastAsia="宋体"/>
          <w:b w:val="0"/>
          <w:sz w:val="22"/>
        </w:rPr>
        <w:t>：同领域的同行（看论证），外领域的同学（看是否讲清楚），导师（看贡献与定位）；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6. </w:t>
      </w:r>
      <w:r>
        <w:rPr>
          <w:rFonts w:ascii="Times New Roman" w:hAnsi="Times New Roman" w:eastAsia="宋体"/>
          <w:b/>
          <w:sz w:val="22"/>
        </w:rPr>
        <w:t>会议报告</w:t>
      </w:r>
      <w:r>
        <w:rPr>
          <w:rFonts w:ascii="Times New Roman" w:hAnsi="Times New Roman" w:eastAsia="宋体"/>
          <w:b w:val="0"/>
          <w:sz w:val="22"/>
        </w:rPr>
        <w:t>：在投稿前至少报告一次，收集反馈；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7. </w:t>
      </w:r>
      <w:r>
        <w:rPr>
          <w:rFonts w:ascii="Times New Roman" w:hAnsi="Times New Roman" w:eastAsia="宋体"/>
          <w:b/>
          <w:sz w:val="22"/>
        </w:rPr>
        <w:t>语言润色</w:t>
      </w:r>
      <w:r>
        <w:rPr>
          <w:rFonts w:ascii="Times New Roman" w:hAnsi="Times New Roman" w:eastAsia="宋体"/>
          <w:b w:val="0"/>
          <w:sz w:val="22"/>
        </w:rPr>
        <w:t>：英文论文可以借助AI工具改语言，但论点与内容必须是你自己的，并遵守期刊关于AI使用的披露规定。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第四部分 投稿与回应审稿意见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十九、选刊与投稿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选刊时先看目标期刊最近三年的同类论文：你的论文是否在和它们对话？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投稿信写清楚：问题、发现、贡献，以及为什么适合本刊。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被拒稿很正常，把审稿意见当作免费的修改建议，改进后转投。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二十、回应审稿意见（Rebuttal）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逐条回应</w:t>
      </w:r>
      <w:r>
        <w:rPr>
          <w:rFonts w:ascii="Times New Roman" w:hAnsi="Times New Roman" w:eastAsia="宋体"/>
          <w:b w:val="0"/>
          <w:sz w:val="22"/>
        </w:rPr>
        <w:t>：先复述意见，再说明修改内容和所在页码；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先感谢、再回应，保持礼貌</w:t>
      </w:r>
      <w:r>
        <w:rPr>
          <w:rFonts w:ascii="Times New Roman" w:hAnsi="Times New Roman" w:eastAsia="宋体"/>
          <w:b w:val="0"/>
          <w:sz w:val="22"/>
        </w:rPr>
        <w:t>：即使不同意，也要给出理由和证据；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能改就改</w:t>
      </w:r>
      <w:r>
        <w:rPr>
          <w:rFonts w:ascii="Times New Roman" w:hAnsi="Times New Roman" w:eastAsia="宋体"/>
          <w:b w:val="0"/>
          <w:sz w:val="22"/>
        </w:rPr>
        <w:t>：审稿人误解了，通常说明原文写得不够清楚；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区分必做与可选</w:t>
      </w:r>
      <w:r>
        <w:rPr>
          <w:rFonts w:ascii="Times New Roman" w:hAnsi="Times New Roman" w:eastAsia="宋体"/>
          <w:b w:val="0"/>
          <w:sz w:val="22"/>
        </w:rPr>
        <w:t>：对重大意见要彻底处理，可以通过补充分析或附录来回应；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编辑是裁判</w:t>
      </w:r>
      <w:r>
        <w:rPr>
          <w:rFonts w:ascii="Times New Roman" w:hAnsi="Times New Roman" w:eastAsia="宋体"/>
          <w:b w:val="0"/>
          <w:sz w:val="22"/>
        </w:rPr>
        <w:t>：审稿人意见冲突时，说明你的取舍理由，请编辑判断。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第五部分 把好习惯固定下来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习惯</w:t>
            </w:r>
          </w:p>
        </w:tc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做法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想法库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每天记录异常现象与问题，每季度回顾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文献矩阵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每读一篇，在拆解表中加一行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引言样本库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收集好论文的开头三句与贡献段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每日写作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固定时间，至少300字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研究日志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每周一页：进展、困难、下一步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定期汇报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每两周向导师或小组报告一次进展，带着具体问题去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复现标准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数据、代码、访谈记录按可复现标准管理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附：引言自检清单（投稿前逐条核对）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第一段就让读者知道“为什么这件事重要”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困惑或问题用一句话清晰写出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现有解释归纳为两三类，而非罗列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指出现有解释的具体不足，最好有反例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明确写出“本文认为……”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预告了核心证据与主要发现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贡献具体到某支文献、某种认识的改变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篇幅适中，没有混入完整的文献综述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正文兑现了引言的全部承诺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[ ] 外领域的读者也能看懂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主要参考文献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Alvesson, M. &amp; Sandberg, J. (2011). Generating Research Questions through Problematization. *Academy of Management Review*, 36(2).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Davis, M. S. (1971). That's Interesting! *Philosophy of the Social Sciences*, 1(4).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Grant, A. M. &amp; Pollock, T. G. (2011). Publishing in AMJ—Part 3: Setting the Hook. *Academy of Management Journal*, 54(5).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Locke, K. &amp; Golden-Biddle, K. (1997). Constructing Opportunities for Contribution. *Academy of Management Journal*, 40(5).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Hamming, R. (1986). You and Your Research（演讲）。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Gerring, J. (2012). *Social Science Methodology: A Unified Framework*. Cambridge University Press.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Booth, W. C., Colomb, G. G., &amp; Williams, J. M. 《研究是一门艺术》（The Craft of Research）。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Becker, H. S. 《社会科学家的写作技巧》（Writing for Social Scientists）。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周志华：《做研究与写论文》。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郭兰哲等：LAMDA“科研入门指南”（GitHub: LAMDA-NeSy/Research-Starter-Kit）。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彭思达：“Learning Research”科研经验文档（GitHub: pengsida/learning_research）。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