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全球治理与区域治理：张力、对话与知识融通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区域国别学视角的理论建构与标识性概念（研究备忘录）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依据七刊2024—2026年830篇论文梳理及相关经典文献撰写，供博士选题与开题论证使用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摘要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本备忘录尝试回答五个相互关联的问题：全球治理与区域治理之间是否存在理论张力与现实张力？两者如何对话？如何实现知识融通，特别是规则对接？如何以区域国别研究为切口推进中国自主知识体系创新，或反过来以自主知识体系推动区域国别研究？如何在此基础上建构标识性概念？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核心论点有四点：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全球治理与区域治理不是上下级的“层级”关系，而是两种</w:t>
      </w:r>
      <w:r>
        <w:rPr>
          <w:rFonts w:ascii="Times New Roman" w:hAnsi="Times New Roman" w:eastAsia="宋体"/>
          <w:b/>
          <w:sz w:val="22"/>
        </w:rPr>
        <w:t>治理尺度（scale）</w:t>
      </w:r>
      <w:r>
        <w:rPr>
          <w:rFonts w:ascii="Times New Roman" w:hAnsi="Times New Roman" w:eastAsia="宋体"/>
          <w:b w:val="0"/>
          <w:sz w:val="22"/>
        </w:rPr>
        <w:t>。二者的关系可以是嵌套、叠加、替代、竞争、转译或上传，究竟取哪一种，随议题、区域和时间而变化。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解释这种变化需要“中观的情境知识”，这正是区域国别学相对于IR一般理论和国别描述的比较优势。区域国别学因此不只是“提供案例”，而是</w:t>
      </w:r>
      <w:r>
        <w:rPr>
          <w:rFonts w:ascii="Times New Roman" w:hAnsi="Times New Roman" w:eastAsia="宋体"/>
          <w:b/>
          <w:sz w:val="22"/>
        </w:rPr>
        <w:t>提供范围条件、发现机制、生成概念</w:t>
      </w:r>
      <w:r>
        <w:rPr>
          <w:rFonts w:ascii="Times New Roman" w:hAnsi="Times New Roman" w:eastAsia="宋体"/>
          <w:b w:val="0"/>
          <w:sz w:val="22"/>
        </w:rPr>
        <w:t>的学科。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知识融通的关键在于“可迁移的机制”而非“可移植的结论”。规则对接是知识融通在制度层面的对应物：它不是单向“接轨”，而是在保留异质性与发展空间前提下的</w:t>
      </w:r>
      <w:r>
        <w:rPr>
          <w:rFonts w:ascii="Times New Roman" w:hAnsi="Times New Roman" w:eastAsia="宋体"/>
          <w:b/>
          <w:sz w:val="22"/>
        </w:rPr>
        <w:t>跨尺度兼容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据此，本备忘录尝试提出一个分析装置（“全球—区域治理三元悖论”）和六个候选标识性概念：规则对接、发展空间托底、互补性叠加、关系型多边主义、区域转译者、互联互通治理。每个概念都给出定义、维度、测量与可检验命题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一、问题的提出：为什么“全球—区域”关系是一个真问题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1.1 现实层面：2024—2026年的“层际重组”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七刊文献呈现出一个清晰的经验图景：在美国霸权供给收缩、多边机构僵局与地缘经济化的叠加下，全球治理没有简单“崩溃”，而是在多个尺度上发生</w:t>
      </w:r>
      <w:r>
        <w:rPr>
          <w:rFonts w:ascii="Times New Roman" w:hAnsi="Times New Roman" w:eastAsia="宋体"/>
          <w:b/>
          <w:sz w:val="22"/>
        </w:rPr>
        <w:t>重组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贸易</w:t>
      </w:r>
      <w:r>
        <w:rPr>
          <w:rFonts w:ascii="Times New Roman" w:hAnsi="Times New Roman" w:eastAsia="宋体"/>
          <w:b w:val="0"/>
          <w:sz w:val="22"/>
        </w:rPr>
        <w:t>：WTO上诉机构停摆后出现MPIA等“绕道式”制度创新（RIO 2025）。中等强国以联合声明倡议（JSI）把在区域/诸边协定中积累的规则带回多边（NPE 2024）。同时，上诉机构停摆意外扩大了发展型国家的政策空间（RIPE 2024）。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发展与金融</w:t>
      </w:r>
      <w:r>
        <w:rPr>
          <w:rFonts w:ascii="Times New Roman" w:hAnsi="Times New Roman" w:eastAsia="宋体"/>
          <w:b w:val="0"/>
          <w:sz w:val="22"/>
        </w:rPr>
        <w:t>：中国全球发展倡议以“制度叠加”方式嵌入既有发展体系（RIPE 2026）。亚投行与既有多边开发银行之间存在合作与竞争的混合（RIPE 2026）。G20共同框架作为非正式组织叠加在主权债务机制之上（RIPE 2026）。双边货币互换、美联储互换网络与人民币网络构成多中心的流动性供给（RIPE 2025/2026，NPE 2025）。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规则外溢</w:t>
      </w:r>
      <w:r>
        <w:rPr>
          <w:rFonts w:ascii="Times New Roman" w:hAnsi="Times New Roman" w:eastAsia="宋体"/>
          <w:b w:val="0"/>
          <w:sz w:val="22"/>
        </w:rPr>
        <w:t>：欧盟以单边规制（供应链尽职调查、数字税、碳边境调节）倒逼多边或第三方（RIPE 2024；NPE 2025）。欧盟—南方共同市场谈判中的“本体论帝国主义”争议（RIPE 2026）表明区域间规则对接同样充满权力关系。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安全</w:t>
      </w:r>
      <w:r>
        <w:rPr>
          <w:rFonts w:ascii="Times New Roman" w:hAnsi="Times New Roman" w:eastAsia="宋体"/>
          <w:b w:val="0"/>
          <w:sz w:val="22"/>
        </w:rPr>
        <w:t>：中美竞争下大量国家采取“非排他性安全”与混合结盟（IS 2024/2025），区域安全安排的开放性成为关键变量。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1.2 理论层面：三种既有视角的不足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“积木/绊脚石”二分</w:t>
      </w:r>
      <w:r>
        <w:rPr>
          <w:rFonts w:ascii="Times New Roman" w:hAnsi="Times New Roman" w:eastAsia="宋体"/>
          <w:b w:val="0"/>
          <w:sz w:val="22"/>
        </w:rPr>
        <w:t>：贸易政治经济学自Bhagwati以来争论区域协定是多边自由化的“积木”还是“绊脚石”，Baldwin的“21世纪区域主义”进一步指出供应链驱动的深度规则。这一争论把关系压缩为单一维度，且主要局限于贸易领域。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机制复合体（regime complex）</w:t>
      </w:r>
      <w:r>
        <w:rPr>
          <w:rFonts w:ascii="Times New Roman" w:hAnsi="Times New Roman" w:eastAsia="宋体"/>
          <w:b w:val="0"/>
          <w:sz w:val="22"/>
        </w:rPr>
        <w:t>：Raustiala与Victor、Alter与Meunier、Keohane与Victor等人的研究关注重叠与选择性挑选论坛（forum shopping），但通常把“区域”当作功能性重叠的又一个节点，忽视区域的</w:t>
      </w:r>
      <w:r>
        <w:rPr>
          <w:rFonts w:ascii="Times New Roman" w:hAnsi="Times New Roman" w:eastAsia="宋体"/>
          <w:b/>
          <w:sz w:val="22"/>
        </w:rPr>
        <w:t>地方性、认同性与历史性</w:t>
      </w:r>
      <w:r>
        <w:rPr>
          <w:rFonts w:ascii="Times New Roman" w:hAnsi="Times New Roman" w:eastAsia="宋体"/>
          <w:b w:val="0"/>
          <w:sz w:val="22"/>
        </w:rPr>
        <w:t>。WP 2024《时间中的全球治理》补上了时间维度，但“空间—地方”维度仍然薄弱。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比较区域主义</w:t>
      </w:r>
      <w:r>
        <w:rPr>
          <w:rFonts w:ascii="Times New Roman" w:hAnsi="Times New Roman" w:eastAsia="宋体"/>
          <w:b w:val="0"/>
          <w:sz w:val="22"/>
        </w:rPr>
        <w:t>：Börzel与Risse、Söderbaum、Hettne与Söderbaum的“区域性”（regionness）、Katzenstein的“区域构成的世界”深刻刻画了区域，但往往把全球层当作背景条件，较少系统理论化</w:t>
      </w:r>
      <w:r>
        <w:rPr>
          <w:rFonts w:ascii="Times New Roman" w:hAnsi="Times New Roman" w:eastAsia="宋体"/>
          <w:b/>
          <w:sz w:val="22"/>
        </w:rPr>
        <w:t>区域如何反向塑造全球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由此形成一个理论缺口：</w:t>
      </w:r>
      <w:r>
        <w:rPr>
          <w:rFonts w:ascii="Times New Roman" w:hAnsi="Times New Roman" w:eastAsia="宋体"/>
          <w:b/>
          <w:sz w:val="22"/>
        </w:rPr>
        <w:t>缺少一个能同时解释“全球—区域关系形态为何不同”与“这种形态如何影响治理绩效和发展空间”的中层理论。</w:t>
      </w:r>
      <w:r>
        <w:rPr>
          <w:rFonts w:ascii="Times New Roman" w:hAnsi="Times New Roman" w:eastAsia="宋体"/>
          <w:b w:val="0"/>
          <w:sz w:val="22"/>
        </w:rPr>
        <w:t xml:space="preserve"> 区域国别学恰好处于填补这一缺口的位置。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二、张力：理论张力与现实张力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2.1 五组理论张力</w:t>
      </w:r>
    </w:p>
    <w:p>
      <w:r>
        <w:rPr>
          <w:rFonts w:ascii="Times New Roman" w:hAnsi="Times New Roman" w:eastAsia="黑体"/>
          <w:b/>
          <w:sz w:val="23"/>
        </w:rPr>
        <w:t>（1）普遍性与地方性：认识论张力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全球治理以普遍规则为合法性基础（非歧视、最惠国、普遍人权），区域治理则以地方性知识与“适合本地”为合法性基础（东盟方式、非洲方案、欧盟的“共同体法”）。理论上，这对应“规则的普遍主义”与“情境化理性”之间的张力。WP 2026关于南南移民的研究显示，在南南情境中，基于北方经验的再分配偏好理论失效。这说明这一张力不仅是规范问题，也是</w:t>
      </w:r>
      <w:r>
        <w:rPr>
          <w:rFonts w:ascii="Times New Roman" w:hAnsi="Times New Roman" w:eastAsia="宋体"/>
          <w:b/>
          <w:sz w:val="22"/>
        </w:rPr>
        <w:t>因果理论的外部有效性问题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黑体"/>
          <w:b/>
          <w:sz w:val="23"/>
        </w:rPr>
        <w:t>（2）规模与认同：功能—合法性张力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Hooghe、Lenz与Marks的国际组织理论区分了基于“共同体”的通用型组织与基于“契约”的任务型组织：前者多为区域性，后者多为全球性。</w:t>
      </w:r>
      <w:r>
        <w:rPr>
          <w:rFonts w:ascii="Times New Roman" w:hAnsi="Times New Roman" w:eastAsia="宋体"/>
          <w:b/>
          <w:sz w:val="22"/>
        </w:rPr>
        <w:t>全球层有规模但认同稀薄，区域层认同较厚但能力有限。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JCE 2025关于欧盟凝聚基金与疑欧主义的研究显示，“发展换认同”只有在成功趋同且受益可见时才成立。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JCE 2025关于国家认同与公共物品的研究提示，认同与公共物品供给可以相互强化。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区域治理的优势恰在于把发展绩效转化为认同。</w:t>
      </w:r>
    </w:p>
    <w:p>
      <w:r>
        <w:rPr>
          <w:rFonts w:ascii="Times New Roman" w:hAnsi="Times New Roman" w:eastAsia="黑体"/>
          <w:b/>
          <w:sz w:val="23"/>
        </w:rPr>
        <w:t>（3）规则深度与政策空间：发展张力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这是对全球南方最关键的张力。深度区域协定可以提供比WTO更稳定的市场准入，代价是“锁定”产业政策空间（NPE 2024对NAFTA→USMCA的分析）。“新宪政主义”通过发展合作协议向南方输出新自由主义规则（RIPE 2024）。反过来，全球规则失灵（上诉机构停摆）可能“意外”释放发展空间（RIPE 2024）。而区域金融安排可以为国家提供抵御全球金融从属的“回旋空间”（RIPE 2025越南案例）。可见，</w:t>
      </w:r>
      <w:r>
        <w:rPr>
          <w:rFonts w:ascii="Times New Roman" w:hAnsi="Times New Roman" w:eastAsia="宋体"/>
          <w:b/>
          <w:sz w:val="22"/>
        </w:rPr>
        <w:t>区域既可能是政策空间的“牢笼”，也可能是“托底”</w:t>
      </w:r>
      <w:r>
        <w:rPr>
          <w:rFonts w:ascii="Times New Roman" w:hAnsi="Times New Roman" w:eastAsia="宋体"/>
          <w:b w:val="0"/>
          <w:sz w:val="22"/>
        </w:rPr>
        <w:t>，究竟是哪一种，取决于区域制度的设计与主导者。</w:t>
      </w:r>
    </w:p>
    <w:p>
      <w:r>
        <w:rPr>
          <w:rFonts w:ascii="Times New Roman" w:hAnsi="Times New Roman" w:eastAsia="黑体"/>
          <w:b/>
          <w:sz w:val="23"/>
        </w:rPr>
        <w:t>（4）霸权供给与多中心供给：秩序张力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霸权稳定论假定全球公共物品由霸权供给，区域主义文献则强调区域大国或集体供给。霸权收缩时，区域安排可能是“补位者”，也可能成为“碎片化”推手。RIO 2024的“继承”与“再契约”研究提示：新制度往往不是“推倒重来”，而是在旧制度旁边或内部生长，这正是“叠加”逻辑。</w:t>
      </w:r>
    </w:p>
    <w:p>
      <w:r>
        <w:rPr>
          <w:rFonts w:ascii="Times New Roman" w:hAnsi="Times New Roman" w:eastAsia="黑体"/>
          <w:b/>
          <w:sz w:val="23"/>
        </w:rPr>
        <w:t>（5）全球不平等与区域内部等级：结构张力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区域并非平等共同体。欧元区金融权力使外围从属（NPE 2026），欧盟内部趋同与分化并存（NPE 2025），这些都表明</w:t>
      </w:r>
      <w:r>
        <w:rPr>
          <w:rFonts w:ascii="Times New Roman" w:hAnsi="Times New Roman" w:eastAsia="宋体"/>
          <w:b/>
          <w:sz w:val="22"/>
        </w:rPr>
        <w:t>区域可能在内部复制全球的中心—外围结构</w:t>
      </w:r>
      <w:r>
        <w:rPr>
          <w:rFonts w:ascii="Times New Roman" w:hAnsi="Times New Roman" w:eastAsia="宋体"/>
          <w:b w:val="0"/>
          <w:sz w:val="22"/>
        </w:rPr>
        <w:t>。因此，对区域治理的理论化不能浪漫化区域。区域国别研究要追问：区域内部谁主导、谁受益？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2.2 现实张力的五种表现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典型证据（七刊）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可研究问题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制度碎片化与论坛挑选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规则重叠导致合规成本、选择性适用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可持续金融治理复合体的重叠与碎片化（RIPE 2026）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碎片化何时有害、何时提供选择权？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单边/区域规则域外化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市场规模使区域规则变成事实上的全球规则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供应链“智慧组合”监管（RIPE 2024）；数字税（NPE 2025）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南方国家如何回应“布鲁塞尔效应”？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金融安全网分层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IMF、区域安排与双边互换并存，条件性不同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中国互换与外交（RIPE 2026）；美联储互换（RIPE 2026）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区域/双边安全网是替代还是补充IMF？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发展融资叠加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新机构与旧机构的竞争与联合融资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亚投行与MDB（RIPE 2026）；GDI叠加（RIPE 2026）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新旧机构何时合作？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安全安排排他性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联盟体系要求“选边”，区域机制强调包容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非排他性安全（IS）；客户规避赞助方（IS 2025）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区域开放性如何影响对冲空间？</w:t>
            </w:r>
          </w:p>
        </w:tc>
      </w:tr>
    </w:tbl>
    <w:p/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2.3 全球—区域关系的类型学（本备忘录提出）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要把“张力”转化为可研究的变量，首先要把二者的关系形态类型化。下表以“方向”和“兼容性”两个维度区分七种关系：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关系类型</w:t>
            </w:r>
          </w:p>
        </w:tc>
        <w:tc>
          <w:tcPr>
            <w:tcW w:type="dxa" w:w="1624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624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兼容性</w:t>
            </w:r>
          </w:p>
        </w:tc>
        <w:tc>
          <w:tcPr>
            <w:tcW w:type="dxa" w:w="1624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1624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1624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可检验含义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嵌套（nesting）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全球→区域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高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区域规则在全球框架内深化（WTO-plus）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GATT第24条下的FTA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区域规则文本大量引用全球条款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下载/转译（downloading/translation）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全球→区域/国家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全球规则经本地行为体改写后落地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宏观审慎转译（RIPE 2025）；国际软法由内而外（RIPE 2024）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同一规则在不同区域落地形态分化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上传（uploading）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区域→全球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中—高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区域试验规则被提交或扩散至多边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JSI（NPE 2024）；数字税倒逼OECD（NPE 2025）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多边文本中出现区域协定的文本复用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叠加（layering）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并行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在既有体系旁加设新制度，逐步改变整体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GDI；G20共同框架；亚投行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新旧机构联合项目与人员流动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替代（substitution）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并行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低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全球失灵时区域/诸边补位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MPIA；区域安全网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全球机制僵局后区域机制使用率上升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竞争（contestation）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并行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低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不同规则体系争夺第三方采纳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数字规则的欧美中分化；基础设施融资模式竞争（NPE 2025）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第三国“规则选择”的决定因素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区域间对接（interregional）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横向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可变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两个区域体系之间谈判与互认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欧盟—南方共同市场（RIPE 2026）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对接深度取决于权力对称性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这一类型学的价值在于：它把“全球与区域是什么关系”变成</w:t>
      </w:r>
      <w:r>
        <w:rPr>
          <w:rFonts w:ascii="Times New Roman" w:hAnsi="Times New Roman" w:eastAsia="宋体"/>
          <w:b/>
          <w:sz w:val="22"/>
        </w:rPr>
        <w:t>因变量</w:t>
      </w:r>
      <w:r>
        <w:rPr>
          <w:rFonts w:ascii="Times New Roman" w:hAnsi="Times New Roman" w:eastAsia="宋体"/>
          <w:b w:val="0"/>
          <w:sz w:val="22"/>
        </w:rPr>
        <w:t>，把区域内部结构（主导国、制度密度、认同强度、对外依附程度）变成</w:t>
      </w:r>
      <w:r>
        <w:rPr>
          <w:rFonts w:ascii="Times New Roman" w:hAnsi="Times New Roman" w:eastAsia="宋体"/>
          <w:b/>
          <w:sz w:val="22"/>
        </w:rPr>
        <w:t>自变量</w:t>
      </w:r>
      <w:r>
        <w:rPr>
          <w:rFonts w:ascii="Times New Roman" w:hAnsi="Times New Roman" w:eastAsia="宋体"/>
          <w:b w:val="0"/>
          <w:sz w:val="22"/>
        </w:rPr>
        <w:t>，把治理绩效与发展空间变成</w:t>
      </w:r>
      <w:r>
        <w:rPr>
          <w:rFonts w:ascii="Times New Roman" w:hAnsi="Times New Roman" w:eastAsia="宋体"/>
          <w:b/>
          <w:sz w:val="22"/>
        </w:rPr>
        <w:t>后果变量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三、对话：从“二分”走向“跨尺度互构”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3.1 对话的分析框架：方向 × 行动者 × 时间 × 关系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本备忘录建议用四个维度搭建全球与区域治理的对话框架。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方向</w:t>
      </w:r>
      <w:r>
        <w:rPr>
          <w:rFonts w:ascii="Times New Roman" w:hAnsi="Times New Roman" w:eastAsia="宋体"/>
          <w:b w:val="0"/>
          <w:sz w:val="22"/>
        </w:rPr>
        <w:t>：自上而下的“下载—转译”、自下而上的“上传—扩散”、横向的“区域间对接”。Acharya的“建构性本土化”（constitutive localization）解释了下载中的选择性改写，NPE 2024的JSI研究与“外向内区域主义”（如C5+X模式）则提示上传与外力塑造区域同样重要。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行动者</w:t>
      </w:r>
      <w:r>
        <w:rPr>
          <w:rFonts w:ascii="Times New Roman" w:hAnsi="Times New Roman" w:eastAsia="宋体"/>
          <w:b w:val="0"/>
          <w:sz w:val="22"/>
        </w:rPr>
        <w:t>：中等强国、小国（RIO 2024“弱者的权力”；WP 2026外交经验与小国议程设置）、国际官僚、跨国行业协会（RIPE 2026关于中国高风险技术安全标准）、知识共同体（IO 2025、NPE 2024关于IPCC）以及企业。</w:t>
      </w:r>
      <w:r>
        <w:rPr>
          <w:rFonts w:ascii="Times New Roman" w:hAnsi="Times New Roman" w:eastAsia="宋体"/>
          <w:b/>
          <w:sz w:val="22"/>
        </w:rPr>
        <w:t>区域转译者</w:t>
      </w:r>
      <w:r>
        <w:rPr>
          <w:rFonts w:ascii="Times New Roman" w:hAnsi="Times New Roman" w:eastAsia="宋体"/>
          <w:b w:val="0"/>
          <w:sz w:val="22"/>
        </w:rPr>
        <w:t>（见第六部分）是连接两个尺度的关键。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时间</w:t>
      </w:r>
      <w:r>
        <w:rPr>
          <w:rFonts w:ascii="Times New Roman" w:hAnsi="Times New Roman" w:eastAsia="宋体"/>
          <w:b w:val="0"/>
          <w:sz w:val="22"/>
        </w:rPr>
        <w:t>：WP 2024的“制度序列”提示，先建立的制度会设定后来制度的选项空间。全球先于区域（如布雷顿森林先于亚洲金融合作）与区域先于全球（如欧洲规则先于全球数据规则），会形成不同的关系形态。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关系</w:t>
      </w:r>
      <w:r>
        <w:rPr>
          <w:rFonts w:ascii="Times New Roman" w:hAnsi="Times New Roman" w:eastAsia="宋体"/>
          <w:b w:val="0"/>
          <w:sz w:val="22"/>
        </w:rPr>
        <w:t>：WP 2025《国际制度的社会情境》显示，同一制度在不同成员关系网络中效果不同。这可与秦亚青的关系理论直接对话：</w:t>
      </w:r>
      <w:r>
        <w:rPr>
          <w:rFonts w:ascii="Times New Roman" w:hAnsi="Times New Roman" w:eastAsia="宋体"/>
          <w:b/>
          <w:sz w:val="22"/>
        </w:rPr>
        <w:t>治理有效性不仅取决于规则设计，还取决于成员间关系的密度与质量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3.2 区域国别学在对话中的独特角色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WP 2025《东南亚与世界政治》讨论了区域研究与政治学/IR的关系。对本备忘录而言，其启示是：区域研究不应被定位为“学科理论的试验场”，而应承担三种主动功能。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范围条件提供者</w:t>
      </w:r>
      <w:r>
        <w:rPr>
          <w:rFonts w:ascii="Times New Roman" w:hAnsi="Times New Roman" w:eastAsia="宋体"/>
          <w:b w:val="0"/>
          <w:sz w:val="22"/>
        </w:rPr>
        <w:t>：解释一般理论在何种区域条件下成立。例如“霸权退出→盟友自主化”的命题在东南亚可能变成“对冲强化”。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机制发现者</w:t>
      </w:r>
      <w:r>
        <w:rPr>
          <w:rFonts w:ascii="Times New Roman" w:hAnsi="Times New Roman" w:eastAsia="宋体"/>
          <w:b w:val="0"/>
          <w:sz w:val="22"/>
        </w:rPr>
        <w:t>：通过深度田野识别新机制，例如“灵活嵌入”（RIPE 2026）、“分解中国”（RIPE 2025）、南南政策转移中的个体能动性（RIPE 2024）。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概念生成者</w:t>
      </w:r>
      <w:r>
        <w:rPr>
          <w:rFonts w:ascii="Times New Roman" w:hAnsi="Times New Roman" w:eastAsia="宋体"/>
          <w:b w:val="0"/>
          <w:sz w:val="22"/>
        </w:rPr>
        <w:t>：从区域经验中抽象出可跨区域检验的中层概念，例如越南“绿色国家的回旋空间”（RIPE 2025）、适应性政治经济学（WP 2025）。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3.3 一个分析装置：全球—区域治理的“三元悖论”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借鉴Rodrik“全球化三元悖论”与Mundell“不可能三角”的结构，本备忘录尝试提出一个启发性命题：</w:t>
      </w:r>
      <w:r>
        <w:rPr>
          <w:rFonts w:ascii="Times New Roman" w:hAnsi="Times New Roman" w:eastAsia="宋体"/>
          <w:b/>
          <w:sz w:val="22"/>
        </w:rPr>
        <w:t>在给定议题领域内，规则普遍性（universality）、区域自主性（regional autonomy/政策空间）与制度深度（depth/约束力）三者难以同时最大化，最多兼得其二。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组合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牺牲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典型形态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例子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普遍性 + 深度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区域自主性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全球统一硬规则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WTO争端解决鼎盛期；巴塞尔协议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普遍性 + 区域自主性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深度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全球软框架 + 区域自定实施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《巴黎协定》NDC；2030年可持续发展议程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深度 + 区域自主性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普遍性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区域深度一体化，全球碎片化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欧盟单一市场；区域数字规则集团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一装置的研究价值在于，它可以把每个区域或议题“选择哪个角”的问题交给区域国别研究来解释。不同区域的选择取决于：主导国偏好、区域制度化程度、对全球市场的依赖、国内发展战略、历史上的殖民/依附结构。它还可以对中国的方案作出理论定位：</w:t>
      </w:r>
      <w:r>
        <w:rPr>
          <w:rFonts w:ascii="Times New Roman" w:hAnsi="Times New Roman" w:eastAsia="宋体"/>
          <w:b/>
          <w:sz w:val="22"/>
        </w:rPr>
        <w:t>“以联合国为核心”的普遍性与“共商共建共享”的自主性组合，意味着在深度上更多依赖软法、项目与伙伴关系</w:t>
      </w:r>
      <w:r>
        <w:rPr>
          <w:rFonts w:ascii="Times New Roman" w:hAnsi="Times New Roman" w:eastAsia="宋体"/>
          <w:b w:val="0"/>
          <w:sz w:val="22"/>
        </w:rPr>
        <w:t>。这也解释了为何GDI、“一带一路”多采取“项目+伙伴关系网络”而非“条约+强制约束”的形式。</w:t>
      </w:r>
    </w:p>
    <w:p>
      <w:pPr>
        <w:ind w:left="454"/>
      </w:pPr>
      <w:r>
        <w:rPr>
          <w:rFonts w:ascii="Times New Roman" w:hAnsi="Times New Roman" w:eastAsia="楷体"/>
          <w:b w:val="0"/>
          <w:color w:val="404040"/>
          <w:sz w:val="21"/>
        </w:rPr>
        <w:t>注意：三元悖论应作为“启发性命题”而非“铁律”使用，可通过制度设计（如差异化义务、可变几何、过渡期）部分缓解。缓解机制本身就是好的研究问题。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四、知识融通与规则对接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4.1 “知识融通”的三个层次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概念融通</w:t>
      </w:r>
      <w:r>
        <w:rPr>
          <w:rFonts w:ascii="Times New Roman" w:hAnsi="Times New Roman" w:eastAsia="宋体"/>
          <w:b w:val="0"/>
          <w:sz w:val="22"/>
        </w:rPr>
        <w:t>：概念能否跨情境使用？Sartori的“抽象阶梯”警告“概念拉伸”（concept stretching）：把西方概念不加修正地套用于中国或全球南方。NPE 2024《中国金融化了吗？》即是一例，它显示中国金融虽然大幅扩张，但其服务国家发展目标的底层性质并未改变。融通的方法是：沿阶梯上移，提高抽象层次、减少内涵；或采用“家族相似”与“径向类型”（Collier与Mahon）构造概念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机制融通</w:t>
      </w:r>
      <w:r>
        <w:rPr>
          <w:rFonts w:ascii="Times New Roman" w:hAnsi="Times New Roman" w:eastAsia="宋体"/>
          <w:b w:val="0"/>
          <w:sz w:val="22"/>
        </w:rPr>
        <w:t>：Falleti与Lynch指出，因果机制的作用依赖情境。融通不是移植“结论”（如“援助导致依赖”），而是识别在不同情境中可迁移的“机制+激活条件”（如“债权人协调失灵在何种网络结构下发生”）。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规则融通</w:t>
      </w:r>
      <w:r>
        <w:rPr>
          <w:rFonts w:ascii="Times New Roman" w:hAnsi="Times New Roman" w:eastAsia="宋体"/>
          <w:b w:val="0"/>
          <w:sz w:val="22"/>
        </w:rPr>
        <w:t>：制度层面的融通即规则对接，见下文。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4.2 “规则对接”的类型谱系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在中国的政策语境中，“规则对接”常与“制度型开放”“对接高标准国际经贸规则”联系在一起。学术上需要把它与协调（harmonization）、趋同（convergence）、扩散（diffusion）、互认（mutual recognition）、等效（equivalence）、互操作（interoperability）等既有概念区分开。本备忘录建议按“一体化程度从低到高”建立对接谱系：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对接方式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对政策空间的影响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信息对接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透明度、通报、数据交换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WTO通报；统计口径协调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几乎无约束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互操作对接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不同规则体系可连接运行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数字贸易模块化协定（DEPA）；支付系统互联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低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等效对接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承认对方规则达到等效目标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金融监管等效认定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中，保留形式差异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互认对接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相互承认标准、资格、认证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合格评定互认；AEO互认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嵌套对接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区域规则在全球规则框架内深化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WTO-plus条款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中—高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协调/统一对接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采用共同规则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欧盟单一市场规则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高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试验性对接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在特定空间先行先试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自贸试验区对接CPTPP/DEPA规则的压力测试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可控、可回退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这一谱系的理论意义有两点：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规则对接是一个连续变量而非二元选择。“深度”与“空间”之间存在可设计的权衡，</w:t>
      </w:r>
      <w:r>
        <w:rPr>
          <w:rFonts w:ascii="Times New Roman" w:hAnsi="Times New Roman" w:eastAsia="宋体"/>
          <w:b/>
          <w:sz w:val="22"/>
        </w:rPr>
        <w:t>对南方国家而言，层级2—4与层级7往往是兼顾开放与发展空间的“最优区间”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试验性对接（层级7）是中国制度实践中较有特色的形式：以地理上或功能上隔离的空间进行规则压力测试，再决定是否推广。这可以与“适应性政治经济学”（WP 2025）的“有指导的即兴”对话，形成可检验的理论。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4.3 规则对接何时成功？可检验命题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命题1（对称性）</w:t>
      </w:r>
      <w:r>
        <w:rPr>
          <w:rFonts w:ascii="Times New Roman" w:hAnsi="Times New Roman" w:eastAsia="宋体"/>
          <w:b w:val="0"/>
          <w:sz w:val="22"/>
        </w:rPr>
        <w:t>：对接双方的权力越对称、相互依赖越均衡，对接越可能采取互认/等效形式，而非单向接受。欧盟—南方共同市场的知识产权谈判（RIPE 2026）提示了不对称情形下的“本体论”冲突。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命题2（转译者）</w:t>
      </w:r>
      <w:r>
        <w:rPr>
          <w:rFonts w:ascii="Times New Roman" w:hAnsi="Times New Roman" w:eastAsia="宋体"/>
          <w:b w:val="0"/>
          <w:sz w:val="22"/>
        </w:rPr>
        <w:t>：区域内存在具备双重嵌入（同时嵌入全球网络与本地网络）的“转译者”时，下载式对接更可能成功且保留本地适应性（RIPE 2025；RIPE 2024）。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命题3（发展空间）</w:t>
      </w:r>
      <w:r>
        <w:rPr>
          <w:rFonts w:ascii="Times New Roman" w:hAnsi="Times New Roman" w:eastAsia="宋体"/>
          <w:b w:val="0"/>
          <w:sz w:val="22"/>
        </w:rPr>
        <w:t>：对接协定中保留的政策空间工具（例外条款、过渡期、差别待遇）越多，南方国家参与深度对接的意愿越高（NPE 2024；RIPE 2025关于WTO与普惠制）。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命题4（价值链）</w:t>
      </w:r>
      <w:r>
        <w:rPr>
          <w:rFonts w:ascii="Times New Roman" w:hAnsi="Times New Roman" w:eastAsia="宋体"/>
          <w:b w:val="0"/>
          <w:sz w:val="22"/>
        </w:rPr>
        <w:t>：价值链嵌入越深，对接需求越强，且越可能从“边境规则”转向“边境后规则”（RIO 2026全球价值链与贸易协定设计；RIPE 2025）。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4.4 测量与数据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文本复用</w:t>
      </w:r>
      <w:r>
        <w:rPr>
          <w:rFonts w:ascii="Times New Roman" w:hAnsi="Times New Roman" w:eastAsia="宋体"/>
          <w:b w:val="0"/>
          <w:sz w:val="22"/>
        </w:rPr>
        <w:t>：用文本相似度追踪规则来源与扩散，RIO 2025《全球公域的国际谈判》是方法样板。可构建“中国自贸协定条款数据库”，与DESTA、TAPED等数据库对比。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法律距离指数</w:t>
      </w:r>
      <w:r>
        <w:rPr>
          <w:rFonts w:ascii="Times New Roman" w:hAnsi="Times New Roman" w:eastAsia="宋体"/>
          <w:b w:val="0"/>
          <w:sz w:val="22"/>
        </w:rPr>
        <w:t>：在条款层面编码对接方式（1—7级）与政策空间工具。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过程追踪+访谈</w:t>
      </w:r>
      <w:r>
        <w:rPr>
          <w:rFonts w:ascii="Times New Roman" w:hAnsi="Times New Roman" w:eastAsia="宋体"/>
          <w:b w:val="0"/>
          <w:sz w:val="22"/>
        </w:rPr>
        <w:t>：重建对接谈判中的偏好与权衡（NPE 2024的107次访谈；NPE 2024对60个WTO成员官员的访谈）。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五、以区域国别研究为切口推进中国自主知识体系（及反之）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5.1 为什么区域国别研究是“优先切口”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西方理论与非西方情境的交汇点在区域</w:t>
      </w:r>
      <w:r>
        <w:rPr>
          <w:rFonts w:ascii="Times New Roman" w:hAnsi="Times New Roman" w:eastAsia="宋体"/>
          <w:b w:val="0"/>
          <w:sz w:val="22"/>
        </w:rPr>
        <w:t>：大量理论“异例”首先出现在区域情境中，例如南南移民、越南绿色国家、中国金融。异例是理论创新的原材料。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中国的治理实践高度“区域化/伙伴化”</w:t>
      </w:r>
      <w:r>
        <w:rPr>
          <w:rFonts w:ascii="Times New Roman" w:hAnsi="Times New Roman" w:eastAsia="宋体"/>
          <w:b w:val="0"/>
          <w:sz w:val="22"/>
        </w:rPr>
        <w:t>：澜湄合作、中国—中亚机制、中国—东盟自贸区升级、中非合作论坛、中阿合作论坛、“一带一路”的区域网络，构成丰富的“实践储备”。七刊中的中国在地研究（肯尼亚、埃塞俄比亚、中东、拉美）表明这一储备已成为国际学界的焦点。如果中国学者不提供基于在地田野的高质量解释，这一领域的叙事权就会由他人掌握（参见RIPE 2026关于美国智库对“一带一路”在中东北非叙事的研究）。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全球南方的思想资源可共建</w:t>
      </w:r>
      <w:r>
        <w:rPr>
          <w:rFonts w:ascii="Times New Roman" w:hAnsi="Times New Roman" w:eastAsia="宋体"/>
          <w:b w:val="0"/>
          <w:sz w:val="22"/>
        </w:rPr>
        <w:t>：第三世界关于政治自由去殖民化的思想（RIPE 2025）、“可持续发展主义”原则（RIPE 2025）、战后贸易复合体中UNCTAD的南方挑战（RIPE 2026）都表明，自主知识体系并非“中国独有”，而是</w:t>
      </w:r>
      <w:r>
        <w:rPr>
          <w:rFonts w:ascii="Times New Roman" w:hAnsi="Times New Roman" w:eastAsia="宋体"/>
          <w:b/>
          <w:sz w:val="22"/>
        </w:rPr>
        <w:t>与全球南方共同建构的知识</w:t>
      </w:r>
      <w:r>
        <w:rPr>
          <w:rFonts w:ascii="Times New Roman" w:hAnsi="Times New Roman" w:eastAsia="宋体"/>
          <w:b w:val="0"/>
          <w:sz w:val="22"/>
        </w:rPr>
        <w:t>。这也能避免“以中国中心替代西方中心”的陷阱。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5.2 路径一（区域→自主知识）：四步法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七刊范例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1. 异例识别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在区域情境中寻找主流理论预测失败之处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南南移民与再分配偏好（WP 2026）；中国是否金融化（NPE 2024）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2. 机制挖掘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田野、访谈、过程追踪，识别新机制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灵活嵌入（RIPE 2026）；分解中国（RIPE 2025）；南南政策转移中的个体能动性（RIPE 2024）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3. 概念上升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命名并界定中层概念，明确种差与范围条件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绿色国家的回旋空间（RIPE 2025）；适应性政治经济学（WP 2025）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4. 跨区域检验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在其他区域或议题中检验迁移性，修正范围条件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竞争性基础设施投资的扩散：效仿与学习中国（RIPE 2025）</w:t>
            </w:r>
          </w:p>
        </w:tc>
      </w:tr>
    </w:tbl>
    <w:p/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5.3 路径二（自主知识→区域研究）：以中国概念为“透镜”产生可检验假设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自主知识体系的概念资源可以转化为区域研究中的</w:t>
      </w:r>
      <w:r>
        <w:rPr>
          <w:rFonts w:ascii="Times New Roman" w:hAnsi="Times New Roman" w:eastAsia="宋体"/>
          <w:b/>
          <w:sz w:val="22"/>
        </w:rPr>
        <w:t>理论透镜</w:t>
      </w:r>
      <w:r>
        <w:rPr>
          <w:rFonts w:ascii="Times New Roman" w:hAnsi="Times New Roman" w:eastAsia="宋体"/>
          <w:b w:val="0"/>
          <w:sz w:val="22"/>
        </w:rPr>
        <w:t>。前提是它们必须被转化为可证伪的命题。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关系性</w:t>
      </w:r>
      <w:r>
        <w:rPr>
          <w:rFonts w:ascii="Times New Roman" w:hAnsi="Times New Roman" w:eastAsia="宋体"/>
          <w:b w:val="0"/>
          <w:sz w:val="22"/>
        </w:rPr>
        <w:t>（秦亚青关系理论）：可转化为“成员间关系网络的密度与质量调节制度有效性”这一假设，与WP 2025《国际制度的社会情境》形成直接对话。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发展优先与发展权</w:t>
      </w:r>
      <w:r>
        <w:rPr>
          <w:rFonts w:ascii="Times New Roman" w:hAnsi="Times New Roman" w:eastAsia="宋体"/>
          <w:b w:val="0"/>
          <w:sz w:val="22"/>
        </w:rPr>
        <w:t>：可转化为“发展绩效是区域制度合法性的主要来源”这一假设，可与JCE 2025欧盟凝聚基金研究、IO 2026威权改革与外部合法性研究对话。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共商共建共享</w:t>
      </w:r>
      <w:r>
        <w:rPr>
          <w:rFonts w:ascii="Times New Roman" w:hAnsi="Times New Roman" w:eastAsia="宋体"/>
          <w:b w:val="0"/>
          <w:sz w:val="22"/>
        </w:rPr>
        <w:t>：可转化为“程序上的共商程度（议程设置参与、项目共同决策）提高东道国所有权与项目可持续性”，可用项目层面数据检验，与RIO 2024“弱国的武器”中的所有权研究对话。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和而不同</w:t>
      </w:r>
      <w:r>
        <w:rPr>
          <w:rFonts w:ascii="Times New Roman" w:hAnsi="Times New Roman" w:eastAsia="宋体"/>
          <w:b w:val="0"/>
          <w:sz w:val="22"/>
        </w:rPr>
        <w:t>：可转化为“允许规则异质的互操作/等效对接比统一对接更可持续”，对应4.2的谱系。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适应性与试验主义</w:t>
      </w:r>
      <w:r>
        <w:rPr>
          <w:rFonts w:ascii="Times New Roman" w:hAnsi="Times New Roman" w:eastAsia="宋体"/>
          <w:b w:val="0"/>
          <w:sz w:val="22"/>
        </w:rPr>
        <w:t>：可转化为“试验性对接降低规则对接的政治成本”，与WP 2025的适应性政治经济学对话。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5.4 质量标准与需要避免的陷阱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四个“可”的标准</w:t>
      </w:r>
      <w:r>
        <w:rPr>
          <w:rFonts w:ascii="Times New Roman" w:hAnsi="Times New Roman" w:eastAsia="宋体"/>
          <w:b w:val="0"/>
          <w:sz w:val="22"/>
        </w:rPr>
        <w:t>：可对话（与国际主流文献形成明确对话）、可检验（命题可证伪）、可迁移（超出中国单一案例）、可积累（形成数据与方法的公共产品）。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陷阱一：概念拉伸与反向拉伸</w:t>
      </w:r>
      <w:r>
        <w:rPr>
          <w:rFonts w:ascii="Times New Roman" w:hAnsi="Times New Roman" w:eastAsia="宋体"/>
          <w:b w:val="0"/>
          <w:sz w:val="22"/>
        </w:rPr>
        <w:t>。既不能把西方概念套用于中国，也不能把中国政策话语直接当作学术概念。政策话语需要经过“去口号化”，即明确定义、维度与测量。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陷阱二：例外论</w:t>
      </w:r>
      <w:r>
        <w:rPr>
          <w:rFonts w:ascii="Times New Roman" w:hAnsi="Times New Roman" w:eastAsia="宋体"/>
          <w:b w:val="0"/>
          <w:sz w:val="22"/>
        </w:rPr>
        <w:t>。“中国特殊”不是理论，“中国作为某一类型的一个案例”才是。要把中国放入比较框架（如“国家引导型市场经济”，JCE 2025）。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陷阱三：只有中国视角</w:t>
      </w:r>
      <w:r>
        <w:rPr>
          <w:rFonts w:ascii="Times New Roman" w:hAnsi="Times New Roman" w:eastAsia="宋体"/>
          <w:b w:val="0"/>
          <w:sz w:val="22"/>
        </w:rPr>
        <w:t>。高质量研究需要东道国视角与多方视角，例如“分解中国”和东道国能动性研究。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陷阱四：方法依附</w:t>
      </w:r>
      <w:r>
        <w:rPr>
          <w:rFonts w:ascii="Times New Roman" w:hAnsi="Times New Roman" w:eastAsia="宋体"/>
          <w:b w:val="0"/>
          <w:sz w:val="22"/>
        </w:rPr>
        <w:t>。可以在方法上与国际接轨，但应建设自主的数据基础设施：中文语料、中国外交数据、多语种区域语料。JCE 2026利用清华大学中外关系指数构建“地缘政治转折点”，就是自主数据产生国际影响的范例。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六、标识性概念的建构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6.1 什么是好的标识性概念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借鉴Gerring关于“好概念”的标准，以及Goertz关于概念的三层结构（基本层—次级维度—指标层），标识性概念应满足以下要求：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辨识度</w:t>
      </w:r>
      <w:r>
        <w:rPr>
          <w:rFonts w:ascii="Times New Roman" w:hAnsi="Times New Roman" w:eastAsia="宋体"/>
          <w:b w:val="0"/>
          <w:sz w:val="22"/>
        </w:rPr>
        <w:t>：指称一种既有概念无法准确捕捉的现象或机制，并与相近概念有清晰的种差；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解释力</w:t>
      </w:r>
      <w:r>
        <w:rPr>
          <w:rFonts w:ascii="Times New Roman" w:hAnsi="Times New Roman" w:eastAsia="宋体"/>
          <w:b w:val="0"/>
          <w:sz w:val="22"/>
        </w:rPr>
        <w:t>：能进入因果命题，充当自变量、中介变量或因变量；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可操作化</w:t>
      </w:r>
      <w:r>
        <w:rPr>
          <w:rFonts w:ascii="Times New Roman" w:hAnsi="Times New Roman" w:eastAsia="宋体"/>
          <w:b w:val="0"/>
          <w:sz w:val="22"/>
        </w:rPr>
        <w:t>：有维度、有指标、有数据来源；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可迁移</w:t>
      </w:r>
      <w:r>
        <w:rPr>
          <w:rFonts w:ascii="Times New Roman" w:hAnsi="Times New Roman" w:eastAsia="宋体"/>
          <w:b w:val="0"/>
          <w:sz w:val="22"/>
        </w:rPr>
        <w:t>：能在多个区域或议题中使用；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双语可传播</w:t>
      </w:r>
      <w:r>
        <w:rPr>
          <w:rFonts w:ascii="Times New Roman" w:hAnsi="Times New Roman" w:eastAsia="宋体"/>
          <w:b w:val="0"/>
          <w:sz w:val="22"/>
        </w:rPr>
        <w:t>：有准确、简洁、不引起误解的英文表达，便于国际发表与引用；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源于实践而高于实践</w:t>
      </w:r>
      <w:r>
        <w:rPr>
          <w:rFonts w:ascii="Times New Roman" w:hAnsi="Times New Roman" w:eastAsia="宋体"/>
          <w:b w:val="0"/>
          <w:sz w:val="22"/>
        </w:rPr>
        <w:t>：根植中国与全球南方的治理实践，但不是政策口号的翻译。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6.2 建构程序（七步）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关键问题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1. 现象定位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有哪些被反复观察到、却没有恰当名称的现象？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现象清单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2. 异例确认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主流概念为何不能解释或命名它？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文献缺口说明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3. 命名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名称是否准确、简洁、可翻译？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中英文术语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4. 界定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属概念是什么？种差是什么？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定义+与相近概念对照表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5. 维度与指标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由哪些次级维度构成？如何测量？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测量方案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6. 命题与检验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它解释什么？被什么解释？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可证伪命题+研究设计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7. 迁移与传播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能否在其他区域/议题中使用？英文表述是否清楚？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跨区域案例、英文论文</w:t>
            </w:r>
          </w:p>
        </w:tc>
      </w:tr>
    </w:tbl>
    <w:p/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6.3 六个候选标识性概念</w:t>
      </w:r>
    </w:p>
    <w:p>
      <w:pPr>
        <w:ind w:left="454"/>
      </w:pPr>
      <w:r>
        <w:rPr>
          <w:rFonts w:ascii="Times New Roman" w:hAnsi="Times New Roman" w:eastAsia="楷体"/>
          <w:b w:val="0"/>
          <w:color w:val="404040"/>
          <w:sz w:val="21"/>
        </w:rPr>
        <w:t>以下概念为尝试性提出。使用前请检索中英文文献查重，确认是否已有相近用法，并据此调整名称或强调种差。</w:t>
      </w:r>
    </w:p>
    <w:p>
      <w:r>
        <w:rPr>
          <w:rFonts w:ascii="Times New Roman" w:hAnsi="Times New Roman" w:eastAsia="黑体"/>
          <w:b/>
          <w:sz w:val="23"/>
        </w:rPr>
        <w:t>概念一：规则对接（Rule Docking）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定义</w:t>
      </w:r>
      <w:r>
        <w:rPr>
          <w:rFonts w:ascii="Times New Roman" w:hAnsi="Times New Roman" w:eastAsia="宋体"/>
          <w:b w:val="0"/>
          <w:sz w:val="22"/>
        </w:rPr>
        <w:t>：不同治理尺度或不同规则体系之间，在保留规则异质性与发展空间的前提下，经由协商建立兼容、互认或可连接关系的过程与状态。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种差</w:t>
      </w:r>
      <w:r>
        <w:rPr>
          <w:rFonts w:ascii="Times New Roman" w:hAnsi="Times New Roman" w:eastAsia="宋体"/>
          <w:b w:val="0"/>
          <w:sz w:val="22"/>
        </w:rPr>
        <w:t>：区别于“接轨”的单向接受、“协调”的统一化、“扩散”的非协商传播，强调</w:t>
      </w:r>
      <w:r>
        <w:rPr>
          <w:rFonts w:ascii="Times New Roman" w:hAnsi="Times New Roman" w:eastAsia="宋体"/>
          <w:b/>
          <w:sz w:val="22"/>
        </w:rPr>
        <w:t>双向性、协商性、异质性保留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维度</w:t>
      </w:r>
      <w:r>
        <w:rPr>
          <w:rFonts w:ascii="Times New Roman" w:hAnsi="Times New Roman" w:eastAsia="宋体"/>
          <w:b w:val="0"/>
          <w:sz w:val="22"/>
        </w:rPr>
        <w:t>：方向（单向/双向）；深度（4.2的七级谱系）；对称性（谁调整得更多）；空间保留（例外、过渡期、差别待遇条款数）。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测量</w:t>
      </w:r>
      <w:r>
        <w:rPr>
          <w:rFonts w:ascii="Times New Roman" w:hAnsi="Times New Roman" w:eastAsia="宋体"/>
          <w:b w:val="0"/>
          <w:sz w:val="22"/>
        </w:rPr>
        <w:t>：协定条款编码；文本复用；谈判过程追踪。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</w:t>
      </w:r>
      <w:r>
        <w:rPr>
          <w:rFonts w:ascii="Times New Roman" w:hAnsi="Times New Roman" w:eastAsia="宋体"/>
          <w:b w:val="0"/>
          <w:sz w:val="22"/>
        </w:rPr>
        <w:t>：对称性越高、转译者越多、空间保留越多，对接越持久，对南方国家的发展效应越正面。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适用案例</w:t>
      </w:r>
      <w:r>
        <w:rPr>
          <w:rFonts w:ascii="Times New Roman" w:hAnsi="Times New Roman" w:eastAsia="宋体"/>
          <w:b w:val="0"/>
          <w:sz w:val="22"/>
        </w:rPr>
        <w:t>：中国—东盟自贸区升级与DEPA规则；RCEP原产地规则与价值链；“一带一路”标准联通；自贸试验区对接高标准规则；MPIA。</w:t>
      </w:r>
    </w:p>
    <w:p>
      <w:r>
        <w:rPr>
          <w:rFonts w:ascii="Times New Roman" w:hAnsi="Times New Roman" w:eastAsia="黑体"/>
          <w:b/>
          <w:sz w:val="23"/>
        </w:rPr>
        <w:t>概念二：发展空间托底（Regional Policy-Space Buffering）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定义</w:t>
      </w:r>
      <w:r>
        <w:rPr>
          <w:rFonts w:ascii="Times New Roman" w:hAnsi="Times New Roman" w:eastAsia="宋体"/>
          <w:b w:val="0"/>
          <w:sz w:val="22"/>
        </w:rPr>
        <w:t>：区域性制度（区域金融安排、区域协定的灵活条款、区域开发融资）在全球规则或全球市场压力下，为成员国保留或扩大发展政策空间的功能。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种差</w:t>
      </w:r>
      <w:r>
        <w:rPr>
          <w:rFonts w:ascii="Times New Roman" w:hAnsi="Times New Roman" w:eastAsia="宋体"/>
          <w:b w:val="0"/>
          <w:sz w:val="22"/>
        </w:rPr>
        <w:t>：区别于“政策空间”的静态概念，强调区域层作为全球压力与国家选择之间的</w:t>
      </w:r>
      <w:r>
        <w:rPr>
          <w:rFonts w:ascii="Times New Roman" w:hAnsi="Times New Roman" w:eastAsia="宋体"/>
          <w:b/>
          <w:sz w:val="22"/>
        </w:rPr>
        <w:t>缓冲层</w:t>
      </w:r>
      <w:r>
        <w:rPr>
          <w:rFonts w:ascii="Times New Roman" w:hAnsi="Times New Roman" w:eastAsia="宋体"/>
          <w:b w:val="0"/>
          <w:sz w:val="22"/>
        </w:rPr>
        <w:t>，并具有“托底”或“侵蚀”两种可能的方向。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维度</w:t>
      </w:r>
      <w:r>
        <w:rPr>
          <w:rFonts w:ascii="Times New Roman" w:hAnsi="Times New Roman" w:eastAsia="宋体"/>
          <w:b w:val="0"/>
          <w:sz w:val="22"/>
        </w:rPr>
        <w:t>：金融托底（流动性、互换、区域储备）；规则托底（例外与灵活性）；融资托底（无附加政策条件的开发融资）。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测量</w:t>
      </w:r>
      <w:r>
        <w:rPr>
          <w:rFonts w:ascii="Times New Roman" w:hAnsi="Times New Roman" w:eastAsia="宋体"/>
          <w:b w:val="0"/>
          <w:sz w:val="22"/>
        </w:rPr>
        <w:t>：区域安全网规模与条件性；协定灵活性条款；危机期间国家政策选择的变化（如资本管制、产业政策）。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</w:t>
      </w:r>
      <w:r>
        <w:rPr>
          <w:rFonts w:ascii="Times New Roman" w:hAnsi="Times New Roman" w:eastAsia="宋体"/>
          <w:b w:val="0"/>
          <w:sz w:val="22"/>
        </w:rPr>
        <w:t>：区域托底能力越强，全球金融冲击下成员国维持逆周期与产业政策的能力越强。越南（RIPE 2025）、拉美央行（NPE 2025）可作对照。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对话对象</w:t>
      </w:r>
      <w:r>
        <w:rPr>
          <w:rFonts w:ascii="Times New Roman" w:hAnsi="Times New Roman" w:eastAsia="宋体"/>
          <w:b w:val="0"/>
          <w:sz w:val="22"/>
        </w:rPr>
        <w:t>：Rodrik的政策空间；新宪政主义（Gill）；依附与金融从属文献。</w:t>
      </w:r>
    </w:p>
    <w:p>
      <w:r>
        <w:rPr>
          <w:rFonts w:ascii="Times New Roman" w:hAnsi="Times New Roman" w:eastAsia="黑体"/>
          <w:b/>
          <w:sz w:val="23"/>
        </w:rPr>
        <w:t>概念三：互补性叠加（Complementary Layering）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定义</w:t>
      </w:r>
      <w:r>
        <w:rPr>
          <w:rFonts w:ascii="Times New Roman" w:hAnsi="Times New Roman" w:eastAsia="宋体"/>
          <w:b w:val="0"/>
          <w:sz w:val="22"/>
        </w:rPr>
        <w:t>：新兴国家在既有国际制度之外或之内增设新制度、新倡议，并以联合融资、标准互认、人员交流等方式与既有制度形成功能互补，进而渐进改变整体治理结构的策略。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种差</w:t>
      </w:r>
      <w:r>
        <w:rPr>
          <w:rFonts w:ascii="Times New Roman" w:hAnsi="Times New Roman" w:eastAsia="宋体"/>
          <w:b w:val="0"/>
          <w:sz w:val="22"/>
        </w:rPr>
        <w:t>：在Mahoney与Thelen的“叠加”基础上，区分</w:t>
      </w:r>
      <w:r>
        <w:rPr>
          <w:rFonts w:ascii="Times New Roman" w:hAnsi="Times New Roman" w:eastAsia="宋体"/>
          <w:b/>
          <w:sz w:val="22"/>
        </w:rPr>
        <w:t>互补性叠加</w:t>
      </w:r>
      <w:r>
        <w:rPr>
          <w:rFonts w:ascii="Times New Roman" w:hAnsi="Times New Roman" w:eastAsia="宋体"/>
          <w:b w:val="0"/>
          <w:sz w:val="22"/>
        </w:rPr>
        <w:t>与</w:t>
      </w:r>
      <w:r>
        <w:rPr>
          <w:rFonts w:ascii="Times New Roman" w:hAnsi="Times New Roman" w:eastAsia="宋体"/>
          <w:b/>
          <w:sz w:val="22"/>
        </w:rPr>
        <w:t>竞争性叠加</w:t>
      </w:r>
      <w:r>
        <w:rPr>
          <w:rFonts w:ascii="Times New Roman" w:hAnsi="Times New Roman" w:eastAsia="宋体"/>
          <w:b w:val="0"/>
          <w:sz w:val="22"/>
        </w:rPr>
        <w:t>（反霸权叠加），回应RIPE 2026把GDI视为“（反）霸权策略”的讨论。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维度</w:t>
      </w:r>
      <w:r>
        <w:rPr>
          <w:rFonts w:ascii="Times New Roman" w:hAnsi="Times New Roman" w:eastAsia="宋体"/>
          <w:b w:val="0"/>
          <w:sz w:val="22"/>
        </w:rPr>
        <w:t>：功能重叠度、成员重叠度、制度联结（联合项目、谅解备忘录、人员流动）、规则相容度。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测量</w:t>
      </w:r>
      <w:r>
        <w:rPr>
          <w:rFonts w:ascii="Times New Roman" w:hAnsi="Times New Roman" w:eastAsia="宋体"/>
          <w:b w:val="0"/>
          <w:sz w:val="22"/>
        </w:rPr>
        <w:t>：亚投行与世行、亚开行的联合融资项目数据；新开发银行的项目与标准；GDI项目库。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</w:t>
      </w:r>
      <w:r>
        <w:rPr>
          <w:rFonts w:ascii="Times New Roman" w:hAnsi="Times New Roman" w:eastAsia="宋体"/>
          <w:b w:val="0"/>
          <w:sz w:val="22"/>
        </w:rPr>
        <w:t>：功能重叠度高而制度联结强时，叠加趋向互补；功能重叠度高而联结弱时，趋向竞争。主导国之间的关系质量起调节作用。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对话对象</w:t>
      </w:r>
      <w:r>
        <w:rPr>
          <w:rFonts w:ascii="Times New Roman" w:hAnsi="Times New Roman" w:eastAsia="宋体"/>
          <w:b w:val="0"/>
          <w:sz w:val="22"/>
        </w:rPr>
        <w:t>：继承与再契约（RIO 2024）；竞争性多边主义（Morse与Keohane）；点菜式多边主义（RIPE 2025）。</w:t>
      </w:r>
    </w:p>
    <w:p>
      <w:r>
        <w:rPr>
          <w:rFonts w:ascii="Times New Roman" w:hAnsi="Times New Roman" w:eastAsia="黑体"/>
          <w:b/>
          <w:sz w:val="23"/>
        </w:rPr>
        <w:t>概念四：关系型多边主义（Relational Multilateralism）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定义</w:t>
      </w:r>
      <w:r>
        <w:rPr>
          <w:rFonts w:ascii="Times New Roman" w:hAnsi="Times New Roman" w:eastAsia="宋体"/>
          <w:b w:val="0"/>
          <w:sz w:val="22"/>
        </w:rPr>
        <w:t>：以成员间长期关系网络（伙伴关系、对话机制、领导人互访、地方与人员往来）而非仅以正式规则约束来维系合作的多边主义形态。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种差</w:t>
      </w:r>
      <w:r>
        <w:rPr>
          <w:rFonts w:ascii="Times New Roman" w:hAnsi="Times New Roman" w:eastAsia="宋体"/>
          <w:b w:val="0"/>
          <w:sz w:val="22"/>
        </w:rPr>
        <w:t>：区别于Ruggie式的“基于普遍原则的多边主义”，也区别于“小多边”与“俱乐部”，强调</w:t>
      </w:r>
      <w:r>
        <w:rPr>
          <w:rFonts w:ascii="Times New Roman" w:hAnsi="Times New Roman" w:eastAsia="宋体"/>
          <w:b/>
          <w:sz w:val="22"/>
        </w:rPr>
        <w:t>关系密度是制度绩效的前置条件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维度</w:t>
      </w:r>
      <w:r>
        <w:rPr>
          <w:rFonts w:ascii="Times New Roman" w:hAnsi="Times New Roman" w:eastAsia="宋体"/>
          <w:b w:val="0"/>
          <w:sz w:val="22"/>
        </w:rPr>
        <w:t>：关系网络密度（伙伴关系层级、互访频次）；关系质量（信任、互惠）；制度形式化程度（低形式化、高关系化）。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测量</w:t>
      </w:r>
      <w:r>
        <w:rPr>
          <w:rFonts w:ascii="Times New Roman" w:hAnsi="Times New Roman" w:eastAsia="宋体"/>
          <w:b w:val="0"/>
          <w:sz w:val="22"/>
        </w:rPr>
        <w:t>：领导人出访数据集（可参照RIO 2026俄罗斯领导人出访数据集，建设中国版）；伙伴关系层级编码（参照JCE 2025的外交关系排名指数）；联大投票网络。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</w:t>
      </w:r>
      <w:r>
        <w:rPr>
          <w:rFonts w:ascii="Times New Roman" w:hAnsi="Times New Roman" w:eastAsia="宋体"/>
          <w:b w:val="0"/>
          <w:sz w:val="22"/>
        </w:rPr>
        <w:t>：在制度形式化程度较低的区域（如东南亚、中亚），关系密度对合作绩效的解释力高于规则精确度。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对话对象</w:t>
      </w:r>
      <w:r>
        <w:rPr>
          <w:rFonts w:ascii="Times New Roman" w:hAnsi="Times New Roman" w:eastAsia="宋体"/>
          <w:b w:val="0"/>
          <w:sz w:val="22"/>
        </w:rPr>
        <w:t>：秦亚青关系理论；WP 2025《国际制度的社会情境》；东盟方式研究。</w:t>
      </w:r>
    </w:p>
    <w:p>
      <w:r>
        <w:rPr>
          <w:rFonts w:ascii="Times New Roman" w:hAnsi="Times New Roman" w:eastAsia="黑体"/>
          <w:b/>
          <w:sz w:val="23"/>
        </w:rPr>
        <w:t>概念五：区域转译者（Regional Translators）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定义</w:t>
      </w:r>
      <w:r>
        <w:rPr>
          <w:rFonts w:ascii="Times New Roman" w:hAnsi="Times New Roman" w:eastAsia="宋体"/>
          <w:b w:val="0"/>
          <w:sz w:val="22"/>
        </w:rPr>
        <w:t>：同时嵌入全球治理网络与区域或本地网络，负责改写、过滤和组合全球规则，使其适应区域情境的行为体，包括技术官僚、区域秘书处、智库、行业协会、跨国企业与地方精英。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种差</w:t>
      </w:r>
      <w:r>
        <w:rPr>
          <w:rFonts w:ascii="Times New Roman" w:hAnsi="Times New Roman" w:eastAsia="宋体"/>
          <w:b w:val="0"/>
          <w:sz w:val="22"/>
        </w:rPr>
        <w:t>：区别于Acharya“规范本土化”中较为宏观的“本地行动者”，强调转译者的</w:t>
      </w:r>
      <w:r>
        <w:rPr>
          <w:rFonts w:ascii="Times New Roman" w:hAnsi="Times New Roman" w:eastAsia="宋体"/>
          <w:b/>
          <w:sz w:val="22"/>
        </w:rPr>
        <w:t>双重嵌入结构</w:t>
      </w:r>
      <w:r>
        <w:rPr>
          <w:rFonts w:ascii="Times New Roman" w:hAnsi="Times New Roman" w:eastAsia="宋体"/>
          <w:b w:val="0"/>
          <w:sz w:val="22"/>
        </w:rPr>
        <w:t>与</w:t>
      </w:r>
      <w:r>
        <w:rPr>
          <w:rFonts w:ascii="Times New Roman" w:hAnsi="Times New Roman" w:eastAsia="宋体"/>
          <w:b/>
          <w:sz w:val="22"/>
        </w:rPr>
        <w:t>选择性组合</w:t>
      </w:r>
      <w:r>
        <w:rPr>
          <w:rFonts w:ascii="Times New Roman" w:hAnsi="Times New Roman" w:eastAsia="宋体"/>
          <w:b w:val="0"/>
          <w:sz w:val="22"/>
        </w:rPr>
        <w:t>行为，并可以测量。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维度</w:t>
      </w:r>
      <w:r>
        <w:rPr>
          <w:rFonts w:ascii="Times New Roman" w:hAnsi="Times New Roman" w:eastAsia="宋体"/>
          <w:b w:val="0"/>
          <w:sz w:val="22"/>
        </w:rPr>
        <w:t>：全球嵌入度（参与国际组织、受训背景）；本地嵌入度（国内政策网络位置）；转译策略（采纳、改写、搁置、反向上传）。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测量</w:t>
      </w:r>
      <w:r>
        <w:rPr>
          <w:rFonts w:ascii="Times New Roman" w:hAnsi="Times New Roman" w:eastAsia="宋体"/>
          <w:b w:val="0"/>
          <w:sz w:val="22"/>
        </w:rPr>
        <w:t>：精英传记数据（参照RIO 2026领导人教育背景与中国官方融资）；政策文本的来源追踪；访谈。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</w:t>
      </w:r>
      <w:r>
        <w:rPr>
          <w:rFonts w:ascii="Times New Roman" w:hAnsi="Times New Roman" w:eastAsia="宋体"/>
          <w:b w:val="0"/>
          <w:sz w:val="22"/>
        </w:rPr>
        <w:t>：转译者的双重嵌入越强，全球规则的本地化越成功，区域规则也越可能被上传至全球。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对话对象</w:t>
      </w:r>
      <w:r>
        <w:rPr>
          <w:rFonts w:ascii="Times New Roman" w:hAnsi="Times New Roman" w:eastAsia="宋体"/>
          <w:b w:val="0"/>
          <w:sz w:val="22"/>
        </w:rPr>
        <w:t>：政策转移与转译文献（RIPE 2025宏观审慎转译；RIPE 2024南南政策转移中的个体能动性）。</w:t>
      </w:r>
    </w:p>
    <w:p>
      <w:r>
        <w:rPr>
          <w:rFonts w:ascii="Times New Roman" w:hAnsi="Times New Roman" w:eastAsia="黑体"/>
          <w:b/>
          <w:sz w:val="23"/>
        </w:rPr>
        <w:t>概念六：互联互通治理（Connectivity Governance）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定义</w:t>
      </w:r>
      <w:r>
        <w:rPr>
          <w:rFonts w:ascii="Times New Roman" w:hAnsi="Times New Roman" w:eastAsia="宋体"/>
          <w:b w:val="0"/>
          <w:sz w:val="22"/>
        </w:rPr>
        <w:t>：以基础设施、规则、资金、人员与数字的“联通”为核心目标和治理工具，在全球与区域之间组织合作的一种治理逻辑。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种差</w:t>
      </w:r>
      <w:r>
        <w:rPr>
          <w:rFonts w:ascii="Times New Roman" w:hAnsi="Times New Roman" w:eastAsia="宋体"/>
          <w:b w:val="0"/>
          <w:sz w:val="22"/>
        </w:rPr>
        <w:t>：RIPE 2025指出“互联互通”已成为“空洞能指”。本概念的任务正是</w:t>
      </w:r>
      <w:r>
        <w:rPr>
          <w:rFonts w:ascii="Times New Roman" w:hAnsi="Times New Roman" w:eastAsia="宋体"/>
          <w:b/>
          <w:sz w:val="22"/>
        </w:rPr>
        <w:t>把它从修辞变成分析概念</w:t>
      </w:r>
      <w:r>
        <w:rPr>
          <w:rFonts w:ascii="Times New Roman" w:hAnsi="Times New Roman" w:eastAsia="宋体"/>
          <w:b w:val="0"/>
          <w:sz w:val="22"/>
        </w:rPr>
        <w:t>：区分硬联通（基础设施）、软联通（规则标准）、心联通（人员认同），并研究三者的次序与互补。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维度</w:t>
      </w:r>
      <w:r>
        <w:rPr>
          <w:rFonts w:ascii="Times New Roman" w:hAnsi="Times New Roman" w:eastAsia="宋体"/>
          <w:b w:val="0"/>
          <w:sz w:val="22"/>
        </w:rPr>
        <w:t>：硬联通（交通、能源、数字基础设施）；软联通（规则对接，与概念一衔接）；心联通（教育、人员往来、民意）。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测量</w:t>
      </w:r>
      <w:r>
        <w:rPr>
          <w:rFonts w:ascii="Times New Roman" w:hAnsi="Times New Roman" w:eastAsia="宋体"/>
          <w:b w:val="0"/>
          <w:sz w:val="22"/>
        </w:rPr>
        <w:t>：项目层面的基础设施数据；规则对接编码；跨境人员流动与民意调查。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</w:t>
      </w:r>
      <w:r>
        <w:rPr>
          <w:rFonts w:ascii="Times New Roman" w:hAnsi="Times New Roman" w:eastAsia="宋体"/>
          <w:b w:val="0"/>
          <w:sz w:val="22"/>
        </w:rPr>
        <w:t>：硬联通若缺乏软联通配合，其发展效应集中于局部，且可能扩大内部不平等（JCE 2025泰老友谊大桥研究显示正规—非正规工资差扩大，效应限于百公里内）；软联通能放大并扩散硬联通的收益。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对话对象</w:t>
      </w:r>
      <w:r>
        <w:rPr>
          <w:rFonts w:ascii="Times New Roman" w:hAnsi="Times New Roman" w:eastAsia="宋体"/>
          <w:b w:val="0"/>
          <w:sz w:val="22"/>
        </w:rPr>
        <w:t>：基础设施与世界秩序（RIPE 2025）；中国援非基础设施就业效应（JCE 2025）；基础设施融资模式比较（NPE 2025）。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6.4 概念体系：从“伞概念”到“可测量概念”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六个概念可以组织在一个伞概念之下，形成一个有层级的概念体系。伞概念可称为</w:t>
      </w:r>
      <w:r>
        <w:rPr>
          <w:rFonts w:ascii="Times New Roman" w:hAnsi="Times New Roman" w:eastAsia="宋体"/>
          <w:b/>
          <w:sz w:val="22"/>
        </w:rPr>
        <w:t>“跨尺度共生治理”（Cross-scalar Symbiotic Governance）</w:t>
      </w:r>
      <w:r>
        <w:rPr>
          <w:rFonts w:ascii="Times New Roman" w:hAnsi="Times New Roman" w:eastAsia="宋体"/>
          <w:b w:val="0"/>
          <w:sz w:val="22"/>
        </w:rPr>
        <w:t>。“共生”可借助国内学界关于国际共生的研究传统，但必须通过下层概念操作化，避免成为口号。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伞概念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跨尺度共生治理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规范—分析双重框架：全球与区域非零和、可相互强化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分析装置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全球—区域治理三元悖论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解释各区域/议题的“选角”与权衡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结构性概念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互补性叠加；关系型多边主义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解释制度形态与合作基础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过程性概念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规则对接；区域转译者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解释规则跨尺度流动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功能性概念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发展空间托底；互联互通治理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解释治理的发展后果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七、可直接转化为博士论文的研究设计（示例）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#</w:t>
            </w:r>
          </w:p>
        </w:tc>
        <w:tc>
          <w:tcPr>
            <w:tcW w:type="dxa" w:w="1624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题目方向</w:t>
            </w:r>
          </w:p>
        </w:tc>
        <w:tc>
          <w:tcPr>
            <w:tcW w:type="dxa" w:w="1624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困惑</w:t>
            </w:r>
          </w:p>
        </w:tc>
        <w:tc>
          <w:tcPr>
            <w:tcW w:type="dxa" w:w="1624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X → M → Y</w:t>
            </w:r>
          </w:p>
        </w:tc>
        <w:tc>
          <w:tcPr>
            <w:tcW w:type="dxa" w:w="1624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数据与方法</w:t>
            </w:r>
          </w:p>
        </w:tc>
        <w:tc>
          <w:tcPr>
            <w:tcW w:type="dxa" w:w="1624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理论贡献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规则对接的深度与发展空间：中国自贸协定与区域协定比较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深度规则为何有时促进、有时抑制南方产业升级？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对接方式（1—7级） → 政策空间保留 → FDI结构/产业政策使用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条款编码+文本复用+面板；关键协定过程追踪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规则对接谱系；三元悖论的检验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区域安全网何时“托底”？东亚与拉美比较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为何部分国家在美元周期冲击中仍能维持政策自主？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区域/双边安全网可得性 → 流动性约束放松 → 资本管制与逆周期政策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互换协议与清迈倡议多边化数据；事件研究+案例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发展空间托底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新旧多边开发银行：互补还是竞争？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亚投行为何与世行高度合作而与某些机构较少合作？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功能重叠×制度联结 → 联合融资 → 项目绩效/标准趋同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项目层面数据；网络分析；访谈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互补性叠加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东南亚（或中亚）如何转译全球数字/AI治理规则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同一规则为何在不同国家落地形态不同？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转译者双重嵌入 → 选择性改写 → 规则形态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政策文本比较+精英数据+访谈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区域转译者；规则对接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关系密度与区域合作绩效：澜湄与湄公河—美国伙伴关系比较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制度形式化程度相近，为何绩效不同？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关系网络密度 → 信任/互惠 → 项目落实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出访与对话数据；项目数据；民意调查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关系型多边主义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八、结语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全球治理与区域治理之间的张力，本质上是</w:t>
      </w:r>
      <w:r>
        <w:rPr>
          <w:rFonts w:ascii="Times New Roman" w:hAnsi="Times New Roman" w:eastAsia="宋体"/>
          <w:b/>
          <w:sz w:val="22"/>
        </w:rPr>
        <w:t>普遍性与地方性、效率与认同、规则深度与发展空间</w:t>
      </w:r>
      <w:r>
        <w:rPr>
          <w:rFonts w:ascii="Times New Roman" w:hAnsi="Times New Roman" w:eastAsia="宋体"/>
          <w:b w:val="0"/>
          <w:sz w:val="22"/>
        </w:rPr>
        <w:t>在不同尺度上的配置问题。区域国别学的使命不是在二者之间“选边”，而是解释这种配置为何在不同区域、议题与时期呈现不同形态，并评估其对全球南方发展的后果。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从这一点出发，区域国别学可以成为中国自主知识体系创新的“前沿阵地”：它在理论异例中发现问题，在深度田野中识别机制，在比较中上升概念，在对话中检验并传播概念。反过来，自主知识体系的概念资源（关系性、发展权、共商共建共享、和而不同、试验主义）也能为区域研究提供新的透镜，前提是将其转化为可证伪、可测量、可迁移的命题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附：核心参考文献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七刊（2024—2026）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WP 2025《东南亚与世界政治》；WP 2024《时间中的全球治理：制度序列、国际机制复合体与全球治理政治》；WP 2025《国际制度的社会情境》；WP 2025《适应性政治经济学：迈向新范式》；WP 2026《南南移民与再分配偏好》；WP 2025《弥合移民社会保障缺口》；WP 2025《相互确保扰乱》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RIPE 2026《作为（反）霸权策略的制度叠加：解析中国全球发展倡议》；RIPE 2026《伙伴还是对手？亚投行与既有多边开发银行的合作》；RIPE 2026《国际机制中非正式组织的叠加：G20共同框架与主权债务机制》；RIPE 2025《点菜式多边主义》；RIPE 2025《中国崛起与全球经济治理的重构》；RIPE 2025《如何抵制“华尔街共识”》；RIPE 2025《跨国模式的国内生命》；RIPE 2025《“互联互通”的空洞能指》；RIPE 2024《由内而外的全球化》；RIPE 2024《发展政策空间（出人意料）的回归》；RIPE 2024《跨越南北鸿沟的新宪政主义》；RIPE 2024《解构“发展中”国家分类》；RIPE 2024《南南政策转移中的个体能动性》；RIPE 2026《“别拿道德来说教”：本体论帝国主义与南方共同市场—欧盟知识产权谈判》；RIPE 2026《教学多样性、国际政治经济学与发展研究：探索学术依附的全球趋势》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NPE 2024《“拯救WTO”：中等强国内部人与联合声明倡议》；NPE 2024《从NAFTA到USMCA》；NPE 2024《中国金融化了吗？》；NPE 2025《当数字税到期》；NPE 2025《“华尔街共识”有替代方案吗？》；NPE 2026《欧元区的矛盾》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RIO 2024《改革还是取代？》；RIO 2024《政府间组织的再契约》；RIO 2024《“弱者”的权力与国际组织》；RIO 2025《应对反弹的制度创新》；RIO 2025《全球公域的国际谈判》；RIO 2026《全球价值链与贸易协定设计》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IO 2025“全球治理与世界秩序的未来”特刊；IO 2024《重新认识国际秩序：当代中国理论及其对全球国际关系的贡献》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JCE 2025《以钱换爱？欧盟凝聚政策与疑欧主义》；JCE 2025《国际桥梁与非正规就业》；JCE 2025《外援基础设施与当地就业》；JCE 2026《地缘政治转折点与宏观经济波动》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经典与理论文献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Acharya, A. (2004). How Ideas Spread: Whose Norms Matter? *International Organization*; Acharya, A. (2014). Global International Relations (IR) and Regional Worlds. *International Studies Quarterly*.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Alter, K. &amp; Meunier, S. (2009). The Politics of International Regime Complexity. *Perspectives on Politics*; Raustiala, K. &amp; Victor, D. (2004). The Regime Complex for Plant Genetic Resources. *International Organization*.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Baldwin, R. (2011). 21st Century Regionalism. *CEPR Policy Insight*; Bhagwati, J. (1991). *The World Trading System at Risk*.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Börzel, T. &amp; Risse, T. eds. (2016). *The Oxford Handbook of Comparative Regionalism*; Söderbaum, F. (2016). *Rethinking Regionalism*; Hettne, B. &amp; Söderbaum, F. (2000). Theorising the Rise of Regionness. *New Political Economy*.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Collier, D. &amp; Mahon, J. (1993). Conceptual “Stretching” Revisited. *APSR*; Sartori, G. (1970). Concept Misformation in Comparative Politics. *APSR*; Gerring, J. (1999). What Makes a Concept Good? *Polity*; Goertz, G. (2006). *Social Science Concepts*.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Falleti, T. &amp; Lynch, J. (2009). Context and Causal Mechanisms in Political Analysis. *Comparative Political Studies*.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Hooghe, L., Lenz, T. &amp; Marks, G. (2019). *A Theory of International Organization*.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Hurrell, A. (2007). One World? Many Worlds? The Place of Regions in the Study of International Society. *International Affairs*; Katzenstein, P. (2005). *A World of Regions*.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Mahoney, J. &amp; Thelen, K. eds. (2010). *Explaining Institutional Change*; Morse, J. &amp; Keohane, R. (2014). Contested Multilateralism. *Review of International Organizations*.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Rodrik, D. (2011). *The Globalization Paradox*; Ruggie, J. G. (1992). Multilateralism: The Anatomy of an Institution. *International Organization*.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Qin, Y. (2018). *A Relational Theory of World Politics*；秦亚青：《世界政治的关系理论》；赵汀阳：《天下体系》；国内学界关于国际“共生”的研究；区域国别学学科建设相关讨论。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