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jc w:val="center"/>
      </w:pPr>
      <w:r>
        <w:rPr>
          <w:rFonts w:ascii="Times New Roman" w:hAnsi="Times New Roman" w:eastAsia="黑体"/>
          <w:b/>
          <w:i w:val="0"/>
          <w:color w:val="000000"/>
          <w:sz w:val="36"/>
        </w:rPr>
        <w:t>2024—2026——七刊（IO/IS/RIPE/RIO/JCE/NPE/WP）摘要汇总</w:t>
      </w:r>
    </w:p>
    <w:p>
      <w:r>
        <w:rPr>
          <w:rFonts w:ascii="Times New Roman" w:hAnsi="Times New Roman" w:eastAsia="宋体"/>
          <w:b w:val="0"/>
          <w:i w:val="0"/>
          <w:color w:val="595959"/>
          <w:sz w:val="18"/>
        </w:rPr>
        <w:t>说明：以“摘要：”开头者为中文摘要；标注【摘译】者为与本学科相关度较低论文的压缩译文，其余为全文翻译或沿用原报告译文；随后为英文原摘要。书评、编辑说明未收录。</w:t>
      </w:r>
    </w:p>
    <w:p>
      <w:r>
        <w:rPr>
          <w:rFonts w:ascii="Times New Roman" w:hAnsi="Times New Roman" w:eastAsia="黑体"/>
          <w:b/>
          <w:i w:val="0"/>
          <w:sz w:val="24"/>
        </w:rPr>
        <w:t>《国际组织》</w:t>
      </w:r>
    </w:p>
    <w:p>
      <w:r>
        <w:rPr>
          <w:rFonts w:ascii="Times New Roman" w:hAnsi="Times New Roman" w:eastAsia="宋体"/>
          <w:b/>
          <w:i w:val="0"/>
          <w:sz w:val="22"/>
        </w:rPr>
        <w:t>IO： Vol. 80, No. 3, 2026</w:t>
      </w:r>
    </w:p>
    <w:p/>
    <w:p>
      <w:r>
        <w:rPr>
          <w:rFonts w:ascii="Times New Roman" w:hAnsi="Times New Roman" w:eastAsia="黑体"/>
          <w:b/>
          <w:i w:val="0"/>
          <w:sz w:val="24"/>
        </w:rPr>
        <w:t>革新时间、重塑社会秩序：国家建设的成功与法国大革命时期象征性纲领的推行</w:t>
      </w:r>
    </w:p>
    <w:p>
      <w:r>
        <w:rPr>
          <w:rFonts w:ascii="Times New Roman" w:hAnsi="Times New Roman" w:eastAsia="宋体"/>
          <w:b w:val="0"/>
          <w:i/>
          <w:color w:val="404040"/>
          <w:sz w:val="20"/>
        </w:rPr>
        <w:t>Revolutionizing Time, Reforging Social Orders: State-Building Success and the Enforcement of Symbolic Programs in Revolutionary France</w:t>
      </w:r>
    </w:p>
    <w:p>
      <w:r>
        <w:rPr>
          <w:rFonts w:ascii="Times New Roman" w:hAnsi="Times New Roman" w:eastAsia="宋体"/>
          <w:b w:val="0"/>
          <w:i w:val="0"/>
          <w:color w:val="595959"/>
          <w:sz w:val="18"/>
        </w:rPr>
        <w:t>Megan A. Stewart（University of Michigan）</w:t>
      </w:r>
    </w:p>
    <w:p>
      <w:r>
        <w:rPr>
          <w:rFonts w:ascii="Times New Roman" w:hAnsi="Times New Roman" w:eastAsia="宋体"/>
          <w:b w:val="0"/>
          <w:i w:val="0"/>
          <w:sz w:val="22"/>
        </w:rPr>
        <w:t>摘要：国家建设者如何重塑社会？既有研究表明他们常依靠暴力、教育、精英吸纳和制度建设，本文则强调象征性纲领的重要性。象征性纲领在被强力推行时，能通过建立新的社会纽带、使个体社会化于国家建设者的治理原则，从而重塑社会秩序。作者利用法国共和历推行力度的次国家差异检验这一论点——共和历将时间、劳动与休息政治化，使之由国家而非天主教会的宗教义务来规范——并考察其与劳资冲突的关联。在共和历推行更强的省份，它培育了对劳动与休息的政治化理解，降低了协调成本，提升了动员潜力。基于原创数据和双重差分设计，作者发现共和历推行越强，劳资冲突爆发的可能性越高，表明象征性国家建设纲领具有长期社会效应。</w:t>
      </w:r>
    </w:p>
    <w:p>
      <w:r>
        <w:rPr>
          <w:rFonts w:ascii="Times New Roman" w:hAnsi="Times New Roman" w:eastAsia="宋体"/>
          <w:b w:val="0"/>
          <w:i w:val="0"/>
          <w:sz w:val="20"/>
        </w:rPr>
        <w:t>How do state builders reshape society? While existing work shows they often rely on violence, education, elite co-optation, and institution building, this article underscores the importance of symbolic programs. When intensely enforced, symbolic programs reshape social orders by forging new social bonds and socializing individuals into state builders’ governing principles. I test this argument using subnational variation in the enforcement of the French Republican calendar—a symbolic program that politicized time, labor, and rest, rightfully regulated by the state, rather than sacred duties governed by the Catholic Church—and its association with labor conflicts. In departments where the calendar was more strongly enforced, it fostered political understandings of labor and rest, reduced coordination costs, and increased mobilization potential. Using original data and a difference-in-differences design, I find that more intense enforcement of the calendar is associated with a higher likelihood of labor conflict onset, demonstrating the long-term social effects of symbolic state-building programs.</w:t>
      </w:r>
    </w:p>
    <w:p/>
    <w:p>
      <w:r>
        <w:rPr>
          <w:rFonts w:ascii="Times New Roman" w:hAnsi="Times New Roman" w:eastAsia="黑体"/>
          <w:b/>
          <w:i w:val="0"/>
          <w:sz w:val="24"/>
        </w:rPr>
        <w:t>负面经济冲击的相对暴露、种族敌意与投票</w:t>
      </w:r>
    </w:p>
    <w:p>
      <w:r>
        <w:rPr>
          <w:rFonts w:ascii="Times New Roman" w:hAnsi="Times New Roman" w:eastAsia="宋体"/>
          <w:b w:val="0"/>
          <w:i/>
          <w:color w:val="404040"/>
          <w:sz w:val="20"/>
        </w:rPr>
        <w:t>Relative Exposure to Negative Economic Shocks, Racial Animus, and Voting</w:t>
      </w:r>
    </w:p>
    <w:p>
      <w:r>
        <w:rPr>
          <w:rFonts w:ascii="Times New Roman" w:hAnsi="Times New Roman" w:eastAsia="宋体"/>
          <w:b w:val="0"/>
          <w:i w:val="0"/>
          <w:color w:val="595959"/>
          <w:sz w:val="18"/>
        </w:rPr>
        <w:t>Daniel B. Jones（University of Pittsburgh）；Erica Owen（University of Pittsburgh）；Rena Sung（Kyung Hee University）</w:t>
      </w:r>
    </w:p>
    <w:p>
      <w:r>
        <w:rPr>
          <w:rFonts w:ascii="Times New Roman" w:hAnsi="Times New Roman" w:eastAsia="宋体"/>
          <w:b w:val="0"/>
          <w:i w:val="0"/>
          <w:sz w:val="22"/>
        </w:rPr>
        <w:t>摘要：本文考察不同种族群体对负面经济冲击的相对暴露如何影响种族敌意与投票模式。基于群体地位理论，作者认为当主导群体在同一劳动力市场中受到的经济损害大于非主导群体时，种族敌意会加剧。在美国，白人与黑人之间的历史性边界为检验该机制提供了最有意义的情境。利用美国通勤区（2000—2020年）数据，作者聚焦“中国冲击”对反黑人种族敌意的影响，以白人与黑人工人进口暴露的差距衡量相对暴露。结果表明，即使控制总体进口暴露，对白人工人冲击更大的负面经济冲击会提高反黑人敌意和共和党总统选票份额。这说明，正是相对于另一群体的经济衰退催生了种族敌意和外显的种族主义行为，并影响政治行为。</w:t>
      </w:r>
    </w:p>
    <w:p>
      <w:r>
        <w:rPr>
          <w:rFonts w:ascii="Times New Roman" w:hAnsi="Times New Roman" w:eastAsia="宋体"/>
          <w:b w:val="0"/>
          <w:i w:val="0"/>
          <w:sz w:val="20"/>
        </w:rPr>
        <w:t>We examine how relative exposure to negative economic shocks across racial groups impacts racial animus and voting patterns. Guided by group position theory, we argue that when dominant groups experience greater economic harm than nondominant groups within the same labor markets, racial animus intensifies. In the US context, the historically central boundary between white and Black Americans provides the most meaningful test of this mechanism. Using data from US commuting zones (2000 to 2020), we focus on the impact of the China shock on anti-Black racial animus. We measure relative exposure as the gap in import exposure between white and Black workers. Our findings show that negative economic shocks disproportionately affecting white workers, compared to Black workers, lead to increased anti-Black animus and increased Republican presidential vote share, even when controlling for overall import exposure. Taken together, these findings suggest that it is economic decline relative to another group that generates racial animus and outwardly racist behavior, as well as influences political behavior.</w:t>
      </w:r>
    </w:p>
    <w:p/>
    <w:p>
      <w:r>
        <w:rPr>
          <w:rFonts w:ascii="Times New Roman" w:hAnsi="Times New Roman" w:eastAsia="黑体"/>
          <w:b/>
          <w:i w:val="0"/>
          <w:sz w:val="24"/>
        </w:rPr>
        <w:t>社会运动与国际秩序的形成</w:t>
      </w:r>
    </w:p>
    <w:p>
      <w:r>
        <w:rPr>
          <w:rFonts w:ascii="Times New Roman" w:hAnsi="Times New Roman" w:eastAsia="宋体"/>
          <w:b w:val="0"/>
          <w:i/>
          <w:color w:val="404040"/>
          <w:sz w:val="20"/>
        </w:rPr>
        <w:t>Social Movements and International Order Formation</w:t>
      </w:r>
    </w:p>
    <w:p>
      <w:r>
        <w:rPr>
          <w:rFonts w:ascii="Times New Roman" w:hAnsi="Times New Roman" w:eastAsia="宋体"/>
          <w:b w:val="0"/>
          <w:i w:val="0"/>
          <w:color w:val="595959"/>
          <w:sz w:val="18"/>
        </w:rPr>
        <w:t>Alejandro Milcíades Peña（Universidad Torcuato Di Tella）；Thomas Davies（University of London）</w:t>
      </w:r>
    </w:p>
    <w:p>
      <w:r>
        <w:rPr>
          <w:rFonts w:ascii="Times New Roman" w:hAnsi="Times New Roman" w:eastAsia="宋体"/>
          <w:b w:val="0"/>
          <w:i w:val="0"/>
          <w:sz w:val="22"/>
        </w:rPr>
        <w:t>摘要：本文比较分析了两个从等级制向竞争性国际秩序转变的历史案例——三世纪中国从汉朝走向分裂时期，以及十世纪从阿拔斯哈里发国走向伊斯兰共同体——探讨社会运动如何长期作为国际变革的重要推动者。结合早期道教运动与逊尼派运动分别对这两次转变的贡献，作者提出一个比较框架，用以理解社会运动如何削弱既有等级、引发合法性竞争，进而促成新国际秩序的出现。通过与宗教改革运动在欧洲国际秩序发展中作用的对比，本文既去中心化了欧洲经验，又揭示了社会运动如何在高度多样的文化与时间情境中塑造政治权威与社会之间根本而多样的关系。</w:t>
      </w:r>
    </w:p>
    <w:p>
      <w:r>
        <w:rPr>
          <w:rFonts w:ascii="Times New Roman" w:hAnsi="Times New Roman" w:eastAsia="宋体"/>
          <w:b w:val="0"/>
          <w:i w:val="0"/>
          <w:sz w:val="20"/>
        </w:rPr>
        <w:t>Through comparative analysis of two historical cases of transition from hierarchical to competitive international orders—from the Han dynasty to the Period of Disunion in third-century China, and from the Abbasid Caliphate to the Islamic Commonwealth in the tenth century—we consider how social movements have long been significant facilitators of international change. With reference to the contributions to these transitions of early Daoist and Sunni movements respectively, we offer a comparative framework for understanding how social movements may undermine established hierarchies and induce legitimacy contests that contribute toward the emergence of new international orders. Moreover, by contrasting these cases against the role of the Reformation movement in the development of European international order, the article both decenters the European experience and illuminates how social movements can be central to crafting fundamental, yet varying, relationships between political authority and society across highly diverse cultural and temporal contexts.</w:t>
      </w:r>
    </w:p>
    <w:p/>
    <w:p>
      <w:r>
        <w:rPr>
          <w:rFonts w:ascii="Times New Roman" w:hAnsi="Times New Roman" w:eastAsia="黑体"/>
          <w:b/>
          <w:i w:val="0"/>
          <w:sz w:val="24"/>
        </w:rPr>
        <w:t>民主、债务与法官席：主权豁免案件中的政治意识形态</w:t>
      </w:r>
    </w:p>
    <w:p>
      <w:r>
        <w:rPr>
          <w:rFonts w:ascii="Times New Roman" w:hAnsi="Times New Roman" w:eastAsia="宋体"/>
          <w:b w:val="0"/>
          <w:i/>
          <w:color w:val="404040"/>
          <w:sz w:val="20"/>
        </w:rPr>
        <w:t>Democracy, Debt, and the Bench: Political Ideology in Sovereign Immunity Cases</w:t>
      </w:r>
    </w:p>
    <w:p>
      <w:r>
        <w:rPr>
          <w:rFonts w:ascii="Times New Roman" w:hAnsi="Times New Roman" w:eastAsia="宋体"/>
          <w:b w:val="0"/>
          <w:i w:val="0"/>
          <w:color w:val="595959"/>
          <w:sz w:val="18"/>
        </w:rPr>
        <w:t>Monica Widmann（Seton Hall University）</w:t>
      </w:r>
    </w:p>
    <w:p>
      <w:r>
        <w:rPr>
          <w:rFonts w:ascii="Times New Roman" w:hAnsi="Times New Roman" w:eastAsia="宋体"/>
          <w:b w:val="0"/>
          <w:i w:val="0"/>
          <w:sz w:val="22"/>
        </w:rPr>
        <w:t>摘要：在投资者压力下，美国国会于1976年通过《外国主权豁免法》（FSIA），便利非国家商业行为体在美国法院起诉主权国家。该法将主权债务重新界定为商业活动，似乎有利于债权人，但案件结果却参差不齐。FSIA虽确立了明确程序，法官仍有自由裁量空间。法官的党派倾向影响有多深？作者认为党派影响依然存在，尤其当被告是民主国家时。共和党提名的法官一贯适用FSIA的亲债权人框架；民主党提名的法官则呈现“有条件的尊重”：当民主国家在违约前表现出财政克制（显示真实困境）时，更倾向于尊重主权被告；当其在违约时仍维持高政府消费（显示策略性违约）时则执法更严。而在审理威权国家违约时，两党法官都趋向亲债权人立场，因为缺乏可信的财政信号。作者以1977—2022年在美国提起的主权债务诉讼原创数据集检验该论点。</w:t>
      </w:r>
    </w:p>
    <w:p>
      <w:r>
        <w:rPr>
          <w:rFonts w:ascii="Times New Roman" w:hAnsi="Times New Roman" w:eastAsia="宋体"/>
          <w:b w:val="0"/>
          <w:i w:val="0"/>
          <w:sz w:val="20"/>
        </w:rPr>
        <w:t>Following pressure from investors, Congress passed the 1976 Foreign Sovereign Immunities Act (FSIA) to facilitate lawsuits by nonstate commercial actors against sovereign states in US courts. This legislation redefined sovereign debt as a commercial activity, seemingly favoring creditors. Yet case outcomes proved variable. While the FSIA established clear procedural guidelines, judicial discretion remained, raising questions about what factors influence outcomes. How deep is the effect of judges’ partisan leanings? To what extent does a left–right divide exist in this issue area? Although sovereign debt of other countries rarely sparks US political debate, I argue that partisan influence persists in these cases, particularly when defendants are democracies. Republican-nominated judges consistently apply the FSIA’s pro-creditor framework regardless of defendant characteristics, reflecting their party’s historical support for transnational commercial actors and contract enforcement. Democratic-nominated judges, however, exhibit conditional deference: when democracies demonstrate fiscal restraint before defaulting—signaling genuine economic distress—Democratic-nominated judges more readily defer to the sovereign defendant within the FSIA’s constraints. When democracies maintain high government consumption while defaulting, suggesting strategic choice rather than necessity, Democratic-nominated judges enforce more strictly. By contrast, both Democratic- and Republican-nominated judges converge on pro-creditor positions when adjudicating autocratic defaults because the absence of credible fiscal signals eliminates conditions for conditional deference. I test this argument with an original data set of sovereign debt litigation cases brought to the United States from 1977 to 2022.</w:t>
      </w:r>
    </w:p>
    <w:p/>
    <w:p>
      <w:r>
        <w:rPr>
          <w:rFonts w:ascii="Times New Roman" w:hAnsi="Times New Roman" w:eastAsia="黑体"/>
          <w:b/>
          <w:i w:val="0"/>
          <w:sz w:val="24"/>
        </w:rPr>
        <w:t>集体威慑</w:t>
      </w:r>
    </w:p>
    <w:p>
      <w:r>
        <w:rPr>
          <w:rFonts w:ascii="Times New Roman" w:hAnsi="Times New Roman" w:eastAsia="宋体"/>
          <w:b w:val="0"/>
          <w:i/>
          <w:color w:val="404040"/>
          <w:sz w:val="20"/>
        </w:rPr>
        <w:t>Collective Deterrence</w:t>
      </w:r>
    </w:p>
    <w:p>
      <w:r>
        <w:rPr>
          <w:rFonts w:ascii="Times New Roman" w:hAnsi="Times New Roman" w:eastAsia="宋体"/>
          <w:b w:val="0"/>
          <w:i w:val="0"/>
          <w:color w:val="595959"/>
          <w:sz w:val="18"/>
        </w:rPr>
        <w:t>Scott Wolford（The University of Texas at Austin）；Joshua Landry（Oklahoma State University）；Kevin Galambos（Rhodes College）</w:t>
      </w:r>
    </w:p>
    <w:p>
      <w:r>
        <w:rPr>
          <w:rFonts w:ascii="Times New Roman" w:hAnsi="Times New Roman" w:eastAsia="宋体"/>
          <w:b w:val="0"/>
          <w:i w:val="0"/>
          <w:sz w:val="22"/>
        </w:rPr>
        <w:t>摘要：本文分析一个集体威慑模型：（1）一个国家可能挑战由一个大国及任意数量伙伴共同维护的现状；（2）防御方的战争成本为私人信息。作者首先表明，大国在联盟内的主导程度决定了哪种合作失败——搭便车或对他方参战意愿的不确定——会削弱威慑。其次，提高大国的战争收益既增强威慑，也加剧伙伴的搭便车。第三，大国主导程度决定了更大或更有能力的联盟是增强还是削弱威慑，且规模与能力作用方向相反。最后，增加大国战争成本的不确定性可能降低也可能提高威慑，取决于其承诺的先验强度。作者还用该模型解释了美国在欧洲与东亚的盟友对2016年特朗普当选的不同反应。</w:t>
      </w:r>
    </w:p>
    <w:p>
      <w:r>
        <w:rPr>
          <w:rFonts w:ascii="Times New Roman" w:hAnsi="Times New Roman" w:eastAsia="宋体"/>
          <w:b w:val="0"/>
          <w:i w:val="0"/>
          <w:sz w:val="20"/>
        </w:rPr>
        <w:t>We analyze a model of collective deterrence in which (1) one state may challenge a status quo defended by a great power and an arbitrary number of partners and (2) defender war costs are private information. We show first that the great power’s intra-coalition dominance shapes which cooperative failure, free riding, or uncertainty over others’ willingness to fight may weaken deterrence. Second, increasing the great power’s war payoffs increases both deterrence and partner free riding. Third, the extent of great power dominance determines whether a larger or more capable coalition enhances or weakens deterrence and ensures that size and capabilities work in opposite directions. Finally, increasing uncertainty over a great power’s war costs can decrease or increase deterrence, depending on the prior strength of its commitment. We also use the model to illuminate differing responses of American allies in Europe and East Asia to the 2016 election of Donald Trump.</w:t>
      </w:r>
    </w:p>
    <w:p/>
    <w:p>
      <w:r>
        <w:rPr>
          <w:rFonts w:ascii="Times New Roman" w:hAnsi="Times New Roman" w:eastAsia="黑体"/>
          <w:b/>
          <w:i w:val="0"/>
          <w:sz w:val="24"/>
        </w:rPr>
        <w:t>边缘造法：武装团体、阿尔及利亚战争与南南法律政治</w:t>
      </w:r>
    </w:p>
    <w:p>
      <w:r>
        <w:rPr>
          <w:rFonts w:ascii="Times New Roman" w:hAnsi="Times New Roman" w:eastAsia="宋体"/>
          <w:b w:val="0"/>
          <w:i/>
          <w:color w:val="404040"/>
          <w:sz w:val="20"/>
        </w:rPr>
        <w:t>Norm Making from the Margins: Armed Groups, the Algerian War, and South–South Legal Politics</w:t>
      </w:r>
    </w:p>
    <w:p>
      <w:r>
        <w:rPr>
          <w:rFonts w:ascii="Times New Roman" w:hAnsi="Times New Roman" w:eastAsia="宋体"/>
          <w:b w:val="0"/>
          <w:i w:val="0"/>
          <w:color w:val="595959"/>
          <w:sz w:val="18"/>
        </w:rPr>
        <w:t>Boyd van Dijk（Sciences Po）</w:t>
      </w:r>
    </w:p>
    <w:p>
      <w:r>
        <w:rPr>
          <w:rFonts w:ascii="Times New Roman" w:hAnsi="Times New Roman" w:eastAsia="宋体"/>
          <w:b w:val="0"/>
          <w:i w:val="0"/>
          <w:sz w:val="22"/>
        </w:rPr>
        <w:t>摘要：在历史上排斥它们的国际秩序中，从事不对称战争的武装团体如何确立其政治与法律主体性？本文还原了阿尔及利亚独立战争期间民族解放阵线（FLN）开创性的法律行动主义，认为其通过南南法律政治自下而上地对国际人道法的帝国秩序发起了同类中最深远的挑战。作为规范倡导者，FLN法学家挑战了国际人道法适用范围与可适用性的既有限制，同时发展出叛乱规范性的新制度实践，为其他武装团体提供了可传播的模式。由此他们提出的一套法律论证与实践，塑造了后来的武装团体在不对称条件下援引并实质发展国际人道法的方式。本文基于此前无法获取的阿尔及利亚、南部非洲及社会主义国家档案，重构了南方行为体从国际秩序边缘挑战国际人道法和国际组织的具体法律实践、制度策略与法律政治思想，深化了对规范变迁的既有解释。</w:t>
      </w:r>
    </w:p>
    <w:p>
      <w:r>
        <w:rPr>
          <w:rFonts w:ascii="Times New Roman" w:hAnsi="Times New Roman" w:eastAsia="宋体"/>
          <w:b w:val="0"/>
          <w:i w:val="0"/>
          <w:sz w:val="20"/>
        </w:rPr>
        <w:t>How do armed groups waging asymmetrical wars assert political and legal subjectivity in an international order that historically excluded them? This article recovers the FLN’s groundbreaking legal activism during the Algerian War of Independence, arguing that it staged the most far-reaching challenge of its kind to international humanitarian law’s (IHL) imperial order from below through South–South legal politics. Acting as norm entrepreneurs, FLN jurists contested the existing limits on IHL’s scope and applicability while developing new institutional practices of insurgent normativity that established a disseminable model for other armed groups. In doing so, they put forward a set of legal arguments and practices that helped structure how later armed groups would invoke and substantially develop IHL under conditions of asymmetry. Based on previously inaccessible Algerian, Southern African, and state socialist archival materials, this article deepens existing accounts of normative change by reconstructing the concrete legal practices, institutional strategies, and legal-political thought through which Southern actors challenged IHL and international organizations from the margins of the international order.</w:t>
      </w:r>
    </w:p>
    <w:p/>
    <w:p>
      <w:r>
        <w:rPr>
          <w:rFonts w:ascii="Times New Roman" w:hAnsi="Times New Roman" w:eastAsia="黑体"/>
          <w:b/>
          <w:i w:val="0"/>
          <w:sz w:val="24"/>
        </w:rPr>
        <w:t>在本土保护还是在外部援助：内战中的难民政策</w:t>
      </w:r>
    </w:p>
    <w:p>
      <w:r>
        <w:rPr>
          <w:rFonts w:ascii="Times New Roman" w:hAnsi="Times New Roman" w:eastAsia="宋体"/>
          <w:b w:val="0"/>
          <w:i/>
          <w:color w:val="404040"/>
          <w:sz w:val="20"/>
        </w:rPr>
        <w:t>Protecting at Home or Providing Abroad: Refugee Policy in Civil Conflicts</w:t>
      </w:r>
    </w:p>
    <w:p>
      <w:r>
        <w:rPr>
          <w:rFonts w:ascii="Times New Roman" w:hAnsi="Times New Roman" w:eastAsia="宋体"/>
          <w:b w:val="0"/>
          <w:i w:val="0"/>
          <w:color w:val="595959"/>
          <w:sz w:val="18"/>
        </w:rPr>
        <w:t>Jessica S. Sun（Emory University）</w:t>
      </w:r>
    </w:p>
    <w:p>
      <w:r>
        <w:rPr>
          <w:rFonts w:ascii="Times New Roman" w:hAnsi="Times New Roman" w:eastAsia="宋体"/>
          <w:b w:val="0"/>
          <w:i w:val="0"/>
          <w:sz w:val="22"/>
        </w:rPr>
        <w:t>摘要：平民逃离冲突时，关切的捐助方会采取旨在同时遏制暴力和大规模难民流的政策，并视二者为互补目标。这类政策能否在减少难民流的同时保护平民？借助内战中难民逃离的模型，作者发现将援助与移民政策挂钩的捐助方可能无法约束政府暴力，反而增加流离失所和镇压的风险。具体而言，当捐助方缺乏杠杆或优先事项不一致时，其目标会被政府的策略性暴力所破坏。旨在减少移民的政策（如增加人道援助或减少庇护渠道）可能导致更激烈的战斗，因为它们为叛军留下更大的支持基础。当捐助方显然首要关心移民问题时，暂停援助的威胁同样无法遏制暴力。若捐助方以同时减少移民和针对平民的暴力为援助条件、但优先遏制镇压，则可同时实现两个目标。</w:t>
      </w:r>
    </w:p>
    <w:p>
      <w:r>
        <w:rPr>
          <w:rFonts w:ascii="Times New Roman" w:hAnsi="Times New Roman" w:eastAsia="宋体"/>
          <w:b w:val="0"/>
          <w:i w:val="0"/>
          <w:sz w:val="20"/>
        </w:rPr>
        <w:t>When civilians flee conflict, concerned donors adopt policies intended to curb both violence and large refugee flows, viewing these objectives as complementary. Can such policies reduce the flow of refugees while safeguarding civilians? Using a model of refugee flight in civil conflict, I find donors who link aid and migration policies may fail to restrain government violence, risking increases in displacement and repression. Specifically, when donors lack leverage or have inconsistent priorities, their goals are undermined by strategic government violence. Policies aimed at reducing migration, like increasing humanitarian aid or reducing access to asylum, can yield more intense fighting because they leave a larger base of support for rebels. Threats to suspend aid similarly do not deter violence when it is clear donors’ primary concern is migration. I find if donors condition assistance on reducing both migration and violence against civilians, but prioritize curbing repression, they can achieve both goals.</w:t>
      </w:r>
    </w:p>
    <w:p/>
    <w:p>
      <w:r>
        <w:rPr>
          <w:rFonts w:ascii="Times New Roman" w:hAnsi="Times New Roman" w:eastAsia="黑体"/>
          <w:b/>
          <w:i w:val="0"/>
          <w:sz w:val="24"/>
        </w:rPr>
        <w:t>“脏活”与援助的国内政治</w:t>
      </w:r>
    </w:p>
    <w:p>
      <w:r>
        <w:rPr>
          <w:rFonts w:ascii="Times New Roman" w:hAnsi="Times New Roman" w:eastAsia="宋体"/>
          <w:b w:val="0"/>
          <w:i/>
          <w:color w:val="404040"/>
          <w:sz w:val="20"/>
        </w:rPr>
        <w:t>Dirty Work and the Domestic Politics of Aid</w:t>
      </w:r>
    </w:p>
    <w:p>
      <w:r>
        <w:rPr>
          <w:rFonts w:ascii="Times New Roman" w:hAnsi="Times New Roman" w:eastAsia="宋体"/>
          <w:b w:val="0"/>
          <w:i w:val="0"/>
          <w:color w:val="595959"/>
          <w:sz w:val="18"/>
        </w:rPr>
        <w:t>Santi Foncillas（PwC Consulting）；Erasmus Kersting（Villanova University）；Christopher Kilby（Villanova University）</w:t>
      </w:r>
    </w:p>
    <w:p>
      <w:r>
        <w:rPr>
          <w:rFonts w:ascii="Times New Roman" w:hAnsi="Times New Roman" w:eastAsia="宋体"/>
          <w:b w:val="0"/>
          <w:i w:val="0"/>
          <w:sz w:val="22"/>
        </w:rPr>
        <w:t>摘要：美国历来既利用双边援助，也利用其对多边开发融资的影响力推进地缘政治目标。既有研究以“分裂政府效应”或受援国是否为传统美国盟友（“脏活假说”）来解释两种工具的选择。本文提出一个将这两类因素结合的理论，并以联合国安理会投票、美国双边援助流量和世界银行贷款检验其预测。结果符合理论预期：在美国政府非分裂时，更多双边援助流向在安理会支持美国的盟友；在政府分裂时，更多世界银行贷款流向在安理会支持美国的非盟友。这一对国内政治与国际组织治理联系的细致理解，在国际秩序超越美国主导体系之际具有重要意义。</w:t>
      </w:r>
    </w:p>
    <w:p>
      <w:r>
        <w:rPr>
          <w:rFonts w:ascii="Times New Roman" w:hAnsi="Times New Roman" w:eastAsia="宋体"/>
          <w:b w:val="0"/>
          <w:i w:val="0"/>
          <w:sz w:val="20"/>
        </w:rPr>
        <w:t>Historically the United States uses both bilateral aid and influence over multilateral development finance to further its geopolitical objectives. Past studies explain the choice between these two instruments based on either a divided government effect or whether the recipient government is a traditional US ally (the dirty work hypothesis). We advance a theory explaining the bilateral/multilateral choice in terms of the confluence of these factors and test its predictions using United Nations Security Council voting, US bilateral aid flows, and World Bank lending. Results confirm theoretical expectations: higher bilateral aid goes to allies who support the United States in the Security Council but only when the US government is not divided and higher World Bank lending goes to non-allies who support the United States in the Security Council but only when the US government is divided. This detailed understanding of the link between domestic politics and governance in international organizations has important implications as the international order moves beyond a US-dominated system.</w:t>
      </w:r>
    </w:p>
    <w:p/>
    <w:p>
      <w:r>
        <w:rPr>
          <w:rFonts w:ascii="Times New Roman" w:hAnsi="Times New Roman" w:eastAsia="宋体"/>
          <w:b/>
          <w:i w:val="0"/>
          <w:sz w:val="22"/>
        </w:rPr>
        <w:t>IO： Vol. 80, No. 2, 2026</w:t>
      </w:r>
    </w:p>
    <w:p/>
    <w:p>
      <w:r>
        <w:rPr>
          <w:rFonts w:ascii="Times New Roman" w:hAnsi="Times New Roman" w:eastAsia="黑体"/>
          <w:b/>
          <w:i w:val="0"/>
          <w:sz w:val="24"/>
        </w:rPr>
        <w:t>趋同性灵活：国际法如何跟上技术变革</w:t>
      </w:r>
    </w:p>
    <w:p>
      <w:r>
        <w:rPr>
          <w:rFonts w:ascii="Times New Roman" w:hAnsi="Times New Roman" w:eastAsia="宋体"/>
          <w:b w:val="0"/>
          <w:i/>
          <w:color w:val="404040"/>
          <w:sz w:val="20"/>
        </w:rPr>
        <w:t>Convergent Flexibility: How International Law Keeps Pace with Technological Change</w:t>
      </w:r>
    </w:p>
    <w:p>
      <w:r>
        <w:rPr>
          <w:rFonts w:ascii="Times New Roman" w:hAnsi="Times New Roman" w:eastAsia="宋体"/>
          <w:b w:val="0"/>
          <w:i w:val="0"/>
          <w:color w:val="595959"/>
          <w:sz w:val="18"/>
        </w:rPr>
        <w:t>Justin Key Canfil（Carnegie Mellon University）</w:t>
      </w:r>
    </w:p>
    <w:p>
      <w:r>
        <w:rPr>
          <w:rFonts w:ascii="Times New Roman" w:hAnsi="Times New Roman" w:eastAsia="宋体"/>
          <w:b w:val="0"/>
          <w:i w:val="0"/>
          <w:sz w:val="22"/>
        </w:rPr>
        <w:t>摘要：如果变化是唯一不变的，法律如何跟上技术？缺乏中央司法机构的国际法本应特别容易被打乱，但实践中它却相当有韧性。作者认为，长期被视为促进遵约的减少法律模糊的努力，反而可能阻碍其对新技术的适用。借助心理语言学的基本原理，作者区分了“趋同性灵活”与“分歧性灵活”：后者引发争议，而前者即使在（1）技术前所未有、（2）监管利益尖锐分歧时也倾向于促成共识。为检验该理论，作者委托450名受过训练的法律专业人士参与随机对照试验，操纵技术新颖性、法律精确性和政治激励；参与者在一万小时中撰写了28万字的专业法律意见，提供了一种新颖的（主体主观）遵约测量。为确立外部效度，作者还研究了两项化学武器突破性技术——“超级催泪瓦斯”和诺维乔克——的法律影响。研究为理解新兴技术何时及为何对法律具有颠覆性提供了一般性理论框架。</w:t>
      </w:r>
    </w:p>
    <w:p>
      <w:r>
        <w:rPr>
          <w:rFonts w:ascii="Times New Roman" w:hAnsi="Times New Roman" w:eastAsia="宋体"/>
          <w:b w:val="0"/>
          <w:i w:val="0"/>
          <w:sz w:val="20"/>
        </w:rPr>
        <w:t>If change is the only constant, how does the law keep pace with technology? Without a centralized judiciary, international law should be especially susceptible to disruption, yet it can be remarkably resilient in practice. I argue that efforts to minimize legal ambiguity, long seen as integral to compliance, can hinder its application to new technologies. Drawing on first principles from psycholinguistics, my theory differentiates between what I call convergent and divergent forms of flexibility. Unlike divergent flexibility, which gives rise to contestation, convergent flexibility tends to promote consensus, even when (1) technology is unprecedented and (2) regulatory interests sharply diverge. To test the theory, 450 450 $450$ trained legal professionals were commissioned to take part in a randomized controlled trial (RCT) that varied technological novelty, legal precision, and political incentives. Participants collectively contributed 280,000 words over 10,000 hours in defense of their professional legal opinions, offering a novel (agent-subjective) measure of compliance. To establish external validity, the experiment is complemented with research into the legal impact of two breakthrough chemical weapons technologies: “super tear gas” and novichok . The findings contribute a general theoretical framework for understanding when and why emerging technologies are legally disruptive.</w:t>
      </w:r>
    </w:p>
    <w:p/>
    <w:p>
      <w:r>
        <w:rPr>
          <w:rFonts w:ascii="Times New Roman" w:hAnsi="Times New Roman" w:eastAsia="黑体"/>
          <w:b/>
          <w:i w:val="0"/>
          <w:sz w:val="24"/>
        </w:rPr>
        <w:t>跨国网络与国家间竞争：支持非国家行为体如何加剧国家间冲突</w:t>
      </w:r>
    </w:p>
    <w:p>
      <w:r>
        <w:rPr>
          <w:rFonts w:ascii="Times New Roman" w:hAnsi="Times New Roman" w:eastAsia="宋体"/>
          <w:b w:val="0"/>
          <w:i/>
          <w:color w:val="404040"/>
          <w:sz w:val="20"/>
        </w:rPr>
        <w:t>Transnational Networks and Interstate Competition: How Support for Nonstate Actors Increases Conflict between States</w:t>
      </w:r>
    </w:p>
    <w:p>
      <w:r>
        <w:rPr>
          <w:rFonts w:ascii="Times New Roman" w:hAnsi="Times New Roman" w:eastAsia="宋体"/>
          <w:b w:val="0"/>
          <w:i w:val="0"/>
          <w:color w:val="595959"/>
          <w:sz w:val="18"/>
        </w:rPr>
        <w:t>Brandon J Kinne（University of California Davis）；Juan F. Tellez（University of California Davis）；Anya Stewart（University of California Davis）；Iliyan Iliev（University of Southern Mississippi）；Brandon Derr（University of Southern Mississippi）；Shreya Murthy（University of California Davis）；Patrick Bernhard（University of California Davis）</w:t>
      </w:r>
    </w:p>
    <w:p>
      <w:r>
        <w:rPr>
          <w:rFonts w:ascii="Times New Roman" w:hAnsi="Times New Roman" w:eastAsia="宋体"/>
          <w:b w:val="0"/>
          <w:i w:val="0"/>
          <w:sz w:val="22"/>
        </w:rPr>
        <w:t>摘要：学者和决策者如今将国家间竞争视为国际安全的首要威胁，但恐怖主义和内战等非传统威胁依然盛行。近期的国家间冲突以非国家武装团体为核心行为体，政府依赖这些团体扩展利益。本文考察政府支持外国非国家行为体如何影响国家间竞争。作者将国家—非国家关系概念化为由政府与外国恐怖组织、叛乱团体、民兵和民间团体的合作关系构成的跨国网络，并认为其以两种方式加剧国家间紧张：一是提升相对于对手的能力，使政府更有底气、谈判杠杆更大，从而对他国更具攻击性；二是增加政府对受资助团体行为的责任，导致意外对抗和受影响目标的报复。作者使用高分辨率的政府间言语和物质冲突事件数据衡量国家间竞争，并将其纳入允许跨国关系与国家间冲突共同演化的网络模型。结果显示，政府跨国网络的规模与结构都与言语和物质冲突增加相关，且对常规军力较弱的国家尤为明显。</w:t>
      </w:r>
    </w:p>
    <w:p>
      <w:r>
        <w:rPr>
          <w:rFonts w:ascii="Times New Roman" w:hAnsi="Times New Roman" w:eastAsia="宋体"/>
          <w:b w:val="0"/>
          <w:i w:val="0"/>
          <w:sz w:val="20"/>
        </w:rPr>
        <w:t>Scholars and policymakers alike now view competition between states as the primary threat to international security. Yet the nontraditional threats that previously defined the global security landscape, such as terrorism and civil war, continue to flourish. Recent interstate conflicts have featured nonstate armed groups as central actors, and governments rely on these groups to extend their interests. This article examines how government support for foreign nonstate actors affects interstate competition. We conceptualize state–nonstate ties as transnational networks comprised of cooperative relationships between governments and foreign terrorist organizations, rebel groups, militias, and civilian groups. We argue that these transnational networks exacerbate interstate tensions in two ways. First, they increase a state’s capacity relative to adversaries, which emboldens the government, increases its bargaining leverage, and leads to increased aggression toward other states. Second, they increase a government’s liability for the actions of sponsored groups, which leads to unintended confrontations and retaliatory actions by affected targets. To measure interstate competition, we use high-resolution event data on verbal and material conflict between governments. We incorporate these data into network models that allow transnational ties and interstate conflict to co-evolve, such that states form ties to nonstate actors in response to interstate conflict, and those ties in turn influence conflict probability. We find that both the size and structure of governments’ respective transnational networks are associated with an increase in verbal and material conflict. Further, this association is particularly strong for states that lack conventional military strength. These findings suggest that cooperation between governments and nonstate actors is integrally connected to, and often exacerbates, interstate competition.</w:t>
      </w:r>
    </w:p>
    <w:p/>
    <w:p>
      <w:r>
        <w:rPr>
          <w:rFonts w:ascii="Times New Roman" w:hAnsi="Times New Roman" w:eastAsia="黑体"/>
          <w:b/>
          <w:i w:val="0"/>
          <w:sz w:val="24"/>
        </w:rPr>
        <w:t>从屏障到虐待：边境强化与酷刑</w:t>
      </w:r>
    </w:p>
    <w:p>
      <w:r>
        <w:rPr>
          <w:rFonts w:ascii="Times New Roman" w:hAnsi="Times New Roman" w:eastAsia="宋体"/>
          <w:b w:val="0"/>
          <w:i/>
          <w:color w:val="404040"/>
          <w:sz w:val="20"/>
        </w:rPr>
        <w:t>From Barriers to Abuse: Border Hardening and Torture</w:t>
      </w:r>
    </w:p>
    <w:p>
      <w:r>
        <w:rPr>
          <w:rFonts w:ascii="Times New Roman" w:hAnsi="Times New Roman" w:eastAsia="宋体"/>
          <w:b w:val="0"/>
          <w:i w:val="0"/>
          <w:color w:val="595959"/>
          <w:sz w:val="18"/>
        </w:rPr>
        <w:t>Gino Pauselli（University of Illinois at Urbana-Champaign）；Beth A. Simmons（University of Pennsylvania）</w:t>
      </w:r>
    </w:p>
    <w:p>
      <w:r>
        <w:rPr>
          <w:rFonts w:ascii="Times New Roman" w:hAnsi="Times New Roman" w:eastAsia="宋体"/>
          <w:b w:val="0"/>
          <w:i w:val="0"/>
          <w:sz w:val="22"/>
        </w:rPr>
        <w:t>摘要：严重人权侵犯常见于边境地区和针对移民的情形。作者提出关于负责防范非法入境人员实施酷刑的理论：当国家启动高度可见且代价高昂的边境强化工程时，边境与移民官员倾向于内化严格的边境安全优先次序，并将边境屏障解读为不惜一切代价执法的许可。研究发现，当国家新建或延长边境墙时，针对边境与移民官员的酷刑指控增加。此外，欧洲边境安全机构Frontex的新闻稿也提供了佐证：在报道建有边境墙国家的情况时，其对安全的关注上升、对人权的关注下降。</w:t>
      </w:r>
    </w:p>
    <w:p>
      <w:r>
        <w:rPr>
          <w:rFonts w:ascii="Times New Roman" w:hAnsi="Times New Roman" w:eastAsia="宋体"/>
          <w:b w:val="0"/>
          <w:i w:val="0"/>
          <w:sz w:val="20"/>
        </w:rPr>
        <w:t>Serious human rights violations have commonly been reported in border regions and against migrants. We develop a theory of torture by persons whose job it is to secure the border from irregular entry. We contend that when states commence highly visible and costly border hardening programs, border and immigration officials (BIOs) tend to internalize stringent border security priorities and interpret border barriers as license to enforce the border at all costs. We find that when states start new or extended border walls, torture allegations by BIOs increase. In addition, there is corroborative evidence in the press releases of Europe’s border security agency, Frontex, that attention to security increases and attention to human rights wanes when reporting on situations in states with border walls. Taken together, these results suggest a tension between border hardening and human rights, and an urgent need to critically examine border hardening through a human rights lens.</w:t>
      </w:r>
    </w:p>
    <w:p/>
    <w:p>
      <w:r>
        <w:rPr>
          <w:rFonts w:ascii="Times New Roman" w:hAnsi="Times New Roman" w:eastAsia="黑体"/>
          <w:b/>
          <w:i w:val="0"/>
          <w:sz w:val="24"/>
        </w:rPr>
        <w:t>资产流动性与产权</w:t>
      </w:r>
    </w:p>
    <w:p>
      <w:r>
        <w:rPr>
          <w:rFonts w:ascii="Times New Roman" w:hAnsi="Times New Roman" w:eastAsia="宋体"/>
          <w:b w:val="0"/>
          <w:i/>
          <w:color w:val="404040"/>
          <w:sz w:val="20"/>
        </w:rPr>
        <w:t>Asset Mobility and Property Rights</w:t>
      </w:r>
    </w:p>
    <w:p>
      <w:r>
        <w:rPr>
          <w:rFonts w:ascii="Times New Roman" w:hAnsi="Times New Roman" w:eastAsia="宋体"/>
          <w:b w:val="0"/>
          <w:i w:val="0"/>
          <w:color w:val="595959"/>
          <w:sz w:val="18"/>
        </w:rPr>
        <w:t>Amy Pond（Washington University in St Louis）</w:t>
      </w:r>
    </w:p>
    <w:p>
      <w:r>
        <w:rPr>
          <w:rFonts w:ascii="Times New Roman" w:hAnsi="Times New Roman" w:eastAsia="宋体"/>
          <w:b w:val="0"/>
          <w:i w:val="0"/>
          <w:sz w:val="22"/>
        </w:rPr>
        <w:t>摘要：资产流动性如何影响产权供给？既有研究预期拥有流动资产的企业主能有效向政府施压要求产权保护。本研究笔记不仅考察企业主的影响力，也考察其偏好。作者构建形式模型表明，能把资产转移出政府控制范围的流动资产所有者，从产权执行中获益少于资产流动性低的所有者；此外，在异质企业竞争的情况下，资产流动性更强的企业可能从对竞争者代价更大的政策（如侵犯产权）中获得竞争优势。作者利用拉美企业高管调查数据以及跨国企业利润时间序列数据检验命题：拉美数据显示资产流动性较低的高管报告更需要改善产权；跨国数据显示产权提升企业利润，但效应仅限于拥有大量不可移动资产的企业。</w:t>
      </w:r>
    </w:p>
    <w:p>
      <w:r>
        <w:rPr>
          <w:rFonts w:ascii="Times New Roman" w:hAnsi="Times New Roman" w:eastAsia="宋体"/>
          <w:b w:val="0"/>
          <w:i w:val="0"/>
          <w:sz w:val="20"/>
        </w:rPr>
        <w:t>How does asset mobility affect the provision of property rights? Existing research anticipates that firm owners with mobile assets are effective at pressuring the government for property rights. In this research note, I examine not just the influence of firm owners but also their preferences. I develop a formal model to show that owners of mobile assets, who may move their assets out of the government’s reach, have less to gain from property rights enforcement than owners with less mobile assets. Moreover, once one considers heterogeneous firms competing with one another, firms with more mobile assets may gain a competitive advantage from policies that are disproportionately costly for their competitors (like violations of property rights). I evaluate the model propositions drawing on empirical analyses of survey data from business executives in Latin America and cross-national, time-series data on firm profits. The findings from Latin America show that business executives with less mobile assets report greater need for property rights improvements. Cross-nationally, property rights increase the profits of firms, but the effects are confined to firms with substantial immobile assets. These findings are consistent with the smaller benefits of property rights among firms with more mobile assets. The research note unites the literatures on heterogeneous firms and the development of property rights to challenge the conventional wisdom about how asset mobility affects property rights.</w:t>
      </w:r>
    </w:p>
    <w:p/>
    <w:p>
      <w:r>
        <w:rPr>
          <w:rFonts w:ascii="Times New Roman" w:hAnsi="Times New Roman" w:eastAsia="黑体"/>
          <w:b/>
          <w:i w:val="0"/>
          <w:sz w:val="24"/>
        </w:rPr>
        <w:t>美国退出北约的威胁如何影响欧洲公众的国防态度</w:t>
      </w:r>
    </w:p>
    <w:p>
      <w:r>
        <w:rPr>
          <w:rFonts w:ascii="Times New Roman" w:hAnsi="Times New Roman" w:eastAsia="宋体"/>
          <w:b w:val="0"/>
          <w:i/>
          <w:color w:val="404040"/>
          <w:sz w:val="20"/>
        </w:rPr>
        <w:t>How Threats of American Withdrawal from NATO Affect European Public Attitudes Toward Defense</w:t>
      </w:r>
    </w:p>
    <w:p>
      <w:r>
        <w:rPr>
          <w:rFonts w:ascii="Times New Roman" w:hAnsi="Times New Roman" w:eastAsia="宋体"/>
          <w:b w:val="0"/>
          <w:i w:val="0"/>
          <w:color w:val="595959"/>
          <w:sz w:val="18"/>
        </w:rPr>
        <w:t>Hannah Jakob Barrett（Aarhus Universitet）；Eric Gabo Ekeberg Nilsen（University of Oslo: Universitetet i Oslo）</w:t>
      </w:r>
    </w:p>
    <w:p>
      <w:r>
        <w:rPr>
          <w:rFonts w:ascii="Times New Roman" w:hAnsi="Times New Roman" w:eastAsia="宋体"/>
          <w:b w:val="0"/>
          <w:i w:val="0"/>
          <w:sz w:val="22"/>
        </w:rPr>
        <w:t>摘要：主导盟友的退出威胁如何影响联盟中公众对国防开支和防务合作的态度？尽管外交政策态度研究文献丰富，但我们仍缺乏在现实情境中因果检验这一关键问题的研究。为填补这一空白，作者利用2024年胜负难料的美国总统选举这一新情境，检验美国对北约承诺前所未有的不确定性如何影响盟国公众的国防态度。通过在英国、瑞典和德国进行的预注册调查实验，作者考察了一场以候选人对立言辞为特征的不确定选举，在俄罗斯军事威胁重现的时代如何影响欧洲舆论。研究发现，美国的退出威胁使受访者显著更愿意增加国防开支，但更不愿支持继续在北约框架内开展防务合作。退出威胁还提高了公众对国家安全自主的偏好，作者并探讨了对北约盟友信心下降是否解释了这一效应。通过激发被抛弃的恐惧，退出威胁不仅对国防开支偏好产生具体影响，也影响盟国在主导盟友承诺缺位时可能寻求的合作类型。</w:t>
      </w:r>
    </w:p>
    <w:p>
      <w:r>
        <w:rPr>
          <w:rFonts w:ascii="Times New Roman" w:hAnsi="Times New Roman" w:eastAsia="宋体"/>
          <w:b w:val="0"/>
          <w:i w:val="0"/>
          <w:sz w:val="20"/>
        </w:rPr>
        <w:t>How does the threat of a dominant ally withdrawing affect public attitudes toward defense spending and defense cooperation in alliances? Despite extensive literature on foreign policy attitudes, we lack research that causally examines this pivotal question in a realistic setting. Addressing this gap, we utilize the novel circumstances surrounding the coin-toss 2024 US presidential election to test how the unprecedented uncertainty of the US commitment to NATO affects public attitudes toward defense in allied countries. Using a preregistered survey experiment in the United Kingdom, Sweden, and Germany, we investigate how an uncertain election defined by contrasting candidate rhetoric influenced European public opinion in an era of renewed Russian military threats. We find that US threats of withdrawal made respondents significantly more willing to spend on defense, and less willing to support continued defense cooperation in NATO. We demonstrate that threats of withdrawal also increased the public’s preference for national security autonomy, and explore whether declining confidence in NATO allies explains this effect. By inciting fears of abandonment, threats of withdrawal create concrete consequences not only for defense spending preferences, but also the types of cooperation that allies may pursue in lieu of the dominant ally’s commitment.</w:t>
      </w:r>
    </w:p>
    <w:p/>
    <w:p>
      <w:r>
        <w:rPr>
          <w:rFonts w:ascii="Times New Roman" w:hAnsi="Times New Roman" w:eastAsia="黑体"/>
          <w:b/>
          <w:i w:val="0"/>
          <w:sz w:val="24"/>
        </w:rPr>
        <w:t>从推文到街头？领导人社交媒体信息对民族主义动员的影响</w:t>
      </w:r>
    </w:p>
    <w:p>
      <w:r>
        <w:rPr>
          <w:rFonts w:ascii="Times New Roman" w:hAnsi="Times New Roman" w:eastAsia="宋体"/>
          <w:b w:val="0"/>
          <w:i/>
          <w:color w:val="404040"/>
          <w:sz w:val="20"/>
        </w:rPr>
        <w:t>Tweets to the Streets? Effects of a Leader’s Social Media Messaging on Nationalist Mobilization</w:t>
      </w:r>
    </w:p>
    <w:p>
      <w:r>
        <w:rPr>
          <w:rFonts w:ascii="Times New Roman" w:hAnsi="Times New Roman" w:eastAsia="宋体"/>
          <w:b w:val="0"/>
          <w:i w:val="0"/>
          <w:color w:val="595959"/>
          <w:sz w:val="18"/>
        </w:rPr>
        <w:t>Fahd Humayun（Tufts University）</w:t>
      </w:r>
    </w:p>
    <w:p>
      <w:r>
        <w:rPr>
          <w:rFonts w:ascii="Times New Roman" w:hAnsi="Times New Roman" w:eastAsia="宋体"/>
          <w:b w:val="0"/>
          <w:i w:val="0"/>
          <w:sz w:val="22"/>
        </w:rPr>
        <w:t>摘要：领导人在外部危机中使用社交媒体能否增加国内民族主义动员？在这篇研究笔记中，作者对巴基斯坦在职国家安全精英开展原创写作模拟，表明领导人使用的词汇内生于其发布平台：为推特/X撰写的危机信息比内容相似的官方公报传达更多情绪性内容。随后，作者将精英撰写的内容随机分配给巴基斯坦社交媒体用户在线样本，发现将升级意图与平台特有的情绪化词汇捆绑，会降低受访者对危机细节的敏感度、增强公众的沙文主义情绪，并略微提高国内参与街头抗议的意愿。作者讨论了这些发现对那些意识到社交媒体动员风险、希望在危机中避免“自缚手脚”的领导人的战略含义。</w:t>
      </w:r>
    </w:p>
    <w:p>
      <w:r>
        <w:rPr>
          <w:rFonts w:ascii="Times New Roman" w:hAnsi="Times New Roman" w:eastAsia="宋体"/>
          <w:b w:val="0"/>
          <w:i w:val="0"/>
          <w:sz w:val="20"/>
        </w:rPr>
        <w:t>Can a leader’s use of social media in an external crisis increase domestic nationalist mobilization? In this research note I leverage an original writing simulation on serving national security elites in Pakistan to demonstrate that the vocabulary that leaders employ is endogenous to their messaging platform, with crisis messages composed for Twitter/X communicating greater levels of affective content than similar content composed for official communiqués. I then randomize elite-curated content across an online sample of Pakistani social media users to show that bundling escalatory intent with affective platform-specific vocabulary reduced respondent sensitivity to crisis details, increased public jingoism, and slightly increased domestic willingness to engage in street protest. I discuss the strategic implications of these findings for leaders who, conscious of the mobilizing risks of social media, may wish to avoid tying their hands in a crisis.</w:t>
      </w:r>
    </w:p>
    <w:p/>
    <w:p>
      <w:r>
        <w:rPr>
          <w:rFonts w:ascii="Times New Roman" w:hAnsi="Times New Roman" w:eastAsia="黑体"/>
          <w:b/>
          <w:i w:val="0"/>
          <w:sz w:val="24"/>
        </w:rPr>
        <w:t>在联合国安理会点名羞辱非国家武装团体</w:t>
      </w:r>
    </w:p>
    <w:p>
      <w:r>
        <w:rPr>
          <w:rFonts w:ascii="Times New Roman" w:hAnsi="Times New Roman" w:eastAsia="宋体"/>
          <w:b w:val="0"/>
          <w:i/>
          <w:color w:val="404040"/>
          <w:sz w:val="20"/>
        </w:rPr>
        <w:t>Naming and Shaming Nonstate Armed Groups at the United Nations Security Council</w:t>
      </w:r>
    </w:p>
    <w:p>
      <w:r>
        <w:rPr>
          <w:rFonts w:ascii="Times New Roman" w:hAnsi="Times New Roman" w:eastAsia="宋体"/>
          <w:b w:val="0"/>
          <w:i w:val="0"/>
          <w:color w:val="595959"/>
          <w:sz w:val="18"/>
        </w:rPr>
        <w:t>Caroline M. Brandt（Uppsala University）；Jenniina Kotajoki（ETH）</w:t>
      </w:r>
    </w:p>
    <w:p>
      <w:r>
        <w:rPr>
          <w:rFonts w:ascii="Times New Roman" w:hAnsi="Times New Roman" w:eastAsia="宋体"/>
          <w:b w:val="0"/>
          <w:i w:val="0"/>
          <w:sz w:val="22"/>
        </w:rPr>
        <w:t>摘要：本研究笔记首次系统考察对非国家武装团体的点名羞辱。以往研究聚焦针对国家的点名羞辱，作者利用新数据表明，这一做法同样针对非国家武装团体，在1995—2016年联合国安理会的所有谴责中占近一半。作者提出并检验两种解释：一是国家间伙伴关系驱使国家点名羞辱非国家武装团体；二是国家谴责非国家武装团体以支持多边体系、表明其对保护平民免受暴力的全球规范的承诺。作者认为国家审慎且选择性地使用这一外交工具，因此五常与十个非常任理事国出于不同目的进行点名羞辱。研究发现，安理会成员与正在同非国家武装团体交战的政府之间的战略伙伴关系影响五常的点名决策；而非常任理事国更可能公开谴责蓄意攻击平民的武装团体，表明遵守全球规范更能解释其行为。不过，非常任理事国的点名羞辱可能并非旨在迫使武装团体遵约，而是向国内外受众展示自身对这些规范的承诺。</w:t>
      </w:r>
    </w:p>
    <w:p>
      <w:r>
        <w:rPr>
          <w:rFonts w:ascii="Times New Roman" w:hAnsi="Times New Roman" w:eastAsia="宋体"/>
          <w:b w:val="0"/>
          <w:i w:val="0"/>
          <w:sz w:val="20"/>
        </w:rPr>
        <w:t>This research note is the first to systematically examine the naming and shaming of nonstate armed groups (NSAGs). While previous research has focused on naming and shaming that targets states, we leverage novel data to show that the practice extends to NSAGs, accounting for almost half of all admonishments made at the United Nations Security Council (UNSC) from 1995 to 2016. We develop and test two explanatory theories: one suggesting that partnerships between states drive states to name and shame NSAGs, and another positing that states condemn NSAGs to support the multilateral system and signal their commitment to global norms protecting civilians from violence. We argue that states employ the diplomatic tool carefully and selectively, and as a consequence, the UNSC’s five permanent members (P5) and the ten elected members (E10), name and shame for different purposes. Our findings indicate that strategic partnerships between UNSC member states and governments engaged in conflicts with NSAGs influence the P5’s decisions to name and shame NSAGs. In contrast, the E10 are more likely to publicly condemn NSAGs that deliberately target civilians, suggesting that adherence to global norms better explains their behavior. However, the E10’s naming and shaming may not be aimed at enforcing compliance from NSAGs, but rather at showcasing to domestic and international audiences their own commitment to these norms. Our study marks the opening of a new research agenda on the naming and shaming of NSAGs.</w:t>
      </w:r>
    </w:p>
    <w:p/>
    <w:p>
      <w:r>
        <w:rPr>
          <w:rFonts w:ascii="Times New Roman" w:hAnsi="Times New Roman" w:eastAsia="宋体"/>
          <w:b/>
          <w:i w:val="0"/>
          <w:sz w:val="22"/>
        </w:rPr>
        <w:t>IO： Vol. 80, No. 1, 2026</w:t>
      </w:r>
    </w:p>
    <w:p/>
    <w:p>
      <w:r>
        <w:rPr>
          <w:rFonts w:ascii="Times New Roman" w:hAnsi="Times New Roman" w:eastAsia="黑体"/>
          <w:b/>
          <w:i w:val="0"/>
          <w:sz w:val="24"/>
        </w:rPr>
        <w:t>不满的地理：产业集聚中心放大政治不满</w:t>
      </w:r>
    </w:p>
    <w:p>
      <w:r>
        <w:rPr>
          <w:rFonts w:ascii="Times New Roman" w:hAnsi="Times New Roman" w:eastAsia="宋体"/>
          <w:b w:val="0"/>
          <w:i/>
          <w:color w:val="404040"/>
          <w:sz w:val="20"/>
        </w:rPr>
        <w:t>Geography of Grievance: Industrial Hubs Magnify Political Discontent</w:t>
      </w:r>
    </w:p>
    <w:p>
      <w:r>
        <w:rPr>
          <w:rFonts w:ascii="Times New Roman" w:hAnsi="Times New Roman" w:eastAsia="宋体"/>
          <w:b w:val="0"/>
          <w:i w:val="0"/>
          <w:color w:val="595959"/>
          <w:sz w:val="18"/>
        </w:rPr>
        <w:t>Sung Eun Kim（Korea University）；Krzysztof Pelc（Korea University; Oxford University）</w:t>
      </w:r>
    </w:p>
    <w:p>
      <w:r>
        <w:rPr>
          <w:rFonts w:ascii="Times New Roman" w:hAnsi="Times New Roman" w:eastAsia="宋体"/>
          <w:b w:val="0"/>
          <w:i w:val="0"/>
          <w:sz w:val="22"/>
        </w:rPr>
        <w:t>摘要：为何有些经济冲击会产生政治后果、颠覆选举并带来激进候选人，而另一些则被视为结构变迁而被淡化？作者从地理集中的产业及其与地区认同的关系入手解答这一谜题。产业集聚中心常被视为地区优势之源，但作者表明，过去二十年美国产业集聚中心的就业损失多于增长。通过三项原创调查研究，作者发现：地理集中产业的工人属于更密集、根基更深的同侪网络，这与“政客应负责防止裁员”的更强观点相关；这些人也认为同等幅度的经济冲击对本地区相对全国的地位损害更大；而地区地位丧失感又与对民粹领导特质的更大需求相关。最后，就业损失在产业中心与更多支持共和党候选人相关，而在非中心地区同等损失并无类似效应。</w:t>
      </w:r>
    </w:p>
    <w:p>
      <w:r>
        <w:rPr>
          <w:rFonts w:ascii="Times New Roman" w:hAnsi="Times New Roman" w:eastAsia="宋体"/>
          <w:b w:val="0"/>
          <w:i w:val="0"/>
          <w:sz w:val="20"/>
        </w:rPr>
        <w:t>Why do some economic shocks have political consequences, upturning elections and ushering in radical candidates, while others are brushed off as structural change? We address this puzzle by looking to geographically concentrated industries, and how they relate to regional identity. While most often presented as a source of regional strength, we show that industrial hubs in the United States have accounted for more job losses than gains over the last twenty years. We then show how this matters through three original survey studies. Workers in geographically concentrated industries belong to denser, more deeply-rooted peer networks; these are associated with a stronger view that politicians are responsible for preventing layoffs. Those same individuals also perceive economic shocks of equal magnitude as more damaging to their region’s standing, compared to the rest of the country. Perceptions of lost regional standing, in turn, are associated with greater demand for populist leadership traits. Finally, we show how these individual attitudes translate into aggregate political behavior. Employment losses in industrial hubs are tied to greater support for Republican candidates, while equivalent losses in non-hubs show no analogous effect. Our account presents a competing picture to the dominant narrative of industrial hubs as founts of innovation and productivity. When threatened by structural forces, such hubs can turn instead into founts of political resentment.</w:t>
      </w:r>
    </w:p>
    <w:p/>
    <w:p>
      <w:r>
        <w:rPr>
          <w:rFonts w:ascii="Times New Roman" w:hAnsi="Times New Roman" w:eastAsia="黑体"/>
          <w:b/>
          <w:i w:val="0"/>
          <w:sz w:val="24"/>
        </w:rPr>
        <w:t>国际金融机构与威权韧性的促进</w:t>
      </w:r>
    </w:p>
    <w:p>
      <w:r>
        <w:rPr>
          <w:rFonts w:ascii="Times New Roman" w:hAnsi="Times New Roman" w:eastAsia="宋体"/>
          <w:b w:val="0"/>
          <w:i/>
          <w:color w:val="404040"/>
          <w:sz w:val="20"/>
        </w:rPr>
        <w:t>International Financial Institutions and the Promotion of Autocratic Resilience</w:t>
      </w:r>
    </w:p>
    <w:p>
      <w:r>
        <w:rPr>
          <w:rFonts w:ascii="Times New Roman" w:hAnsi="Times New Roman" w:eastAsia="宋体"/>
          <w:b w:val="0"/>
          <w:i w:val="0"/>
          <w:color w:val="595959"/>
          <w:sz w:val="18"/>
        </w:rPr>
        <w:t>Christina Cottiero（University of Utah）；Christina J. Schneider（University of California）</w:t>
      </w:r>
    </w:p>
    <w:p>
      <w:r>
        <w:rPr>
          <w:rFonts w:ascii="Times New Roman" w:hAnsi="Times New Roman" w:eastAsia="宋体"/>
          <w:b w:val="0"/>
          <w:i w:val="0"/>
          <w:sz w:val="22"/>
        </w:rPr>
        <w:t>摘要：尽管国际金融机构对受援国发展轨迹影响巨大，我们对由威权政权主导的国际金融机构的贷款策略知之甚少。本文提供新证据表明，威权国际金融机构并非仅是中立的经济行为体，它们会在威权政府面临严重生存威胁时向其提供资金支持。作者构建原创数据集，追踪1967—2021年18家威权国际金融机构对143个受援国的贷款行为，发现来自威权国际金融机构的资金流恰恰在威权政权最脆弱时增加。通过将这些发现置于更广泛的援助分配文献中，本文为国际开发贷款的政治算计提供了新视角，对理解全球权力动态具有深远意义。</w:t>
      </w:r>
    </w:p>
    <w:p>
      <w:r>
        <w:rPr>
          <w:rFonts w:ascii="Times New Roman" w:hAnsi="Times New Roman" w:eastAsia="宋体"/>
          <w:b w:val="0"/>
          <w:i w:val="0"/>
          <w:sz w:val="20"/>
        </w:rPr>
        <w:t>Despite their significant influence on the development trajectories of recipient nations, we know little about the lending strategies of international financial institutions (IFIs) dominated by authoritarian regimes. In this paper, we provide new evidence that autocratic IFIs are not merely neutral economic actors. Our findings suggest that these institutions provide financial support to authoritarian governments facing acute threats to their survival. We introduce an original data set tracking the lending behavior of eighteen autocratic IFIs across 143 recipient countries from 1967 to 2021. Our findings uncover that aid flows from autocratic IFIs increase precisely when authoritarian regimes are most vulnerable. By situating these insights within the broader aid allocation literature, we provide a fresh perspective on the political calculus of international development lending, with profound implications for understanding global power dynamics.</w:t>
      </w:r>
    </w:p>
    <w:p/>
    <w:p>
      <w:r>
        <w:rPr>
          <w:rFonts w:ascii="Times New Roman" w:hAnsi="Times New Roman" w:eastAsia="黑体"/>
          <w:b/>
          <w:i w:val="0"/>
          <w:sz w:val="24"/>
        </w:rPr>
        <w:t>关上潘多拉魔盒：共同脆弱性能否支撑领土稳定？</w:t>
      </w:r>
    </w:p>
    <w:p>
      <w:r>
        <w:rPr>
          <w:rFonts w:ascii="Times New Roman" w:hAnsi="Times New Roman" w:eastAsia="宋体"/>
          <w:b w:val="0"/>
          <w:i/>
          <w:color w:val="404040"/>
          <w:sz w:val="20"/>
        </w:rPr>
        <w:t>Closing Pandora’s Box: Can Shared Vulnerability Underpin Territorial Stability?</w:t>
      </w:r>
    </w:p>
    <w:p>
      <w:r>
        <w:rPr>
          <w:rFonts w:ascii="Times New Roman" w:hAnsi="Times New Roman" w:eastAsia="宋体"/>
          <w:b w:val="0"/>
          <w:i w:val="0"/>
          <w:color w:val="595959"/>
          <w:sz w:val="18"/>
        </w:rPr>
        <w:t>Jamie Hintson（Harvard University）；Kenneth A. Schultz（Stanford University）</w:t>
      </w:r>
    </w:p>
    <w:p>
      <w:r>
        <w:rPr>
          <w:rFonts w:ascii="Times New Roman" w:hAnsi="Times New Roman" w:eastAsia="宋体"/>
          <w:b w:val="0"/>
          <w:i w:val="0"/>
          <w:sz w:val="22"/>
        </w:rPr>
        <w:t>摘要：学者和决策者认为领土修正主义之所以危险，是因为它可能引发对边界不满国家的连锁诉求。这一“潘多拉魔盒”逻辑意味着易受现状瓦解冲击的国家有动机克制领土野心以维护稳定。本文从理论与经验两方面探讨该主张。描述性证据显示，在最常援引该逻辑的独立后非洲，以及在一定程度上的亚洲，领土威胁脆弱性与较低的领土争端发起可能性相关，但在其他地区并非如此。为解释这些经验观察，作者构建了多国领土冲突模型，确定维持领土现状合作的条件。模型表明，相互克制的均衡虽可存在，但所需条件相当严苛，且合作均衡从不唯一。因此，潜在诉求的“潘多拉魔盒”虽可为克制规范提供基础，但这种规范的出现既不简单也无保障。</w:t>
      </w:r>
    </w:p>
    <w:p>
      <w:r>
        <w:rPr>
          <w:rFonts w:ascii="Times New Roman" w:hAnsi="Times New Roman" w:eastAsia="宋体"/>
          <w:b w:val="0"/>
          <w:i w:val="0"/>
          <w:sz w:val="20"/>
        </w:rPr>
        <w:t>Scholars and policymakers have argued that territorial revisionism is dangerous because it risks setting off a cascade of claims by states dissatisfied with their borders. This Pandora’s box logic suggests that states that are vulnerable to an unraveling of the status quo have incentives to restrain their territorial ambitions to preserve stability. This paper explores this claim theoretically and empirically. It provides descriptive evidence to determine whether vulnerability to territorial threats has historically been associated with a lower likelihood of initiating territorial disputes. We find some evidence of such an effect in postindependence Africa, where this logic is most frequently invoked, and to some extent in Asia, but not in other regions. To help explain these empirical observations, we develop a multistate model of territorial conflict that identifies the conditions under which cooperation to preserve the territorial status quo can be sustained. The model shows that while an equilibrium of mutual restraint can exist, the necessary conditions are quite restrictive, and this cooperative equilibrium is never unique. Thus while a Pandora’s box of potential claims can provide the basis for a norm of restraint, the emergence of such a norm is neither straightforward nor guaranteed.</w:t>
      </w:r>
    </w:p>
    <w:p/>
    <w:p>
      <w:r>
        <w:rPr>
          <w:rFonts w:ascii="Times New Roman" w:hAnsi="Times New Roman" w:eastAsia="黑体"/>
          <w:b/>
          <w:i w:val="0"/>
          <w:sz w:val="24"/>
        </w:rPr>
        <w:t>国际关系中的制度性种族主义</w:t>
      </w:r>
    </w:p>
    <w:p>
      <w:r>
        <w:rPr>
          <w:rFonts w:ascii="Times New Roman" w:hAnsi="Times New Roman" w:eastAsia="宋体"/>
          <w:b w:val="0"/>
          <w:i/>
          <w:color w:val="404040"/>
          <w:sz w:val="20"/>
        </w:rPr>
        <w:t>Institutional Racism in International Relations</w:t>
      </w:r>
    </w:p>
    <w:p>
      <w:r>
        <w:rPr>
          <w:rFonts w:ascii="Times New Roman" w:hAnsi="Times New Roman" w:eastAsia="宋体"/>
          <w:b w:val="0"/>
          <w:i w:val="0"/>
          <w:color w:val="595959"/>
          <w:sz w:val="18"/>
        </w:rPr>
        <w:t>Phillip Y. Lipscy（University of Toronto University of Tokyo）；Jiajia Zhou（University of Toronto）</w:t>
      </w:r>
    </w:p>
    <w:p>
      <w:r>
        <w:rPr>
          <w:rFonts w:ascii="Times New Roman" w:hAnsi="Times New Roman" w:eastAsia="宋体"/>
          <w:b w:val="0"/>
          <w:i w:val="0"/>
          <w:sz w:val="22"/>
        </w:rPr>
        <w:t>摘要：种族主义如何塑造国际关系中的合作与争夺模式？作者提出国际关系中的制度性种族主义理论，考察国际组织如何在名义上种族中立的原则下延续种族差异。原创数据显示，国际组织创始章程的语言已从公开的种族主义表述转向倡导反种族主义。然而成员模式显示出对白人多数国家的持续偏向：（1）此类国家在新成立组织的创始成员中仍占比过高；（2）即使控制多种潜在混杂因素，白人多数国家占比过高的组织倾向于不成比例地从其他白人多数国家吸纳新成员。明确宣称反种族主义原则的国际组织（如国际刑事法院）也表现出类似偏向。</w:t>
      </w:r>
    </w:p>
    <w:p>
      <w:r>
        <w:rPr>
          <w:rFonts w:ascii="Times New Roman" w:hAnsi="Times New Roman" w:eastAsia="宋体"/>
          <w:b w:val="0"/>
          <w:i w:val="0"/>
          <w:sz w:val="20"/>
        </w:rPr>
        <w:t>How does racism structure the patterns of cooperation and contestation in international relations? We propose a theory of institutional racism in international relations, examining how international organizations perpetuate racial disparities despite their nominally race-neutral principles. Based on our original data, language in the founding charters of international organizations has shifted from open expressions of racism to the espousal of antiracism. However, membership patterns suggest a persistent bias in favor of white-majority countries: (1) such countries remain overrepresented as inception members of newly formed organizations, and (2) even after accounting for a variety of potential confounders, organizations that overrepresent white-majority countries tend to disproportionately draw new members from other white-majority countries. International organizations that explicitly profess antiracist principles, such as the International Criminal Court, exhibit similar bias. The findings suggest that understanding the structure and biases of the international order requires careful attention to the role of race.</w:t>
      </w:r>
    </w:p>
    <w:p/>
    <w:p>
      <w:r>
        <w:rPr>
          <w:rFonts w:ascii="Times New Roman" w:hAnsi="Times New Roman" w:eastAsia="黑体"/>
          <w:b/>
          <w:i w:val="0"/>
          <w:sz w:val="24"/>
        </w:rPr>
        <w:t>跨境空气污染与模糊问责：来自韩国的证据</w:t>
      </w:r>
    </w:p>
    <w:p>
      <w:r>
        <w:rPr>
          <w:rFonts w:ascii="Times New Roman" w:hAnsi="Times New Roman" w:eastAsia="宋体"/>
          <w:b w:val="0"/>
          <w:i/>
          <w:color w:val="404040"/>
          <w:sz w:val="20"/>
        </w:rPr>
        <w:t>Transboundary Air Pollution and Hazy Accountability: Evidence from South Korea</w:t>
      </w:r>
    </w:p>
    <w:p>
      <w:r>
        <w:rPr>
          <w:rFonts w:ascii="Times New Roman" w:hAnsi="Times New Roman" w:eastAsia="宋体"/>
          <w:b w:val="0"/>
          <w:i w:val="0"/>
          <w:color w:val="595959"/>
          <w:sz w:val="18"/>
        </w:rPr>
        <w:t>Haillie Lee（Seoul National University）；Erik Voeten（Georgetown University; University of Oslo）</w:t>
      </w:r>
    </w:p>
    <w:p>
      <w:r>
        <w:rPr>
          <w:rFonts w:ascii="Times New Roman" w:hAnsi="Times New Roman" w:eastAsia="宋体"/>
          <w:b w:val="0"/>
          <w:i w:val="0"/>
          <w:sz w:val="22"/>
        </w:rPr>
        <w:t>摘要：作者认为跨境污染可能同时削弱国内问责过程并加剧国际紧张。作者在韩国情境下进行实证考察——韩国以严重空气污染著称，其部分来源于中国。作者首先表明，大多数关于空气污染的媒体报道和热门公共请愿都强调中国的责任；随后结合每日空气质量数据与2015—2022年调查数据，并使用工具变量回归表明，在空气质量差的日子里，韩国人对本国政府环保努力的评价保持不变，但对中国领导层的看法恶化。由此作者找到因果证据，表明跨境污染加剧了中韩之间日益增长的公众敌意。这些发现也可能有助于解释为何韩国在OECD国家中空气污染与气候政策排名垫底。</w:t>
      </w:r>
    </w:p>
    <w:p>
      <w:r>
        <w:rPr>
          <w:rFonts w:ascii="Times New Roman" w:hAnsi="Times New Roman" w:eastAsia="宋体"/>
          <w:b w:val="0"/>
          <w:i w:val="0"/>
          <w:sz w:val="20"/>
        </w:rPr>
        <w:t>We argue that transboundary pollution can simultaneously undermine domestic accountability processes and heighten international tensions. We examine this empirically in the context of South Korea, notorious for severe air pollution that partly originates from China. We first show that most media stories and popular public petitions on air pollution emphasize China’s responsibility. We then combine data on daily air quality with survey data (2015–2022) and use instrumental variable regressions to show that on bad air days, South Koreans’ assessments of their own government’s environmental efforts remain consistent but their opinions of China’s leadership worsen. We thus find causal evidence that transboundary pollution contributes to growing public hostility between China and Korea. The findings may also help explain why Korea ranks lowest among OECD countries on air pollution and climate change policies. The research note concludes with broader implications for studying transboundary environmental issues.</w:t>
      </w:r>
    </w:p>
    <w:p/>
    <w:p>
      <w:r>
        <w:rPr>
          <w:rFonts w:ascii="Times New Roman" w:hAnsi="Times New Roman" w:eastAsia="黑体"/>
          <w:b/>
          <w:i w:val="0"/>
          <w:sz w:val="24"/>
        </w:rPr>
        <w:t>委托毁灭：强制威胁与自动化核系统</w:t>
      </w:r>
    </w:p>
    <w:p>
      <w:r>
        <w:rPr>
          <w:rFonts w:ascii="Times New Roman" w:hAnsi="Times New Roman" w:eastAsia="宋体"/>
          <w:b w:val="0"/>
          <w:i/>
          <w:color w:val="404040"/>
          <w:sz w:val="20"/>
        </w:rPr>
        <w:t>Delegating Destruction: Coercive Threats and Automated Nuclear Systems</w:t>
      </w:r>
    </w:p>
    <w:p>
      <w:r>
        <w:rPr>
          <w:rFonts w:ascii="Times New Roman" w:hAnsi="Times New Roman" w:eastAsia="宋体"/>
          <w:b w:val="0"/>
          <w:i w:val="0"/>
          <w:color w:val="595959"/>
          <w:sz w:val="18"/>
        </w:rPr>
        <w:t>Joshua A. Schwartz（Carnegie Mellon University）；Michael C. Horowitz（University of Pennsylvania）</w:t>
      </w:r>
    </w:p>
    <w:p>
      <w:r>
        <w:rPr>
          <w:rFonts w:ascii="Times New Roman" w:hAnsi="Times New Roman" w:eastAsia="宋体"/>
          <w:b w:val="0"/>
          <w:i w:val="0"/>
          <w:sz w:val="22"/>
        </w:rPr>
        <w:t>摘要：核武器是否可用于强制？若是，哪些因素提高核威胁的可信度与有效性？谢林等学者认为核边缘政策（操纵核风险）能有效强制对手，其他人则认为核武器并非有效的强制工具，尤其在追求进攻性和修正主义目标时。与此同时，关于在军事系统尤其是核指挥控制中引入人工智能自动化的争论广泛存在。作者提出理论论证：以自动化核发射系统实施的核威胁比非自动化手段更可信。通过减少人类对核使用的控制，领导人能更有效地“自缚手脚”从而发出决心信号，尽管这会增加核战争风险、极其危险。针对英国议员精英样本和两个英国公众样本的预注册调查实验支持了这些预期：在俄罗斯入侵爱沙尼亚的危机情境中，自动化核威胁能提高可信度和对方退让意愿。</w:t>
      </w:r>
    </w:p>
    <w:p>
      <w:r>
        <w:rPr>
          <w:rFonts w:ascii="Times New Roman" w:hAnsi="Times New Roman" w:eastAsia="宋体"/>
          <w:b w:val="0"/>
          <w:i w:val="0"/>
          <w:sz w:val="20"/>
        </w:rPr>
        <w:t>Are nuclear weapons useful for coercion, and, if so, what factors increase the credibility and effectiveness of nuclear threats? While prominent scholars like Thomas Schelling argue that nuclear brinkmanship, or the manipulation of nuclear risk, can effectively coerce adversaries, others contend nuclear weapons are not effective tools of coercion, especially when designed to achieve offensive and revisionist objectives. Simultaneously, there is broad debate about the incorporation of automation via artificial intelligence into military systems, especially nuclear command and control. We develop a theoretical argument that nuclear threats implemented with automated nuclear launch systems are more credible compared to those implemented via non-automated means. By reducing human control over nuclear use, leaders can more effectively tie their hands and thus signal resolve, even if doing so increases the risk of nuclear war and thus is extremely dangerous. Preregistered survey experiments on an elite sample of United Kingdom Members of Parliament and two public samples of UK citizens provide support for these expectations, showing that in a crisis scenario involving a Russian invasion of Estonia, automated nuclear threats can increase credibility and willingness to back down. From a policy perspective, this paper highlights the dangers of countries adopting automated nuclear systems for malign purposes, and contributes to the literatures on coercive bargaining, weapons of mass destruction, and emerging technology.</w:t>
      </w:r>
    </w:p>
    <w:p/>
    <w:p>
      <w:r>
        <w:rPr>
          <w:rFonts w:ascii="Times New Roman" w:hAnsi="Times New Roman" w:eastAsia="黑体"/>
          <w:b/>
          <w:i w:val="0"/>
          <w:sz w:val="24"/>
        </w:rPr>
        <w:t>威权改革与外部合法性</w:t>
      </w:r>
    </w:p>
    <w:p>
      <w:r>
        <w:rPr>
          <w:rFonts w:ascii="Times New Roman" w:hAnsi="Times New Roman" w:eastAsia="宋体"/>
          <w:b w:val="0"/>
          <w:i/>
          <w:color w:val="404040"/>
          <w:sz w:val="20"/>
        </w:rPr>
        <w:t>Authoritarian Reforms and External Legitimacy</w:t>
      </w:r>
    </w:p>
    <w:p>
      <w:r>
        <w:rPr>
          <w:rFonts w:ascii="Times New Roman" w:hAnsi="Times New Roman" w:eastAsia="宋体"/>
          <w:b w:val="0"/>
          <w:i w:val="0"/>
          <w:color w:val="595959"/>
          <w:sz w:val="18"/>
        </w:rPr>
        <w:t>Calvert W. Jones（University of Maryland, College Park）</w:t>
      </w:r>
    </w:p>
    <w:p>
      <w:r>
        <w:rPr>
          <w:rFonts w:ascii="Times New Roman" w:hAnsi="Times New Roman" w:eastAsia="宋体"/>
          <w:b w:val="0"/>
          <w:i w:val="0"/>
          <w:sz w:val="22"/>
        </w:rPr>
        <w:t>摘要：越来越多研究认为，威权政权可通过改革提升其外部合法性——从国内层面的民主或“伪民主”制度变革到参与国际减缓气候变化的努力。然而这类研究共同的理论逻辑却出人意料地缺乏实证关注。本研究通过对美国全国代表性样本开展的一系列迭代原创调查实验作出贡献。研究一采用简单的独立组设计检验基础假设——改革能建立外部合法性；研究二和研究三通过联合分析设计对该假设进行更严格检验，并评估关于何时以及在何种意义上获得“合法性”的扩展假设。各项研究一致表明，各类改革确实能产生外部合法性，既带来正面收益也提供“屏蔽”收益。结果还支持了若干关于改革类型、合法性收益类型及收益条件的新发现。</w:t>
      </w:r>
    </w:p>
    <w:p>
      <w:r>
        <w:rPr>
          <w:rFonts w:ascii="Times New Roman" w:hAnsi="Times New Roman" w:eastAsia="宋体"/>
          <w:b w:val="0"/>
          <w:i w:val="0"/>
          <w:sz w:val="20"/>
        </w:rPr>
        <w:t>A growing body of work suggests that authoritarian regimes can enhance their external legitimacy by undertaking reform—from democratic or “pseudodemocratic” institutional changes at the domestic level to participation in international efforts to mitigate climate change. Yet the shared theoretical logic underlying this work has received surprisingly little empirical attention. This research contributes by offering findings from an iterative series of original survey experiments conducted over nationally representative samples of US citizens. Study 1 tested the foundational hypothesis—that reforms build external legitimacy—by adopting a simple independent groups design. Studies 2 and 3 subjected that hypothesis to harder tests via conjoint designs, and also evaluated extension hypotheses about when and in what sense “legitimacy” is gained. Across studies, the results consistently demonstrate that reforms (of a variety of types) do generate external legitimacy, offering both positive benefits as well as shielding benefits in keeping with theoretical arguments. The results also provide support for several new and previously undocumented findings concerning the role of reform type, type of legitimacy-derived gain, and the conditions under which such gains are more or less likely to accrue.</w:t>
      </w:r>
    </w:p>
    <w:p/>
    <w:p>
      <w:r>
        <w:rPr>
          <w:rFonts w:ascii="Times New Roman" w:hAnsi="Times New Roman" w:eastAsia="宋体"/>
          <w:b/>
          <w:i w:val="0"/>
          <w:sz w:val="22"/>
        </w:rPr>
        <w:t>IO： Vol. 79, No. 4, 2025</w:t>
      </w:r>
    </w:p>
    <w:p/>
    <w:p>
      <w:r>
        <w:rPr>
          <w:rFonts w:ascii="Times New Roman" w:hAnsi="Times New Roman" w:eastAsia="黑体"/>
          <w:b/>
          <w:i w:val="0"/>
          <w:sz w:val="24"/>
        </w:rPr>
        <w:t>海外移民如何塑造政治偏好：来自田野实验的证据</w:t>
      </w:r>
    </w:p>
    <w:p>
      <w:r>
        <w:rPr>
          <w:rFonts w:ascii="Times New Roman" w:hAnsi="Times New Roman" w:eastAsia="宋体"/>
          <w:b w:val="0"/>
          <w:i/>
          <w:color w:val="404040"/>
          <w:sz w:val="20"/>
        </w:rPr>
        <w:t>How Migrating Overseas Shapes Political Preferences: Evidence from a Field Experiment</w:t>
      </w:r>
    </w:p>
    <w:p>
      <w:r>
        <w:rPr>
          <w:rFonts w:ascii="Times New Roman" w:hAnsi="Times New Roman" w:eastAsia="宋体"/>
          <w:b w:val="0"/>
          <w:i w:val="0"/>
          <w:color w:val="595959"/>
          <w:sz w:val="18"/>
        </w:rPr>
        <w:t>Nikhar Gaikwad（Columbia University）；Kolby Hanson（Wesleyan University）；Aliz Tóth（London School of Economics and Political Science）</w:t>
      </w:r>
    </w:p>
    <w:p>
      <w:r>
        <w:rPr>
          <w:rFonts w:ascii="Times New Roman" w:hAnsi="Times New Roman" w:eastAsia="宋体"/>
          <w:b w:val="0"/>
          <w:i w:val="0"/>
          <w:sz w:val="22"/>
        </w:rPr>
        <w:t>摘要：关于跨境移民与福利国家政治的研究聚焦本土出生者的态度。移民如何影响移民自身——东道国与母国的关键选民——的再分配偏好？作者认为移民会使移民采取更保守的财政态度，其驱动因素不仅是经济收益，也包括向自立和相信向上流动前景的心理转变。作者呈现了一项促进印度劳工向中东迁移的随机对照试验结果：干预带来高比例的跨境迁移，并显著降低了移民对税收与再分配的支持。相反，留守家庭成员尽管也获得经济收益，却并未变得更为财政保守。移民在经济上变得自信和自立，而其家庭成员则日益依赖侨汇。</w:t>
      </w:r>
    </w:p>
    <w:p>
      <w:r>
        <w:rPr>
          <w:rFonts w:ascii="Times New Roman" w:hAnsi="Times New Roman" w:eastAsia="宋体"/>
          <w:b w:val="0"/>
          <w:i w:val="0"/>
          <w:sz w:val="20"/>
        </w:rPr>
        <w:t>Scholarship on cross-border migration and welfare state politics has focused on native-born individuals’ attitudes. How does migration affect the redistribution preferences of migrants—key constituents in host and home countries? We argue that migration causes migrants to adopt more fiscally conservative attitudes, driven not only by economic gains but also by psychological shifts toward self-reliance and beliefs in the prospect of upward mobility. We present results from a randomized controlled trial that facilitated labor migration from India to the Middle East. The intervention prompted high rates of cross-border migration and significantly reduced support for taxation and redistribution among migrants. By contrast, left-behind family members did not become more fiscally conservative despite also experiencing economic gains. While the migrants became economically confident and self-reliant, their family members grew increasingly dependent on remittances. Our results demonstrate that globalization’s impacts on welfare-state preferences depend on the pathways by which it generates economic opportunity.</w:t>
      </w:r>
    </w:p>
    <w:p/>
    <w:p>
      <w:r>
        <w:rPr>
          <w:rFonts w:ascii="Times New Roman" w:hAnsi="Times New Roman" w:eastAsia="黑体"/>
          <w:b/>
          <w:i w:val="0"/>
          <w:sz w:val="24"/>
        </w:rPr>
        <w:t>人口迁移与国家建设：阿富汗普什图人重新安置的遗产</w:t>
      </w:r>
    </w:p>
    <w:p>
      <w:r>
        <w:rPr>
          <w:rFonts w:ascii="Times New Roman" w:hAnsi="Times New Roman" w:eastAsia="宋体"/>
          <w:b w:val="0"/>
          <w:i/>
          <w:color w:val="404040"/>
          <w:sz w:val="20"/>
        </w:rPr>
        <w:t>Population Displacement and State Building: The Legacies of Pashtun Resettlement in Afghanistan</w:t>
      </w:r>
    </w:p>
    <w:p>
      <w:r>
        <w:rPr>
          <w:rFonts w:ascii="Times New Roman" w:hAnsi="Times New Roman" w:eastAsia="宋体"/>
          <w:b w:val="0"/>
          <w:i w:val="0"/>
          <w:color w:val="595959"/>
          <w:sz w:val="18"/>
        </w:rPr>
        <w:t>David B. Carter（Washington University in St. Louis）；Austin L. Wright（University of Chicago）；Luwei Ying（University of California, Los Angeles）</w:t>
      </w:r>
    </w:p>
    <w:p>
      <w:r>
        <w:rPr>
          <w:rFonts w:ascii="Times New Roman" w:hAnsi="Times New Roman" w:eastAsia="宋体"/>
          <w:b w:val="0"/>
          <w:i w:val="0"/>
          <w:sz w:val="22"/>
        </w:rPr>
        <w:t>摘要：人口迁移是一种重要的国家建设策略：国家以武力或正向激励推动种族、民族或语言群体重新安置，以巩固领土控制。作者分析阿富汗埃米尔阿卜杜·拉赫曼统治时期普什图社群的迁移，评估大规模迁移的长期后果。作者利用历史记录重建被迁移部落地图，识别与原迁出地相关联的当代定居点，并分析超过8万名受访者的微观调查数据，研究被埃米尔国家建设分隔的同族社群在对中央政府和塔利班的态度以及身份认同显著性上的差异。作者认为，在许多历史案例常见的条件下，移民会形成既非民族中心主义、也非亲中央政府、也不聚焦国家认同的地区性政治认同。普什图人向北部阿富汗的国家主导重新安置的长期后果是：对地区政府和地方制度更强的依附，以及相对南部和东部普什图人对中央政府和塔利班更大的敌意。</w:t>
      </w:r>
    </w:p>
    <w:p>
      <w:r>
        <w:rPr>
          <w:rFonts w:ascii="Times New Roman" w:hAnsi="Times New Roman" w:eastAsia="宋体"/>
          <w:b w:val="0"/>
          <w:i w:val="0"/>
          <w:sz w:val="20"/>
        </w:rPr>
        <w:t>Population displacement is a prominent state-building strategy. Using either force or positive inducements, states sponsor the resettlement of racial, ethnic, or linguistic groups to consolidate territorial control. We evaluate the long-run consequences of large-scale displacement by analyzing a historical episode in Afghanistan: the relocation of Pashtun communities during the rule of Emir Abd al-Rahman. Using historical records, we reconstruct the map of relocated tribes to identify contemporary settlements that are connected to the original displaced settlements. We analyze novel, microlevel survey data on more than 80,000 subjects to study how contemporary attitudes about the central government and the Taliban as well as individuals’ identity salience differ across coethnic communities separated by the emir’s state-building effort. We argue that under conditions common to many historical cases, settlers develop regional political identities that are neither ethnocentric, nor pro-central-state, nor focused on national identity. We show that the long-term consequences of the state-led resettlement of Pashtuns to northern Afghanistan are stronger attachments to regional government and local institutions, along with greater hostility to the central government and the Taliban relative to Pashtuns in the south and east.</w:t>
      </w:r>
    </w:p>
    <w:p/>
    <w:p>
      <w:r>
        <w:rPr>
          <w:rFonts w:ascii="Times New Roman" w:hAnsi="Times New Roman" w:eastAsia="黑体"/>
          <w:b/>
          <w:i w:val="0"/>
          <w:sz w:val="24"/>
        </w:rPr>
        <w:t>直面现实：纠正崛起大国的国家过度自信</w:t>
      </w:r>
    </w:p>
    <w:p>
      <w:r>
        <w:rPr>
          <w:rFonts w:ascii="Times New Roman" w:hAnsi="Times New Roman" w:eastAsia="宋体"/>
          <w:b w:val="0"/>
          <w:i/>
          <w:color w:val="404040"/>
          <w:sz w:val="20"/>
        </w:rPr>
        <w:t>Reckoning with Reality: Correcting National Overconfidence in a Rising Power</w:t>
      </w:r>
    </w:p>
    <w:p>
      <w:r>
        <w:rPr>
          <w:rFonts w:ascii="Times New Roman" w:hAnsi="Times New Roman" w:eastAsia="宋体"/>
          <w:b w:val="0"/>
          <w:i w:val="0"/>
          <w:color w:val="595959"/>
          <w:sz w:val="18"/>
        </w:rPr>
        <w:t>Haifeng Huang（Ohio State University）</w:t>
      </w:r>
    </w:p>
    <w:p>
      <w:r>
        <w:rPr>
          <w:rFonts w:ascii="Times New Roman" w:hAnsi="Times New Roman" w:eastAsia="宋体"/>
          <w:b w:val="0"/>
          <w:i w:val="0"/>
          <w:sz w:val="22"/>
        </w:rPr>
        <w:t>摘要：崛起中的威权大国公众是否高估了本国在世界上的声誉、实力与影响力？过度的国家自信具有国内和国际后果，但鲜有系统研究。作者利用新冠疫情期间的两项研究和之后的另一项研究表明，即使在国家危机期间，中国公众也普遍且系统性地高估中国的全球声誉和软实力。关键在于，向中国公民告知国际舆论对中国的实际看法能大幅纠正这些认知，并适度改变他们对中国及其治理体制的评价以及对中国国际角色的预期。这些简单信息干预的效果并非转瞬即逝，表明过度自信可以被有效纠正、必胜主义情绪可以被缓和。</w:t>
      </w:r>
    </w:p>
    <w:p>
      <w:r>
        <w:rPr>
          <w:rFonts w:ascii="Times New Roman" w:hAnsi="Times New Roman" w:eastAsia="宋体"/>
          <w:b w:val="0"/>
          <w:i w:val="0"/>
          <w:sz w:val="20"/>
        </w:rPr>
        <w:t>Do the public in a rising authoritarian power overestimate their country’s reputation, power, and influence in the world? Excessive national overconfidence has both domestic and international consequences, but it has rarely been systematically studied. Using two studies conducted during the COVID-19 pandemic and another conducted later, I show that the Chinese public widely and systematically overestimate China’s global reputation and soft power, even during a national crisis. Critically, informing Chinese citizens of actual international public opinion of China substantially corrects these perceptions. It also moderately alters their evaluations of China, its governing system, and their expectations for the country’s role in the world. These effects from simple information interventions are not fleeting, suggesting that overconfidence can be meaningfully corrected and triumphalism mitigated. The findings have both theoretical significance and important policy implications.</w:t>
      </w:r>
    </w:p>
    <w:p/>
    <w:p>
      <w:r>
        <w:rPr>
          <w:rFonts w:ascii="Times New Roman" w:hAnsi="Times New Roman" w:eastAsia="黑体"/>
          <w:b/>
          <w:i w:val="0"/>
          <w:sz w:val="24"/>
        </w:rPr>
        <w:t>作为“盗贼礼仪”的领土完整：十九世纪帝国主义中的不征服</w:t>
      </w:r>
    </w:p>
    <w:p>
      <w:r>
        <w:rPr>
          <w:rFonts w:ascii="Times New Roman" w:hAnsi="Times New Roman" w:eastAsia="宋体"/>
          <w:b w:val="0"/>
          <w:i/>
          <w:color w:val="404040"/>
          <w:sz w:val="20"/>
        </w:rPr>
        <w:t>Territorial Integrity As an Etiquette of Thieves: Non-conquest in Nineteenth-Century Imperialism</w:t>
      </w:r>
    </w:p>
    <w:p>
      <w:r>
        <w:rPr>
          <w:rFonts w:ascii="Times New Roman" w:hAnsi="Times New Roman" w:eastAsia="宋体"/>
          <w:b w:val="0"/>
          <w:i w:val="0"/>
          <w:color w:val="595959"/>
          <w:sz w:val="18"/>
        </w:rPr>
        <w:t>Kerry Goettlich（City St George’s, University of London）</w:t>
      </w:r>
    </w:p>
    <w:p>
      <w:r>
        <w:rPr>
          <w:rFonts w:ascii="Times New Roman" w:hAnsi="Times New Roman" w:eastAsia="宋体"/>
          <w:b w:val="0"/>
          <w:i w:val="0"/>
          <w:sz w:val="22"/>
        </w:rPr>
        <w:t>摘要：当代领土征服被视为不合法，仅以有限方式发生。根据学界和公共讨论中一种有影响力的叙事，这一“领土完整规范”是二战后国际秩序的产物，与“强权即公理”、征服常态化的十九世纪形成对照。然而本文认为，十九世纪欧洲国际法对征服施加了有意义的限制，包括“领土不可侵犯”。这些限制在殖民地世界比在欧洲更有效，主要因为民族收复主义被认为与欧洲以外地区无关。欧洲人否认非欧洲主权，却尊重欧洲人划定的殖民边界，1815—1914年间并未因殖民地领土开战。作者通过考察两起殖民强国间险些爆发的领土冲突——1885年潘杰德事件和1898年法绍达事件——展示了这种“盗贼礼仪”的力量。将领土完整视为性质上的变化而非从无到有，对讨论近期征服（如俄罗斯在乌克兰）将如何影响领土完整原则具有重要意义：领土完整更可能在适用方式上被改变，而非被整体侵蚀。</w:t>
      </w:r>
    </w:p>
    <w:p>
      <w:r>
        <w:rPr>
          <w:rFonts w:ascii="Times New Roman" w:hAnsi="Times New Roman" w:eastAsia="宋体"/>
          <w:b w:val="0"/>
          <w:i w:val="0"/>
          <w:sz w:val="20"/>
        </w:rPr>
        <w:t>In the contemporary era, territorial conquest has been seen as illegitimate and has taken place in only limited ways. According to an influential narrative in scholarship and public debate, this “territorial integrity norm” is a product of the post-World War II international order and contrasts with the nineteenth century, when conquest was normalized and “might made right.” This essay argues, however, that nineteenth-century European international law imposed meaningful limitations on conquest, including “territorial inviolability.” These limitations were more effective in the colonized world than in Europe, primarily because national irredentism was not thought relevant outside Europe. Europeans’ denial of non-European sovereignty contrasted with their respect for European-established colonial boundaries, and they did not fight over colonial territory between 1815 and 1914. I demonstrate the strength of this “etiquette of thieves” by examining two events where territorial conflict between colonial powers was narrowly avoided: the Panjdeh (1885) and Fashoda (1898) incidents. Viewing territorial integrity as qualitatively changing, rather than absent at one time and present later, has important implications for discussions of how recent conquests, such as those of Russia in Ukraine, will affect the principle of territorial integrity. In particular, territorial integrity may be more likely to be altered in how it is applied than eroded altogether. A specific form of territorial integrity is an integral part of the post-World War II international order, but constraints on conquest as such need not be limited to that specific version of territorial integrity.</w:t>
      </w:r>
    </w:p>
    <w:p/>
    <w:p>
      <w:r>
        <w:rPr>
          <w:rFonts w:ascii="Times New Roman" w:hAnsi="Times New Roman" w:eastAsia="黑体"/>
          <w:b/>
          <w:i w:val="0"/>
          <w:sz w:val="24"/>
        </w:rPr>
        <w:t>让行贿重新有利可图？暂停海外行贿问责的市场效应</w:t>
      </w:r>
    </w:p>
    <w:p>
      <w:r>
        <w:rPr>
          <w:rFonts w:ascii="Times New Roman" w:hAnsi="Times New Roman" w:eastAsia="宋体"/>
          <w:b w:val="0"/>
          <w:i/>
          <w:color w:val="404040"/>
          <w:sz w:val="20"/>
        </w:rPr>
        <w:t>Making Bribery Profitable Again? The Market Effects of Suspending Accountability for Overseas Bribery</w:t>
      </w:r>
    </w:p>
    <w:p>
      <w:r>
        <w:rPr>
          <w:rFonts w:ascii="Times New Roman" w:hAnsi="Times New Roman" w:eastAsia="宋体"/>
          <w:b w:val="0"/>
          <w:i w:val="0"/>
          <w:color w:val="595959"/>
          <w:sz w:val="18"/>
        </w:rPr>
        <w:t>Lorenzo Crippa（University of Strathclyde）；Edmund J. Malesky（Duke University; VinUniversity）；Lucio Picci（University of Bologna）</w:t>
      </w:r>
    </w:p>
    <w:p>
      <w:r>
        <w:rPr>
          <w:rFonts w:ascii="Times New Roman" w:hAnsi="Times New Roman" w:eastAsia="宋体"/>
          <w:b w:val="0"/>
          <w:i w:val="0"/>
          <w:sz w:val="22"/>
        </w:rPr>
        <w:t>摘要：2025年2月，美国总统特朗普签署行政令，阻止依据《反海外腐败法》（FCPA）启动任何新的调查或执法行动，该法禁止美国公司贿赂外国公职人员。作者分析行政令宣布前后在美国金融市场上市的跨国公司市值。在行政令发布当天，曾受FCPA调查的上市公司股票收益比市场趋势预期高约0.69个百分点。效应持续累积，使过去企业腐败案件涉案公司组合市值增加约390亿美元，股东获得超额回报。这些结果有助于回答长期争论：跨国公司因腐败承受的成本中，多少来自法律执法，多少来自腐败给企业运营带来的低效与不确定性。当法律执法被移除时，有腐败风险公司的估值大幅上升，表明投资者将法律成本视为投资腐败企业的重要威胁。暂停FCPA执法因此可能提振市场对风险投资的信心。</w:t>
      </w:r>
    </w:p>
    <w:p>
      <w:r>
        <w:rPr>
          <w:rFonts w:ascii="Times New Roman" w:hAnsi="Times New Roman" w:eastAsia="宋体"/>
          <w:b w:val="0"/>
          <w:i w:val="0"/>
          <w:sz w:val="20"/>
        </w:rPr>
        <w:t>In February 2025, US President Trump signed an executive order blocking the initiation of any new investigations or enforcement actions under the Foreign Corrupt Practices Act (FCPA), which had made it unlawful for US companies to bribe foreign public officials. We analyze market valuations of publicly traded multinationals on US financial markets before and after the announcement. On the day of the executive order, former FCPA targets whose stocks are publicly traded experienced returns on equity markets that were about 0.69 percentage points higher than what would have been expected from stock market trends. The effects cumulated substantively, resulting in capitalization gains for the portfolio of past targets of corporate corruption cases of about USD 39 billion and outsized returns to shareholders. These results allow us to contribute to long-standing debates about how much of the costs multinationals experience from corruption are due to legal enforcement versus the inefficiency and uncertainty it generates for firm operations. When legal enforcement is removed, valuations of firms at risk of corruption rise dramatically, indicating that investors perceive the legal costs as an important threat to investment in corrupt firms. Suspending FCPA enforcement is thus likely to induce market confidence in risky investments.</w:t>
      </w:r>
    </w:p>
    <w:p/>
    <w:p>
      <w:r>
        <w:rPr>
          <w:rFonts w:ascii="Times New Roman" w:hAnsi="Times New Roman" w:eastAsia="黑体"/>
          <w:b/>
          <w:i w:val="0"/>
          <w:sz w:val="24"/>
        </w:rPr>
        <w:t>反击还是退让？捐助方应对限制性非政府组织立法的证据</w:t>
      </w:r>
    </w:p>
    <w:p>
      <w:r>
        <w:rPr>
          <w:rFonts w:ascii="Times New Roman" w:hAnsi="Times New Roman" w:eastAsia="宋体"/>
          <w:b w:val="0"/>
          <w:i/>
          <w:color w:val="404040"/>
          <w:sz w:val="20"/>
        </w:rPr>
        <w:t>Pushing Back or Backing Down? Evidence on Donor Responses to Restrictive NGO Legislation</w:t>
      </w:r>
    </w:p>
    <w:p>
      <w:r>
        <w:rPr>
          <w:rFonts w:ascii="Times New Roman" w:hAnsi="Times New Roman" w:eastAsia="宋体"/>
          <w:b w:val="0"/>
          <w:i w:val="0"/>
          <w:color w:val="595959"/>
          <w:sz w:val="18"/>
        </w:rPr>
        <w:t>Lucy Right（Yale University）；Jeremy Springman（University of Pennsylvania）；Erik Wibbels（University of Pennsylvania）</w:t>
      </w:r>
    </w:p>
    <w:p>
      <w:r>
        <w:rPr>
          <w:rFonts w:ascii="Times New Roman" w:hAnsi="Times New Roman" w:eastAsia="宋体"/>
          <w:b w:val="0"/>
          <w:i w:val="0"/>
          <w:sz w:val="22"/>
        </w:rPr>
        <w:t>摘要：随着威权主义在全球蔓延，各国政府压缩公民空间的努力急剧增加，其中最令人担忧的手段之一是针对非政府组织的限制性法律扩散。这类法律威胁许多外国捐助方的核心目标，却在依赖援助的国家尤为普遍。外国捐助方如何应对其本地和国际执行伙伴遭受的打击？一方面，推广民主的捐助方可能反击，加大对倡导活动的支持以对抗严苛措施；另一方面，当准威权者使与本地伙伴合作变得困难时，捐助方可能退让，减少对民主推广的支持。作者利用援助流的二元数据、原创非政府组织法律数据集和多种研究设计检验这些论点，发现最致力于民主推广的捐助方在限制性非政府组织法律面前退让，在法律实施后数年内将民主援助削减70%。研究表明，捐助方行为为受援国中的民主倒退政府利用立法打压公民社会提供了强烈激励。</w:t>
      </w:r>
    </w:p>
    <w:p>
      <w:r>
        <w:rPr>
          <w:rFonts w:ascii="Times New Roman" w:hAnsi="Times New Roman" w:eastAsia="宋体"/>
          <w:b w:val="0"/>
          <w:i w:val="0"/>
          <w:sz w:val="20"/>
        </w:rPr>
        <w:t>As authoritarianism has spread globally, government efforts to stifle civic space have increased dramatically. Among the most alarming tactics has been the spread of restrictive laws targeting NGOs. While such laws threaten the core objectives of many foreign donors, they have become especially common in aid-dependent nations. How do foreign donors react to this assault on their local and international implementing partners? On the one hand, democracy-promoting donors might push back, ramping up support for advocacy in defiance of draconian measures. Alternatively, when aspiring autocrats make it difficult to work with local partners, donors might back down, decreasing support for democracy promotion. Testing these arguments using dyadic data on aid flows, an original data set of NGO laws, and a variety of research designs, we find that the donors most committed to democracy promotion back down in the face of restrictive NGO laws, reducing democracy aid by 70 percent in the years after laws are enacted. Our findings suggest that donor behavior creates strong incentives for backsliding governments in aid-receiving countries to use legislation to crack down on civil society.</w:t>
      </w:r>
    </w:p>
    <w:p/>
    <w:p>
      <w:r>
        <w:rPr>
          <w:rFonts w:ascii="Times New Roman" w:hAnsi="Times New Roman" w:eastAsia="黑体"/>
          <w:b/>
          <w:i w:val="0"/>
          <w:sz w:val="24"/>
        </w:rPr>
        <w:t>公民何时支持和平建设？经济困难与平民对叛军重新融入的支持</w:t>
      </w:r>
    </w:p>
    <w:p>
      <w:r>
        <w:rPr>
          <w:rFonts w:ascii="Times New Roman" w:hAnsi="Times New Roman" w:eastAsia="宋体"/>
          <w:b w:val="0"/>
          <w:i/>
          <w:color w:val="404040"/>
          <w:sz w:val="20"/>
        </w:rPr>
        <w:t>When Do Citizens Support Peace-Building? Economic Hardship and Civilian Support for Rebel Reintegration</w:t>
      </w:r>
    </w:p>
    <w:p>
      <w:r>
        <w:rPr>
          <w:rFonts w:ascii="Times New Roman" w:hAnsi="Times New Roman" w:eastAsia="宋体"/>
          <w:b w:val="0"/>
          <w:i w:val="0"/>
          <w:color w:val="595959"/>
          <w:sz w:val="18"/>
        </w:rPr>
        <w:t>Amanda Kennard（Stanford University）；Konstantin Sonin（University of Chicago）；Austin L. Wright（University of Chicago）</w:t>
      </w:r>
    </w:p>
    <w:p>
      <w:r>
        <w:rPr>
          <w:rFonts w:ascii="Times New Roman" w:hAnsi="Times New Roman" w:eastAsia="宋体"/>
          <w:b w:val="0"/>
          <w:i w:val="0"/>
          <w:sz w:val="22"/>
        </w:rPr>
        <w:t>摘要：国际和平建设成功的关键在于平民的合作与支持。研究表明经济考量影响战斗人员放下武器的意愿。作者研究一个相关但研究不足的问题：经济困难是否影响平民对停止冲突的支持？如果前战斗人员重新融入生产性经济部门威胁平民自身收入，对和平建设的支持可能下降。作者利用2015年兴都库什地震的局部效应和关于支持塔利班重新融入的个体调查数据进行研究，发现地震降低了平民对前战斗人员融入受灾严重经济部门的支持，而对受灾较轻部门则无影响。结果在一系列检验下稳健，包括利用地理编码断层线构建反事实地震全集的新型空间随机化检验。</w:t>
      </w:r>
    </w:p>
    <w:p>
      <w:r>
        <w:rPr>
          <w:rFonts w:ascii="Times New Roman" w:hAnsi="Times New Roman" w:eastAsia="宋体"/>
          <w:b w:val="0"/>
          <w:i w:val="0"/>
          <w:sz w:val="20"/>
        </w:rPr>
        <w:t>Key to the success of international peace-building efforts is the cooperation and support of civilian populations. Studies show that economic considerations shape combatants’ willingness to lay down their arms. We study a related but under-studied question: does economic hardship impact civilian support for conflict cessation? If reintegration of former combatants into productive economic sectors threatens civilians’ own incomes, then support for peace-building may diminish. We investigate localized effects of the 2015 Hindu Kush earthquake using individual-level survey data on support for Taliban reintegration. The earthquake reduced support for reintegration into disproportionately impacted economic sectors. We observe no effect for less impacted sectors. Results are robust to a battery of tests, including a novel spatial randomization leveraging geocoded fault lines corresponding to the universe of counterfactual earthquakes. Our findings provide new insight into the resolution of violent conflict: economic hardship may undermine civilian support for rebel reintegration.</w:t>
      </w:r>
    </w:p>
    <w:p/>
    <w:p>
      <w:r>
        <w:rPr>
          <w:rFonts w:ascii="Times New Roman" w:hAnsi="Times New Roman" w:eastAsia="宋体"/>
          <w:b/>
          <w:i w:val="0"/>
          <w:sz w:val="22"/>
        </w:rPr>
        <w:t>IO： Vol. 79, No. 3, 2025</w:t>
      </w:r>
    </w:p>
    <w:p/>
    <w:p>
      <w:r>
        <w:rPr>
          <w:rFonts w:ascii="Times New Roman" w:hAnsi="Times New Roman" w:eastAsia="黑体"/>
          <w:b/>
          <w:i w:val="0"/>
          <w:sz w:val="24"/>
        </w:rPr>
        <w:t>地位竞争能拯救世界吗？嫁接、绿色能源与气候危机</w:t>
      </w:r>
    </w:p>
    <w:p>
      <w:r>
        <w:rPr>
          <w:rFonts w:ascii="Times New Roman" w:hAnsi="Times New Roman" w:eastAsia="宋体"/>
          <w:b w:val="0"/>
          <w:i/>
          <w:color w:val="404040"/>
          <w:sz w:val="20"/>
        </w:rPr>
        <w:t>Can Status Competition Save the World? Grafting, Green Energy, and the Climate Crisis</w:t>
      </w:r>
    </w:p>
    <w:p>
      <w:r>
        <w:rPr>
          <w:rFonts w:ascii="Times New Roman" w:hAnsi="Times New Roman" w:eastAsia="宋体"/>
          <w:b w:val="0"/>
          <w:i w:val="0"/>
          <w:color w:val="595959"/>
          <w:sz w:val="18"/>
        </w:rPr>
        <w:t>Joshua Freedman（Oberlin College）</w:t>
      </w:r>
    </w:p>
    <w:p>
      <w:r>
        <w:rPr>
          <w:rFonts w:ascii="Times New Roman" w:hAnsi="Times New Roman" w:eastAsia="宋体"/>
          <w:b w:val="0"/>
          <w:i w:val="0"/>
          <w:sz w:val="22"/>
        </w:rPr>
        <w:t>摘要：作者认为，气候危机可能成为国家间地位竞争的新舞台，这通过将脱碳与绿色能源政策“嫁接”到地位秩序既有的象征—物质逻辑上实现。地位常被视为世界政治中的不稳定力量，因为对地位的追求常将国家推向暴力和财政浪费的自我扩张政策。但这一看法忽略了两点：地位秩序及其成员资格与尊重规则是可塑的；新地位象征的出现也能推动追求地位走向更具亲社会性的结果。作者认为，地位秩序最可能在倡导者把新地位象征嫁接到秩序基本信条时悄然改变。将这一嫁接理论应用于气候危机：（1）推动绿色能源革命的高度可见举措可被清晰地嫁接到既有地位秩序；（2）拜登政府越来越将气候框定为与中国的地位竞争，已显示出这种嫁接；（3）在大国竞争重现的时代，地位竞争至少可能迫使国家进行其早先回避的高成本且必要的减缓气候投资。</w:t>
      </w:r>
    </w:p>
    <w:p>
      <w:r>
        <w:rPr>
          <w:rFonts w:ascii="Times New Roman" w:hAnsi="Times New Roman" w:eastAsia="宋体"/>
          <w:b w:val="0"/>
          <w:i w:val="0"/>
          <w:sz w:val="20"/>
        </w:rPr>
        <w:t>In this article I argue that the climate crisis may emerge as a new arena for status competition among states, enabled through the grafting of decarbonization and green-energy policies onto the status order’s existing symbolic-materialist logic. Status is often thought of as a destabilizing force in world politics, as its pursuit so often pushes states toward violent and financially wasteful policies of social aggrandizement. But this belief elides two points: that the status order and its rules of membership and esteem are malleable and subject to change; and that the emergence of different and new status symbols can also push status-seeking toward more prosocial outcomes. Rather than see these changes as occurring through explicit normative transformation, however, I argue that the status order is most likely to change surreptitiously when entrepreneurs can graft new status symbols onto an order’s underlying tenets, thus concealing but also producing change. I apply this grafting theory to the climate crisis in arguing that (1) highly visible steps taken to effect the green-energy revolution can be legibly grafted onto the existing status order; (2) this grafting technique was already evident in the Biden administration’s increased framing of the climate as an arena of status competition against China; and (3) in an era of renewed great power rivalry, status competition may at least compel states to make the kinds of costly and needed investments in climate mitigation they eschewed earlier.</w:t>
      </w:r>
    </w:p>
    <w:p/>
    <w:p>
      <w:r>
        <w:rPr>
          <w:rFonts w:ascii="Times New Roman" w:hAnsi="Times New Roman" w:eastAsia="黑体"/>
          <w:b/>
          <w:i w:val="0"/>
          <w:sz w:val="24"/>
        </w:rPr>
        <w:t>从可卡因到牛油果：犯罪市场扩张与暴力</w:t>
      </w:r>
    </w:p>
    <w:p>
      <w:r>
        <w:rPr>
          <w:rFonts w:ascii="Times New Roman" w:hAnsi="Times New Roman" w:eastAsia="宋体"/>
          <w:b w:val="0"/>
          <w:i/>
          <w:color w:val="404040"/>
          <w:sz w:val="20"/>
        </w:rPr>
        <w:t>From Cocaine to Avocados: Criminal Market Expansion and Violence</w:t>
      </w:r>
    </w:p>
    <w:p>
      <w:r>
        <w:rPr>
          <w:rFonts w:ascii="Times New Roman" w:hAnsi="Times New Roman" w:eastAsia="宋体"/>
          <w:b w:val="0"/>
          <w:i w:val="0"/>
          <w:color w:val="595959"/>
          <w:sz w:val="18"/>
        </w:rPr>
        <w:t>Chelsea Estancona（University of South Carolina）；Lucía Tiscornia（University College Dublin）</w:t>
      </w:r>
    </w:p>
    <w:p>
      <w:r>
        <w:rPr>
          <w:rFonts w:ascii="Times New Roman" w:hAnsi="Times New Roman" w:eastAsia="宋体"/>
          <w:b w:val="0"/>
          <w:i w:val="0"/>
          <w:sz w:val="22"/>
        </w:rPr>
        <w:t>摘要：我们对有组织犯罪暴力的大部分认知来自对非法毒品市场的研究，但犯罪集团也为争夺合法商品市场而战，西西里柠檬与墨西哥牛油果即为例证。有组织犯罪集团何时以暴力扩张进入合法商品市场？作者认为，某商品出口价值份额的迅速上升会带来即时获利和未来操纵市场的机会，从而在犯罪集团扩张领地与经济组合时引发暴力。作者利用墨西哥牛油果出口数据提供次国家证据，并以“牛油果吐司”谷歌搜索热度数据处理反向因果；还结合经济复杂性地图集、V-Dem和联合国毒品和犯罪问题办公室数据提供跨国证据。研究发现，一国在全球农产品出口价值中份额的上升与更多凶杀相关，但仅限于存在有组织犯罪集团的地方。</w:t>
      </w:r>
    </w:p>
    <w:p>
      <w:r>
        <w:rPr>
          <w:rFonts w:ascii="Times New Roman" w:hAnsi="Times New Roman" w:eastAsia="宋体"/>
          <w:b w:val="0"/>
          <w:i w:val="0"/>
          <w:sz w:val="20"/>
        </w:rPr>
        <w:t>Most of what we know about organized criminal violence comes from research on illicit narcotics markets. Yet criminal groups also fight to capture markets for licit commodities, as evidenced by Sicilian lemons and Mexican avocados. When do organized criminal groups violently expand into markets for licit goods? We argue that rapid increases in the share of a good’s export value create opportunities for immediate profit and future market manipulation. These opportunities lead to violence as groups expand their territorial holdings and economic portfolio. We provide subnational evidence of our mechanism using data on avocado exports from Mexico, and address reverse causality with Google Trends data on the popularity of web searches for “avocado toast.” We also provide cross-national evidence by combining data from the Atlas of Economic Complexity, V-Dem, and the United Nations Office on Drugs and Crime (UNODC). We find that increases in a country’s share of global export value for agricultural goods are associated with more homicides—but only where organized criminal groups are present.</w:t>
      </w:r>
    </w:p>
    <w:p/>
    <w:p>
      <w:r>
        <w:rPr>
          <w:rFonts w:ascii="Times New Roman" w:hAnsi="Times New Roman" w:eastAsia="黑体"/>
          <w:b/>
          <w:i w:val="0"/>
          <w:sz w:val="24"/>
        </w:rPr>
        <w:t>供给影响力：贸易政治中的国内生产网络</w:t>
      </w:r>
    </w:p>
    <w:p>
      <w:r>
        <w:rPr>
          <w:rFonts w:ascii="Times New Roman" w:hAnsi="Times New Roman" w:eastAsia="宋体"/>
          <w:b w:val="0"/>
          <w:i/>
          <w:color w:val="404040"/>
          <w:sz w:val="20"/>
        </w:rPr>
        <w:t>Supplying Influence: Domestic Production Networks in Trade Politics</w:t>
      </w:r>
    </w:p>
    <w:p>
      <w:r>
        <w:rPr>
          <w:rFonts w:ascii="Times New Roman" w:hAnsi="Times New Roman" w:eastAsia="宋体"/>
          <w:b w:val="0"/>
          <w:i w:val="0"/>
          <w:color w:val="595959"/>
          <w:sz w:val="18"/>
        </w:rPr>
        <w:t>Timm Betz（Washington University in St. Louis; LMU Munich）；Leonhard Hummel（Technical University of Munich）</w:t>
      </w:r>
    </w:p>
    <w:p>
      <w:r>
        <w:rPr>
          <w:rFonts w:ascii="Times New Roman" w:hAnsi="Times New Roman" w:eastAsia="宋体"/>
          <w:b w:val="0"/>
          <w:i w:val="0"/>
          <w:sz w:val="22"/>
        </w:rPr>
        <w:t>摘要：为何有些企业比其他企业更能从政府获得特殊待遇？贸易政策作为高度定向的工具，为理解特殊利益政治与企业权力提供了丰富情境。作者研究美国反倾销申诉的裁决，提出一个新的特殊待遇来源：在国内经济中联系更广的企业享有优势政治地位。这些企业的收益间接惠及更广泛的利益相关者，使其能组建更广泛联盟，并将保护主义政策包装为不仅是特殊主义政治。作者基于逾60万条行业间客户—供应商关系构建原创企业联系测量，将其与美国企业提交的反倾销申诉、国会议员代表这些企业提交的书面意见及产业地理分布数据匹配，提供了证据。研究还表明，长期被视为政治权力标志的全球供应链扩张，因限制了部分最大企业的国内足迹，反而削弱了其政治影响力。</w:t>
      </w:r>
    </w:p>
    <w:p>
      <w:r>
        <w:rPr>
          <w:rFonts w:ascii="Times New Roman" w:hAnsi="Times New Roman" w:eastAsia="宋体"/>
          <w:b w:val="0"/>
          <w:i w:val="0"/>
          <w:sz w:val="20"/>
        </w:rPr>
        <w:t>Why are some firms more successful than others in obtaining privileged treatment from their government? Trade policy, as an unusually targeted tool, offers a rich context to understand such questions of special-interest politics and corporate power. Studying decisions on anti-dumping petitions in the United States, we introduce a novel source of privileged treatment. We argue that firms with more linkages throughout the domestic economy enjoy a privileged political position. Benefits to these firms extend indirectly to a wider set of constituents, which allows firms to assemble broader coalitions and to portray protectionist policy as more than purely particularistic politics. We provide evidence for this argument by developing original measures of linkages between firms, derived from over 600,000 customer–supplier relationships among industries, matching them with data on anti-dumping petitions filed by US firms, written briefs filed by members of Congress on behalf of these firms, and the geographic distribution of industries. Our account identifies a new explanation of differences in the political influence of firms, underscores the relevance of domestic production networks in politics, and offers a novel perspective on cleavages and coalitions in trade politics. Our results also suggest that the expansion of global supply chains, long considered a hallmark of political power, has weakened the clout of some of the largest firms by limiting their domestic footprint.</w:t>
      </w:r>
    </w:p>
    <w:p/>
    <w:p>
      <w:r>
        <w:rPr>
          <w:rFonts w:ascii="Times New Roman" w:hAnsi="Times New Roman" w:eastAsia="黑体"/>
          <w:b/>
          <w:i w:val="0"/>
          <w:sz w:val="24"/>
        </w:rPr>
        <w:t>为结盟而战：第三方谈判、联盟形成与战争</w:t>
      </w:r>
    </w:p>
    <w:p>
      <w:r>
        <w:rPr>
          <w:rFonts w:ascii="Times New Roman" w:hAnsi="Times New Roman" w:eastAsia="宋体"/>
          <w:b w:val="0"/>
          <w:i/>
          <w:color w:val="404040"/>
          <w:sz w:val="20"/>
        </w:rPr>
        <w:t>Fighting to Be Friends: Third-Party Bargaining, Alliance Formation, and War</w:t>
      </w:r>
    </w:p>
    <w:p>
      <w:r>
        <w:rPr>
          <w:rFonts w:ascii="Times New Roman" w:hAnsi="Times New Roman" w:eastAsia="宋体"/>
          <w:b w:val="0"/>
          <w:i w:val="0"/>
          <w:color w:val="595959"/>
          <w:sz w:val="18"/>
        </w:rPr>
        <w:t>Brandon K. Yoder（Australian National University）；Michael D. Cohen（National Security College, Crawford School of Public Policy）</w:t>
      </w:r>
    </w:p>
    <w:p>
      <w:r>
        <w:rPr>
          <w:rFonts w:ascii="Times New Roman" w:hAnsi="Times New Roman" w:eastAsia="宋体"/>
          <w:b w:val="0"/>
          <w:i w:val="0"/>
          <w:sz w:val="22"/>
        </w:rPr>
        <w:t>摘要：联盟形成通常伴随被抛弃的风险，即盟友未来可能不履行义务。当潜在安全伙伴偏好不一致时，这种风险尤其突出，阻碍对联盟的互利投资。潜在盟友如何可信地向不确定的庇护国表明偏好一致，以降低被抛弃风险并获得安全承诺？作者形式化地表明，在结盟前与第三方谈判是一种方式：当庇护国担心被抛弃时，潜在盟友可以对庇护国现有盟友作出更大让步、对其对手提出更强硬要求，以此安抚庇护国。这意味着结盟前景可能交替地促进与庇护国敌人的冲突、避免与其朋友的冲突。即使存在完全可分资产、无承诺问题、交战方之间完全信息，结盟前的安抚激励也可能导致战争。中国介入朝鲜战争和战后澳大利亚与日本和解分别主要出于与苏联和美国发展安全合作的动机，说明了这一结果。</w:t>
      </w:r>
    </w:p>
    <w:p>
      <w:r>
        <w:rPr>
          <w:rFonts w:ascii="Times New Roman" w:hAnsi="Times New Roman" w:eastAsia="宋体"/>
          <w:b w:val="0"/>
          <w:i w:val="0"/>
          <w:sz w:val="20"/>
        </w:rPr>
        <w:t>Alliance formation typically entails some risk of abandonment, wherein an ally may not honor its obligations in the future. When potential security partners’ preferences are misaligned, this risk looms large, discouraging mutually beneficial investment in an alliance. How can a prospective ally credibly reassure an uncertain patron that their preferences align, to mitigate abandonment risks and elicit a security commitment? We show formally that pre-alliance bargaining with third parties is one way to do so. When the patron holds abandonment concerns, the prospective ally can reassure the patron by making greater concessions to the patron’s existing allies, but more hard-line demands of its rivals. This finding implies that the prospect of an alliance can alternately promote conflict with a prospective patron’s enemies and forestall conflict with its friends. Indeed, we show that incentives for pre-alliance reassurance can result in war, even with perfect asset divisibility, no commitment problems, and complete information among the belligerents. The results are illustrated by China’s intervention in the Korean War and Australia’s post-World War II rapprochement with Japan, which were motivated largely to foster security cooperation with the Soviet Union and the United States, respectively.</w:t>
      </w:r>
    </w:p>
    <w:p/>
    <w:p>
      <w:r>
        <w:rPr>
          <w:rFonts w:ascii="Times New Roman" w:hAnsi="Times New Roman" w:eastAsia="黑体"/>
          <w:b/>
          <w:i w:val="0"/>
          <w:sz w:val="24"/>
        </w:rPr>
        <w:t>东亚的贸易与汇率竞争</w:t>
      </w:r>
    </w:p>
    <w:p>
      <w:r>
        <w:rPr>
          <w:rFonts w:ascii="Times New Roman" w:hAnsi="Times New Roman" w:eastAsia="宋体"/>
          <w:b w:val="0"/>
          <w:i/>
          <w:color w:val="404040"/>
          <w:sz w:val="20"/>
        </w:rPr>
        <w:t>Trade and Exchange Rate Competition in East Asia</w:t>
      </w:r>
    </w:p>
    <w:p>
      <w:r>
        <w:rPr>
          <w:rFonts w:ascii="Times New Roman" w:hAnsi="Times New Roman" w:eastAsia="宋体"/>
          <w:b w:val="0"/>
          <w:i w:val="0"/>
          <w:color w:val="595959"/>
          <w:sz w:val="18"/>
        </w:rPr>
        <w:t>Mark S. Manger（University of Toronto）；Nicola Nones（University of Toronto）</w:t>
      </w:r>
    </w:p>
    <w:p>
      <w:r>
        <w:rPr>
          <w:rFonts w:ascii="Times New Roman" w:hAnsi="Times New Roman" w:eastAsia="宋体"/>
          <w:b w:val="0"/>
          <w:i w:val="0"/>
          <w:sz w:val="22"/>
        </w:rPr>
        <w:t>摘要：汇率操纵——通过外汇市场干预主动使本币贬值——是国际争端的常见触发因素。然而它并非显而易见的政策选择：作为提升出口竞争力的粗糙工具，它因降低购买力而遭公民和进口商厌恶，并以牺牲国内储蓄者利益为代价使海外投资者获益。值得注意的是，从日本、韩国到泰国的一组东亚国家频繁且常大规模地干预以使本币贬值。什么解释了它们的政策选择？作者提供证据表明汇率贬值是应出口产业要求而实施的。由于东亚国家的游说活动无法直接观察，作者聚焦日本和韩国，利用新闻报道构建出口商游说的代理指标：使用机器学习对两国主要财经报纸——日本《日本经济新闻》和（稳健性检验中的）韩国《韩国经济新闻》——二十五年间每日关于产业诉求的报道进行量化。研究发现，有组织经济利益集团不断增加的公开压力先于干预并诱发货币贬值。</w:t>
      </w:r>
    </w:p>
    <w:p>
      <w:r>
        <w:rPr>
          <w:rFonts w:ascii="Times New Roman" w:hAnsi="Times New Roman" w:eastAsia="宋体"/>
          <w:b w:val="0"/>
          <w:i w:val="0"/>
          <w:sz w:val="20"/>
        </w:rPr>
        <w:t>Exchange rate manipulation—the active devaluation of a currency through intervention in the foreign exchange market—is a frequent trigger of international disputes. Yet it is not an obvious policy choice: as a blunt tool to boost export competitiveness, it is disliked by citizens and importers because of the loss of purchasing power it entails, and because it benefits those with investment abroad at the expense of those with savings at home. It is thus notable that a group of East Asian countries, from Japan and Korea to Thailand, undertake frequent and often large interventions to devalue their currencies. What explains their policy choice? We provide evidence that exchange rate depreciations are undertaken at the behest of export industries. Because lobbying activities in East Asian countries are not directly observable, we focus on Japan and Korea and construct a proxy measure of lobbying by exporters, drawing on news reports. We use machine learning to scale daily reports of industry demands in the two leading financial newspapers, the Japanese Nihon Keizai Shimbun and, in a robustness check, the Korean Hankyung, over twenty-five years. We find evidence that mounting public pressure by organized economic interest groups precedes intervention and induces currency depreciation.</w:t>
      </w:r>
    </w:p>
    <w:p/>
    <w:p>
      <w:r>
        <w:rPr>
          <w:rFonts w:ascii="Times New Roman" w:hAnsi="Times New Roman" w:eastAsia="黑体"/>
          <w:b/>
          <w:i w:val="0"/>
          <w:sz w:val="24"/>
        </w:rPr>
        <w:t>国际国家建设与平民偏好：来自利比里亚的实验证据</w:t>
      </w:r>
    </w:p>
    <w:p>
      <w:r>
        <w:rPr>
          <w:rFonts w:ascii="Times New Roman" w:hAnsi="Times New Roman" w:eastAsia="宋体"/>
          <w:b w:val="0"/>
          <w:i/>
          <w:color w:val="404040"/>
          <w:sz w:val="20"/>
        </w:rPr>
        <w:t>International State Building and Civilian Preferences: Experimental Evidence from Liberia</w:t>
      </w:r>
    </w:p>
    <w:p>
      <w:r>
        <w:rPr>
          <w:rFonts w:ascii="Times New Roman" w:hAnsi="Times New Roman" w:eastAsia="宋体"/>
          <w:b w:val="0"/>
          <w:i w:val="0"/>
          <w:color w:val="595959"/>
          <w:sz w:val="18"/>
        </w:rPr>
        <w:t>Cameron Mailhot（University of Arizona）；Sabrina Karim（Cornell University）</w:t>
      </w:r>
    </w:p>
    <w:p>
      <w:r>
        <w:rPr>
          <w:rFonts w:ascii="Times New Roman" w:hAnsi="Times New Roman" w:eastAsia="宋体"/>
          <w:b w:val="0"/>
          <w:i w:val="0"/>
          <w:sz w:val="22"/>
        </w:rPr>
        <w:t>摘要：国际国家建设常被描述为外部行为体强加于弱小、冲突频仍国家的统一过程，但它越来越多地由多种行为体以不同方式参与重建多样化制度。平民偏好在这种碎片化环境中常被排除在外。作者识别并阐明冲突后国家建设有意义变化的三个维度：参与的行为体、目标制度类型及参与形式，并通过在利比里亚开展的两轮原创调查实验检验各维度变化如何影响平民的国家建设偏好。研究发现利比里亚人更偏好由部分国际行为体主导的国家建设进程；偏好聚焦安全制度而非非安全制度；不同参与形式显著影响其偏好，且这些偏好取决于平民特征。</w:t>
      </w:r>
    </w:p>
    <w:p>
      <w:r>
        <w:rPr>
          <w:rFonts w:ascii="Times New Roman" w:hAnsi="Times New Roman" w:eastAsia="宋体"/>
          <w:b w:val="0"/>
          <w:i w:val="0"/>
          <w:sz w:val="20"/>
        </w:rPr>
        <w:t>While often described as a unified process imposed by external actors on weak, conflict-ridden countries, international state building increasingly comprises a variety of actors involved in different ways in (re)building a diverse set of institutions. Civilian preferences are often excluded from this fragmented environment. We identify and explicate three dimensions along which postconflict state building meaningfully varies: the actor involved, the type of institution targeted, and the form of involvement. We then examine how variation along each dimension impacts civilians’ state-building preferences with two rounds of original survey experiments fielded in Liberia. We find that Liberians largely prefer state-building processes overseen by a subset of international actors; that they prefer state building focused on security-oriented institutions over non-security-oriented institutions; and that different forms of involvement in the process meaningfully influence their preferences. We also find that these preferences depend on civilians’ characteristics. Ultimately, we provide an initial, conceptual mapping of the diversified landscape of international state building, as well as an empirical “unpacking” of the conditions that may shape civilians’ preferences toward the process.</w:t>
      </w:r>
    </w:p>
    <w:p/>
    <w:p>
      <w:r>
        <w:rPr>
          <w:rFonts w:ascii="Times New Roman" w:hAnsi="Times New Roman" w:eastAsia="黑体"/>
          <w:b/>
          <w:i w:val="0"/>
          <w:sz w:val="24"/>
        </w:rPr>
        <w:t>核武器问题上的精英—公众差距：显著性与知识的作用</w:t>
      </w:r>
    </w:p>
    <w:p>
      <w:r>
        <w:rPr>
          <w:rFonts w:ascii="Times New Roman" w:hAnsi="Times New Roman" w:eastAsia="宋体"/>
          <w:b w:val="0"/>
          <w:i/>
          <w:color w:val="404040"/>
          <w:sz w:val="20"/>
        </w:rPr>
        <w:t>Elite–Public Gaps on Nuclear Weapons: The Roles of Salience and Knowledge</w:t>
      </w:r>
    </w:p>
    <w:p>
      <w:r>
        <w:rPr>
          <w:rFonts w:ascii="Times New Roman" w:hAnsi="Times New Roman" w:eastAsia="宋体"/>
          <w:b w:val="0"/>
          <w:i w:val="0"/>
          <w:color w:val="595959"/>
          <w:sz w:val="18"/>
        </w:rPr>
        <w:t>David C. Logan（Tufts University）</w:t>
      </w:r>
    </w:p>
    <w:p>
      <w:r>
        <w:rPr>
          <w:rFonts w:ascii="Times New Roman" w:hAnsi="Times New Roman" w:eastAsia="宋体"/>
          <w:b w:val="0"/>
          <w:i w:val="0"/>
          <w:sz w:val="22"/>
        </w:rPr>
        <w:t>摘要：大量调查实验研究表明公众对核使用的支持高得惊人且易受影响，因此核不使用可能依赖精英克制。精英能被依赖来抵制核使用吗？国家安全精英如何思考核武器？作者借鉴舆论形成文献，认为公众核武器态度的两个特征——低显著性和低知识——有助于解释精英—公众差距，并通过三个样本的平行预注册调查实验检验：乌克兰冲突前的美国公众、冲突开始后的美国公众，以及冲突后的美国军官与战略家高端精英样本。美国公众愿意支持核使用，而国家安全精英显著更不情愿；在公众中，核武器议题知识高或显著性高的受访者表现更接近精英，更不支持核使用。</w:t>
      </w:r>
    </w:p>
    <w:p>
      <w:r>
        <w:rPr>
          <w:rFonts w:ascii="Times New Roman" w:hAnsi="Times New Roman" w:eastAsia="宋体"/>
          <w:b w:val="0"/>
          <w:i w:val="0"/>
          <w:sz w:val="20"/>
        </w:rPr>
        <w:t>An explosion of survey experimental research shows that public support for nuclear use is alarmingly high and malleable. Thus, nuclear nonuse may depend on elite restraint. Can elites be counted on to resist nuclear use? How do national security elites think about nuclear weapons, and what does this imply for potential nuclear use and our understanding of public–elite gaps in political behavior? Drawing on the literature on public opinion formation, I argue that two features of public attitudes toward nuclear weapons help explain elite–public gaps on nuclear weapons: low salience and low knowledge. I then test this explanation using parallel preregistered survey experiments assessing support for nuclear use across three samples: the US public before the Ukraine conflict; the US public after the Ukraine conflict began; and a highly elite sample of US military officers and strategists, also after the Ukraine conflict began. While the US public is willing to support nuclear use, US national security elites are significantly more reluctant. Among the public, respondents for whom nuclear weapons are a high-knowledge or high-salience issue behave more like elites: they are less likely to support nuclear use. The findings have important implications for survey experimental research, scholarship on nuclear weapons, public opinion formation, and elite–public gaps in political behavior.</w:t>
      </w:r>
    </w:p>
    <w:p/>
    <w:p>
      <w:r>
        <w:rPr>
          <w:rFonts w:ascii="Times New Roman" w:hAnsi="Times New Roman" w:eastAsia="宋体"/>
          <w:b/>
          <w:i w:val="0"/>
          <w:sz w:val="22"/>
        </w:rPr>
        <w:t>IO： Vol. 79, No. 2, 2025</w:t>
      </w:r>
    </w:p>
    <w:p/>
    <w:p>
      <w:r>
        <w:rPr>
          <w:rFonts w:ascii="Times New Roman" w:hAnsi="Times New Roman" w:eastAsia="黑体"/>
          <w:b/>
          <w:i w:val="0"/>
          <w:sz w:val="24"/>
        </w:rPr>
        <w:t>听天由命的冲突</w:t>
      </w:r>
    </w:p>
    <w:p>
      <w:r>
        <w:rPr>
          <w:rFonts w:ascii="Times New Roman" w:hAnsi="Times New Roman" w:eastAsia="宋体"/>
          <w:b w:val="0"/>
          <w:i/>
          <w:color w:val="404040"/>
          <w:sz w:val="20"/>
        </w:rPr>
        <w:t>Conflicts that Leave Something to Chance</w:t>
      </w:r>
    </w:p>
    <w:p>
      <w:r>
        <w:rPr>
          <w:rFonts w:ascii="Times New Roman" w:hAnsi="Times New Roman" w:eastAsia="宋体"/>
          <w:b w:val="0"/>
          <w:i w:val="0"/>
          <w:color w:val="595959"/>
          <w:sz w:val="18"/>
        </w:rPr>
        <w:t>Peter Schram（Vanderbilt University）</w:t>
      </w:r>
    </w:p>
    <w:p>
      <w:r>
        <w:rPr>
          <w:rFonts w:ascii="Times New Roman" w:hAnsi="Times New Roman" w:eastAsia="宋体"/>
          <w:b w:val="0"/>
          <w:i w:val="0"/>
          <w:sz w:val="22"/>
        </w:rPr>
        <w:t>摘要：核武器的出现为常规冲突增添了新维度：常规冲突可能意外升级为核交换。常规战争与核升级之间的这种关系如何塑造威慑？作者提出一个威慑与武装的形式模型，其新意在于：投资常规能力不仅直接影响力量对比，还间接影响冲突持续时间以及意外核交换的可能性。研究发现，考虑核升级风险可能要求更强的常规军力态势以实现威慑，从而在无核战争时降低福利；核时代将更和平，但一旦发生冲突，可能更具攻击性和决定性。这些结果有助于理解以核武器替代常规军备的困难，以及苏联对1956年匈牙利事件的反应。</w:t>
      </w:r>
    </w:p>
    <w:p>
      <w:r>
        <w:rPr>
          <w:rFonts w:ascii="Times New Roman" w:hAnsi="Times New Roman" w:eastAsia="宋体"/>
          <w:b w:val="0"/>
          <w:i w:val="0"/>
          <w:sz w:val="20"/>
        </w:rPr>
        <w:t>The development of nuclear weapons added a new dimension to conventional conflict: the possibility that it could inadvertently escalate into a nuclear exchange. How does this relationship between conventional war and nuclear escalation shape deterrence? I present a formal model of deterrence and arming. The novelty here is that investing in conventional capabilities has a direct effect on the balance of power but also an indirect effect on conflict duration and the likelihood of an accidental nuclear exchange. I find that accounting for the risk of nuclear escalation may require greater conventional force postures for deterrence, thus lowering welfare in the absence of nuclear war. I also find the nuclear era will be more peaceful, but when conflicts occur, they may be more aggressive and decisive. These results (and others) offer insight into the difficulty of substituting nuclear weapons for conventional arms, and into the Soviet response to the 1956 Hungarian Revolution.</w:t>
      </w:r>
    </w:p>
    <w:p/>
    <w:p>
      <w:r>
        <w:rPr>
          <w:rFonts w:ascii="Times New Roman" w:hAnsi="Times New Roman" w:eastAsia="黑体"/>
          <w:b/>
          <w:i w:val="0"/>
          <w:sz w:val="24"/>
        </w:rPr>
        <w:t>科学共识的全球政治：来自政府间气候变化专门委员会的证据</w:t>
      </w:r>
    </w:p>
    <w:p>
      <w:r>
        <w:rPr>
          <w:rFonts w:ascii="Times New Roman" w:hAnsi="Times New Roman" w:eastAsia="宋体"/>
          <w:b w:val="0"/>
          <w:i/>
          <w:color w:val="404040"/>
          <w:sz w:val="20"/>
        </w:rPr>
        <w:t>The Global Politics of Scientific Consensus: Evidence from the Intergovernmental Panel on Climate Change</w:t>
      </w:r>
    </w:p>
    <w:p>
      <w:r>
        <w:rPr>
          <w:rFonts w:ascii="Times New Roman" w:hAnsi="Times New Roman" w:eastAsia="宋体"/>
          <w:b w:val="0"/>
          <w:i w:val="0"/>
          <w:color w:val="595959"/>
          <w:sz w:val="18"/>
        </w:rPr>
        <w:t>Zuhad Hai（New York University）</w:t>
      </w:r>
    </w:p>
    <w:p>
      <w:r>
        <w:rPr>
          <w:rFonts w:ascii="Times New Roman" w:hAnsi="Times New Roman" w:eastAsia="宋体"/>
          <w:b w:val="0"/>
          <w:i w:val="0"/>
          <w:sz w:val="22"/>
        </w:rPr>
        <w:t>摘要：国际气候变化机制中的科学何时被政治化？更高的科学确定性能否使其免于政治争议？作者在政府间气候变化专门委员会（IPCC）——负责传达全球气候科学共识的组织——的情境中研究这些问题。利用新数字化的IPCC国家间谈判数据，作者表明各国试图按照其在气候谈判中的立场影响IPCC对科学共识的评估。理想点模型估计显示，气候科学上的主要分野是分配性的——存在于新兴工业化国家与老牌工业化国家之间，伴随更广泛的意识形态分歧——而非大排放国与脆弱国家之间。进一步，这一分野受科学不确定性调节：大排放国更可能在相对不确定的科学解释上达成一致，从而共同削弱强有力气候协议的科学基础；而在相对确定的科学上则更难达成一致，加剧了减排负担分配冲突。因此，更高的科学确定性可能改变政治化的性质而非减少政治化。</w:t>
      </w:r>
    </w:p>
    <w:p>
      <w:r>
        <w:rPr>
          <w:rFonts w:ascii="Times New Roman" w:hAnsi="Times New Roman" w:eastAsia="宋体"/>
          <w:b w:val="0"/>
          <w:i w:val="0"/>
          <w:sz w:val="20"/>
        </w:rPr>
        <w:t>When is science politicized in the international climate change regime? Does greater scientific certainty protect it from becoming politically contentious? I study these questions in the context of the Intergovernmental Panel on Climate Change (IPCC), the organization responsible for communicating the global scientific consensus on climate change. Using newly digitized data from inter-state negotiations at the IPCC, I show that states attempt to influence the IPCC’s assessment of scientific consensus in line with their bargaining positions in climate change negotiations. Estimating an ideal-point model, I find that the predominant cleavage over climate science is distributional—between new and old industrializers with broader ideological disagreements, rather than between large polluters and vulnerable countries. Next, I show that this cleavage is mediated by scientific uncertainty. Large polluters are more likely to agree with each other on interpretations of relatively uncertain science, which allows them to jointly weaken the scientific basis for strong climate agreements. Conversely, these countries are less likely to agree on relatively certain science, which heightens conflict over the distribution of the burden of mitigation. Thus greater scientific certainty may change the nature of politicization rather than reducing it.</w:t>
      </w:r>
    </w:p>
    <w:p/>
    <w:p>
      <w:r>
        <w:rPr>
          <w:rFonts w:ascii="Times New Roman" w:hAnsi="Times New Roman" w:eastAsia="黑体"/>
          <w:b/>
          <w:i w:val="0"/>
          <w:sz w:val="24"/>
        </w:rPr>
        <w:t>从僵局到棘轮：气候变化中的有条件合作</w:t>
      </w:r>
    </w:p>
    <w:p>
      <w:r>
        <w:rPr>
          <w:rFonts w:ascii="Times New Roman" w:hAnsi="Times New Roman" w:eastAsia="宋体"/>
          <w:b w:val="0"/>
          <w:i/>
          <w:color w:val="404040"/>
          <w:sz w:val="20"/>
        </w:rPr>
        <w:t>From Gridlock to Ratchet: Conditional Cooperation on Climate Change</w:t>
      </w:r>
    </w:p>
    <w:p>
      <w:r>
        <w:rPr>
          <w:rFonts w:ascii="Times New Roman" w:hAnsi="Times New Roman" w:eastAsia="宋体"/>
          <w:b w:val="0"/>
          <w:i w:val="0"/>
          <w:color w:val="595959"/>
          <w:sz w:val="18"/>
        </w:rPr>
        <w:t>Sam S. Rowan（Concordia University）</w:t>
      </w:r>
    </w:p>
    <w:p>
      <w:r>
        <w:rPr>
          <w:rFonts w:ascii="Times New Roman" w:hAnsi="Times New Roman" w:eastAsia="宋体"/>
          <w:b w:val="0"/>
          <w:i w:val="0"/>
          <w:sz w:val="22"/>
        </w:rPr>
        <w:t>摘要：气候条约随时间推进，承诺大幅减缓全球变暖。鉴于气候政治理论强调集体行动问题和国内僵局，这令人意外。作者首先描述《巴黎协定》下更新减缓目标的过程，然后提出理论论证：各国目标变化取决于其在经济和政治网络中的位置。贸易流动产生可能削弱气候行动的竞争性经济压力，但当伙伴也承诺行动时这种压力会减弱；政治网络支持有条件合作，尤其当制度设计鼓励渐进承诺时。作者使用空间回归模型研究各国气候目标与其伙伴先前目标的关系，发现当最紧密的政治伙伴在《巴黎协定》中提交了强目标时，各国在格拉斯哥气候公约中承诺了更强的更新目标。这表明《巴黎协定》推动了减缓领域的有条件合作。</w:t>
      </w:r>
    </w:p>
    <w:p>
      <w:r>
        <w:rPr>
          <w:rFonts w:ascii="Times New Roman" w:hAnsi="Times New Roman" w:eastAsia="宋体"/>
          <w:b w:val="0"/>
          <w:i w:val="0"/>
          <w:sz w:val="20"/>
        </w:rPr>
        <w:t>Climate treaties have progressed over time to pledge substantial reductions in global warming. This is surprising, given that theories of climate politics emphasize collective-action problems and domestic deadlock. I first describe the process of updating climate mitigation targets under the Paris Agreement. Then I develop a theoretical argument that explains target changes based on how countries are situated in economic and political networks. Trade flows create competitive economic pressures that may undermine climate action, but these pressures may ebb when partners also commit to act. I argue that political networks support conditional cooperation, especially when institutional design promotes gradual commitments. I use spatial regression models to study how countries’ climate targets are related to their partners’ prior targets. I find that countries pledged stronger updated mitigation targets in the Glasgow Climate Pact when their closest political partners submitted strong targets in the Paris Agreement. This suggests the Paris Agreement drove conditional cooperation on mitigation.</w:t>
      </w:r>
    </w:p>
    <w:p/>
    <w:p>
      <w:r>
        <w:rPr>
          <w:rFonts w:ascii="Times New Roman" w:hAnsi="Times New Roman" w:eastAsia="黑体"/>
          <w:b/>
          <w:i w:val="0"/>
          <w:sz w:val="24"/>
        </w:rPr>
        <w:t>羞辱巴黎：气候承诺的政治经济学</w:t>
      </w:r>
    </w:p>
    <w:p>
      <w:r>
        <w:rPr>
          <w:rFonts w:ascii="Times New Roman" w:hAnsi="Times New Roman" w:eastAsia="宋体"/>
          <w:b w:val="0"/>
          <w:i/>
          <w:color w:val="404040"/>
          <w:sz w:val="20"/>
        </w:rPr>
        <w:t>Shaming Paris: A Political Economy of Climate Commitments</w:t>
      </w:r>
    </w:p>
    <w:p>
      <w:r>
        <w:rPr>
          <w:rFonts w:ascii="Times New Roman" w:hAnsi="Times New Roman" w:eastAsia="宋体"/>
          <w:b w:val="0"/>
          <w:i w:val="0"/>
          <w:color w:val="595959"/>
          <w:sz w:val="18"/>
        </w:rPr>
        <w:t>Justin Melnick（New York University）；Alastair Smith（New York University）</w:t>
      </w:r>
    </w:p>
    <w:p>
      <w:r>
        <w:rPr>
          <w:rFonts w:ascii="Times New Roman" w:hAnsi="Times New Roman" w:eastAsia="宋体"/>
          <w:b w:val="0"/>
          <w:i w:val="0"/>
          <w:sz w:val="22"/>
        </w:rPr>
        <w:t>摘要：作者用形式模型探讨领导人设定气候承诺及随后下游减缓努力的激励。由于《巴黎协定》要求各国作出单边自愿承诺，作者研究推动气候承诺的国内因素。模型考察一个“绿党”和“棕党”两党选举竞争的国家：两党先作出减排承诺，再实施政策兑现承诺；选民预期各党在给定承诺下的均衡政策；若下游减缓政策相对承诺不足，政府将受到国际社会“羞辱”。承诺具有政策价值与选举价值，从而产生多种激励渠道：政党可以用承诺束缚对手未来手脚以实施偏好政策。若政党只关心赢得选举，它们会利用承诺服务于选举需要，这反常地导致反环保政党作出更雄心勃勃的承诺。</w:t>
      </w:r>
    </w:p>
    <w:p>
      <w:r>
        <w:rPr>
          <w:rFonts w:ascii="Times New Roman" w:hAnsi="Times New Roman" w:eastAsia="宋体"/>
          <w:b w:val="0"/>
          <w:i w:val="0"/>
          <w:sz w:val="20"/>
        </w:rPr>
        <w:t>We use a formal model to explore leaders’ incentives to set climate commitments and subsequently exert downstream mitigation effort. Since the Paris Agreement asks countries to make unilateral voluntary commitments, we investigate the domestic factors motivating climate pledges. We study a country with electoral competition between two parties, Green and Brown, who first make commitments to reduce emissions and then implement policies to meet their commitments. Voters anticipate the equilibrium policies each party will implement given the pledge. If downstream mitigation policies are insufficient relative to the commitment, the government is “shamed” by the international community. Several incentive channels arise when parties make commitments, as they have policy and electoral value. Parties can use commitments to tie the opposition’s hands to implement preferential policies in the future. If parties care only about winning elections, they will exploit commitments to serve electoral needs, which paradoxically leads anti-environmental parties to implement more ambitious commitments.</w:t>
      </w:r>
    </w:p>
    <w:p/>
    <w:p>
      <w:r>
        <w:rPr>
          <w:rFonts w:ascii="Times New Roman" w:hAnsi="Times New Roman" w:eastAsia="黑体"/>
          <w:b/>
          <w:i w:val="0"/>
          <w:sz w:val="24"/>
        </w:rPr>
        <w:t>道歉外交：国家间道歉的国际形象效应</w:t>
      </w:r>
    </w:p>
    <w:p>
      <w:r>
        <w:rPr>
          <w:rFonts w:ascii="Times New Roman" w:hAnsi="Times New Roman" w:eastAsia="宋体"/>
          <w:b w:val="0"/>
          <w:i/>
          <w:color w:val="404040"/>
          <w:sz w:val="20"/>
        </w:rPr>
        <w:t>Apology Diplomacy: The International Image Effects of Interstate Apologies</w:t>
      </w:r>
    </w:p>
    <w:p>
      <w:r>
        <w:rPr>
          <w:rFonts w:ascii="Times New Roman" w:hAnsi="Times New Roman" w:eastAsia="宋体"/>
          <w:b w:val="0"/>
          <w:i w:val="0"/>
          <w:color w:val="595959"/>
          <w:sz w:val="18"/>
        </w:rPr>
        <w:t>Michaela Mattes（University of California）；Jessica L.P. Weeks（University of Wisconsin–Madison）</w:t>
      </w:r>
    </w:p>
    <w:p>
      <w:r>
        <w:rPr>
          <w:rFonts w:ascii="Times New Roman" w:hAnsi="Times New Roman" w:eastAsia="宋体"/>
          <w:b w:val="0"/>
          <w:i w:val="0"/>
          <w:sz w:val="22"/>
        </w:rPr>
        <w:t>摘要：国家能否通过为过去的错误道歉改善国际形象，还是道歉会损害声誉？作者认为，道歉能为未来行为提供保证、传达恰当价值观，从而提升国际形象；但道歉也可能显示软弱，其国际效果可能取决于道歉国与接受国的反应。为检验这些论点，作者将涉及俄罗斯入侵乌克兰的美国大规模调查实验与1951年联邦德国就大屠杀道歉的历史案例相结合。实验中，受访者获知某外国是否为过去的冒犯道歉、道歉对象如何回应、道歉国关键国内群体是否反对、以及道歉国是否民主。结果表明道歉提升了外国好感和合作意愿，且未被视为软弱；即使对象拒绝道歉或道歉在国内引发反弹、无论道歉国是否被描述为民主国家，效果依然存在。德国1951年的案例印证了这些模式。</w:t>
      </w:r>
    </w:p>
    <w:p>
      <w:r>
        <w:rPr>
          <w:rFonts w:ascii="Times New Roman" w:hAnsi="Times New Roman" w:eastAsia="宋体"/>
          <w:b w:val="0"/>
          <w:i w:val="0"/>
          <w:sz w:val="20"/>
        </w:rPr>
        <w:t>Can states improve their international image by apologizing for past wrongs, or do apologies hurt countries’ reputations? We argue that apologizing can boost a country’s international image by providing reassurance about future behavior and conveying appropriate values. Yet apologies could also signal weakness, and their international effects could depend on reactions in the sending and receiving countries. To test these arguments, we pair large-scale US-based survey experiments involving Russia’s invasion of Ukraine with the historical case of Germany’s 1951 Holocaust apology. In our experiments, respondents learned whether a foreign state apologized for past offenses, how the target of the apology responded, whether key domestic groups in the sender opposed the apology, and whether the sender was democratic or not. We found that apologies boosted foreign favorability and willingness to cooperate, and did not indicate weakness. These effects persisted even if the target rejected the apology or the apology provoked backlash inside the sender, and did not depend on whether the sender was described as democratic. The case of Germany’s 1951 Holocaust apology corroborates these patterns. Together, our findings suggest that apologies may be a powerful tool of public diplomacy.</w:t>
      </w:r>
    </w:p>
    <w:p/>
    <w:p>
      <w:r>
        <w:rPr>
          <w:rFonts w:ascii="Times New Roman" w:hAnsi="Times New Roman" w:eastAsia="黑体"/>
          <w:b/>
          <w:i w:val="0"/>
          <w:sz w:val="24"/>
        </w:rPr>
        <w:t>平民伤害与军事合法性：来自摩苏尔战役的证据</w:t>
      </w:r>
    </w:p>
    <w:p>
      <w:r>
        <w:rPr>
          <w:rFonts w:ascii="Times New Roman" w:hAnsi="Times New Roman" w:eastAsia="宋体"/>
          <w:b w:val="0"/>
          <w:i/>
          <w:color w:val="404040"/>
          <w:sz w:val="20"/>
        </w:rPr>
        <w:t>Civilian Harm and Military Legitimacy: Evidence from the Battle of Mosul</w:t>
      </w:r>
    </w:p>
    <w:p>
      <w:r>
        <w:rPr>
          <w:rFonts w:ascii="Times New Roman" w:hAnsi="Times New Roman" w:eastAsia="宋体"/>
          <w:b w:val="0"/>
          <w:i w:val="0"/>
          <w:color w:val="595959"/>
          <w:sz w:val="18"/>
        </w:rPr>
        <w:t>Benjamin C. Krick（Duke University）；Jonathan B. Petkun（Duke University）；Mara R. Revkin（Duke University）</w:t>
      </w:r>
    </w:p>
    <w:p>
      <w:r>
        <w:rPr>
          <w:rFonts w:ascii="Times New Roman" w:hAnsi="Times New Roman" w:eastAsia="宋体"/>
          <w:b w:val="0"/>
          <w:i w:val="0"/>
          <w:sz w:val="22"/>
        </w:rPr>
        <w:t>摘要：武装力量在平民眼中的合法性日益被认为不仅对战场效能，而且对冲突解决与和平建设至关重要，但“军事合法性”概念理论化不足，其决定因素知之甚少。作者认为军事合法性认知由战争的两个关键维度塑造：正义理由与正义行为。利用近期最惨烈城市战役之一——多国击败摩苏尔“伊斯兰国”的行动——中自然发生的差异，作者结合原创调查数据、卫星图像和访谈，采用混合方法检验理论。在武装力量较少注意保护平民的街区，居民认为这些力量的合法性更低；令人意外的是，控制个人受伤害经历后结果依然存在，表明认知不仅受受害经历影响，也受对武装力量行为道德性及其作战理由的信念影响。</w:t>
      </w:r>
    </w:p>
    <w:p>
      <w:r>
        <w:rPr>
          <w:rFonts w:ascii="Times New Roman" w:hAnsi="Times New Roman" w:eastAsia="宋体"/>
          <w:b w:val="0"/>
          <w:i w:val="0"/>
          <w:sz w:val="20"/>
        </w:rPr>
        <w:t>The legitimacy of armed forces in the eyes of civilians is increasingly recognized as crucial not only for battlefield effectiveness but also for conflict resolution and peace building. However, the concept of “military legitimacy” remains under-theorized and its determinants poorly understood. We argue that perceptions of military legitimacy are shaped by two key dimensions of warfare: just cause and just conduct . Leveraging naturally occurring variation during one of the deadliest urban battles in recent history—the multinational campaign to defeat the Islamic State in Mosul, Iraq—we evaluate our theory using a mixed-methods design that combines original survey data, satellite imagery, and interviews. Civilians living in neighborhoods where armed forces were less careful to protect civilians view those forces as less legitimate than civilians elsewhere. Surprisingly, these results persist after conditioning on personal experiences of harm, suggesting that perceptions are influenced not only by victimization—consistent with previous studies—but also by beliefs about the morality of armed forces’ conduct and the cause for which they are fighting.</w:t>
      </w:r>
    </w:p>
    <w:p/>
    <w:p>
      <w:r>
        <w:rPr>
          <w:rFonts w:ascii="Times New Roman" w:hAnsi="Times New Roman" w:eastAsia="黑体"/>
          <w:b/>
          <w:i w:val="0"/>
          <w:sz w:val="24"/>
        </w:rPr>
        <w:t>贸易与选举改革的政治</w:t>
      </w:r>
    </w:p>
    <w:p>
      <w:r>
        <w:rPr>
          <w:rFonts w:ascii="Times New Roman" w:hAnsi="Times New Roman" w:eastAsia="宋体"/>
          <w:b w:val="0"/>
          <w:i/>
          <w:color w:val="404040"/>
          <w:sz w:val="20"/>
        </w:rPr>
        <w:t>Trade and the Politics of Electoral Reform</w:t>
      </w:r>
    </w:p>
    <w:p>
      <w:r>
        <w:rPr>
          <w:rFonts w:ascii="Times New Roman" w:hAnsi="Times New Roman" w:eastAsia="宋体"/>
          <w:b w:val="0"/>
          <w:i w:val="0"/>
          <w:color w:val="595959"/>
          <w:sz w:val="18"/>
        </w:rPr>
        <w:t>Michael Becher（IE University）；Irene Menéndez González（IE University）</w:t>
      </w:r>
    </w:p>
    <w:p>
      <w:r>
        <w:rPr>
          <w:rFonts w:ascii="Times New Roman" w:hAnsi="Times New Roman" w:eastAsia="宋体"/>
          <w:b w:val="0"/>
          <w:i w:val="0"/>
          <w:sz w:val="22"/>
        </w:rPr>
        <w:t>摘要：近期关于欧洲比例代表制起源的研究聚焦国内政治解释，本文则将国际贸易重新作为选举制度选择政治的经济解释。受罗戈夫斯基（1987）比例代表制贸易起源理论和贸易政策政治经济学文献启发，作者认为第一次全球化期间围绕贸易的政治冲突塑造了选举改革斗争：由于关税是核心且有争议的议题，在旧选举制度下受关税上升损害的经济利益有动机支持引入比例代表制。作者利用瑞士区级公投进行国内研究设计，发现贸易理论核心机制得到支持：对保护主义的需求意味着更强烈地反对引入比例代表制。面板数据显示，作为保护主义核心支柱的农业部门相对规模变化与对比例代表制支持的变化密切相关。对德国立法投票的考察也发现保护主义与随后反对选举改革相关。</w:t>
      </w:r>
    </w:p>
    <w:p>
      <w:r>
        <w:rPr>
          <w:rFonts w:ascii="Times New Roman" w:hAnsi="Times New Roman" w:eastAsia="宋体"/>
          <w:b w:val="0"/>
          <w:i w:val="0"/>
          <w:sz w:val="20"/>
        </w:rPr>
        <w:t>While recent research on the origins of proportional representation (PR) in Europe has focused on domestic political explanations, we bring international trade back as an economic explanation for the politics of electoral system choice. Spurred by Rogowski’s (1987) theory of the trade origins of PR and the political economy literature on trade policy, we argue that political conflict over trade shaped the struggle over electoral reform during the first globalization. Because tariffs were a central and contested issue, economic interests hurt by rising tariffs under the old electoral system had economic motives to support the introduction of PR. To test this theory, we leverage district-level popular votes in Switzerland using a within-country research design. We find support for the core mechanism of the trade theory: demand for protectionism entailed stronger opposition to the introduction of PR. Using panel data, we demonstrate that changes in the relative size of the agricultural sector, the central pillar of support for protectionism, were closely related to changes in support for PR. We also examine legislative voting in Germany and find that protectionism was linked to subsequent opposition to electoral reform. Altogether, our analysis highlights the neglected importance of trade in conflict over electoral institutions.</w:t>
      </w:r>
    </w:p>
    <w:p/>
    <w:p>
      <w:r>
        <w:rPr>
          <w:rFonts w:ascii="Times New Roman" w:hAnsi="Times New Roman" w:eastAsia="宋体"/>
          <w:b/>
          <w:i w:val="0"/>
          <w:sz w:val="22"/>
        </w:rPr>
        <w:t>IO： Vol. 79, No. 1, 2025</w:t>
      </w:r>
    </w:p>
    <w:p/>
    <w:p>
      <w:r>
        <w:rPr>
          <w:rFonts w:ascii="Times New Roman" w:hAnsi="Times New Roman" w:eastAsia="黑体"/>
          <w:b/>
          <w:i w:val="0"/>
          <w:sz w:val="24"/>
        </w:rPr>
        <w:t>达摩克利斯错觉：权力感放大世界政治中的威胁感知</w:t>
      </w:r>
    </w:p>
    <w:p>
      <w:r>
        <w:rPr>
          <w:rFonts w:ascii="Times New Roman" w:hAnsi="Times New Roman" w:eastAsia="宋体"/>
          <w:b w:val="0"/>
          <w:i/>
          <w:color w:val="404040"/>
          <w:sz w:val="20"/>
        </w:rPr>
        <w:t>The Damocles Delusion: The Sense of Power Inflates Threat Perception in World Politics</w:t>
      </w:r>
    </w:p>
    <w:p>
      <w:r>
        <w:rPr>
          <w:rFonts w:ascii="Times New Roman" w:hAnsi="Times New Roman" w:eastAsia="宋体"/>
          <w:b w:val="0"/>
          <w:i w:val="0"/>
          <w:color w:val="595959"/>
          <w:sz w:val="18"/>
        </w:rPr>
        <w:t>Caleb Pomeroy</w:t>
      </w:r>
    </w:p>
    <w:p>
      <w:r>
        <w:rPr>
          <w:rFonts w:ascii="Times New Roman" w:hAnsi="Times New Roman" w:eastAsia="宋体"/>
          <w:b w:val="0"/>
          <w:i w:val="0"/>
          <w:sz w:val="22"/>
        </w:rPr>
        <w:t>摘要：权力如何影响威胁感知？借鉴权力心理学的进展，作者发现国家权力感会放大威胁感知。权力感激活决策中的直觉思维，包括依赖直觉以及启发式和先验信念等认知捷径；而政治心理学研究表明这些机制往往放大威胁感知——强者用“肚子”而非“脑子”评估威胁。来自美国和中国的实验证据、对俄罗斯精英调查的再分析以及对冷战时期美国外交政策精英的大规模文本分析支持这一预期。这些发现有助于从心理上调和“制衡不足”到“过度扩张”等长期理论谜题，并提出全新谜题，例如崛起国而非衰落国的决策者可能感到更多恐惧。本文对心理学国际关系研究的自下而上解释提出“第一意象颠倒”的挑战：决策者心理也是由力量对比塑造的因变量。</w:t>
      </w:r>
    </w:p>
    <w:p>
      <w:r>
        <w:rPr>
          <w:rFonts w:ascii="Times New Roman" w:hAnsi="Times New Roman" w:eastAsia="宋体"/>
          <w:b w:val="0"/>
          <w:i w:val="0"/>
          <w:sz w:val="20"/>
        </w:rPr>
        <w:t>How does power affect threat perception? Drawing on advances in psychological research on power, I find that the sense of state power inflates the perception of threats. The sense of power activates intuitive thinking in the decision-making process, including a reliance on gut feelings and cognitive shortcuts like heuristics and prior beliefs. In turn, as psychological IR research shows, these mechanisms tend to inflate threat perception. The powerful assess threats from the gut rather than the head. Experimental evidence from the US and China, a reanalysis of a survey of Russian elites, and a large-scale text analysis of Cold War US foreign policy elites lend support to this expectation. The findings help to psychologically reconcile enduring theoretical puzzles—from “underbalancing” to “overextension”—and generate entirely new ones, like the possibility that decision makers of rising, not declining, states feel more fear. Together, the paper offers a “first image reversed” challenge to bottom-up accounts of psychological IR. Decision-maker psychology is also a dependent variable shaped by the balance of power, with important implications for a world returning to great power competition.</w:t>
      </w:r>
    </w:p>
    <w:p/>
    <w:p>
      <w:r>
        <w:rPr>
          <w:rFonts w:ascii="Times New Roman" w:hAnsi="Times New Roman" w:eastAsia="黑体"/>
          <w:b/>
          <w:i w:val="0"/>
          <w:sz w:val="24"/>
        </w:rPr>
        <w:t>叛乱组织性别治理的决定因素</w:t>
      </w:r>
    </w:p>
    <w:p>
      <w:r>
        <w:rPr>
          <w:rFonts w:ascii="Times New Roman" w:hAnsi="Times New Roman" w:eastAsia="宋体"/>
          <w:b w:val="0"/>
          <w:i/>
          <w:color w:val="404040"/>
          <w:sz w:val="20"/>
        </w:rPr>
        <w:t>The Determinants of Insurgent Gender Governance</w:t>
      </w:r>
    </w:p>
    <w:p>
      <w:r>
        <w:rPr>
          <w:rFonts w:ascii="Times New Roman" w:hAnsi="Times New Roman" w:eastAsia="宋体"/>
          <w:b w:val="0"/>
          <w:i w:val="0"/>
          <w:color w:val="595959"/>
          <w:sz w:val="18"/>
        </w:rPr>
        <w:t>Tessa Devereaux</w:t>
      </w:r>
    </w:p>
    <w:p>
      <w:r>
        <w:rPr>
          <w:rFonts w:ascii="Times New Roman" w:hAnsi="Times New Roman" w:eastAsia="宋体"/>
          <w:b w:val="0"/>
          <w:i w:val="0"/>
          <w:sz w:val="22"/>
        </w:rPr>
        <w:t>摘要：叛乱者在冲突中何时挑战性别规范？他们由此获得什么？作者利用1950—2019年137个武装团体的原创数据集，认为武装团体挑战性别习俗是为了重塑地方权力关系。40%的叛乱团体在内战期间规范平民的性别习俗，其普遍程度堪比征税或提供基本安全。武装团体利用既有的性别不满，通过惩罚家庭暴力（9%）、禁止嫁妆（15%）、强制着装规定（11%）等策略赋权特定人群并削弱地方精英。作者将跨国分析与马里两个伊斯兰团体——伊斯兰马格里布基地组织与马西纳旅——的定性案例相结合，展示了对地方精英的策略如何驱动具有相同意识形态、目标和社会背景的两个团体的性别治理。</w:t>
      </w:r>
    </w:p>
    <w:p>
      <w:r>
        <w:rPr>
          <w:rFonts w:ascii="Times New Roman" w:hAnsi="Times New Roman" w:eastAsia="宋体"/>
          <w:b w:val="0"/>
          <w:i w:val="0"/>
          <w:sz w:val="20"/>
        </w:rPr>
        <w:t>Under what conditions do insurgents challenge gender norms in the midst of conflict? And what do they gain by doing so? Using an original data set of 137 armed groups fighting between 1950 and 2019, I argue that armed groups challenge gender customs to reshape local power relations. With 40 percent of rebel groups regulating civilian gender customs during civil war, this strategy is remarkably widespread, comparable to taxation or the provision of basic security in its prevalence. I demonstrate that armed groups exploit pre-existing gender grievances, using strategies like punishing domestic violence (9 percent of groups), banning dowries (15 percent), and enforcing dress codes (11 percent) to empower targeted subsections of the population and undermine local elites. I combine cross-national analysis with qualitative case studies of al-Qaeda in the Islamic Maghreb and Katiba Macina, two Islamist groups in Mali. This allows me to demonstrate how the approach to local elites drives gender governance in two groups with a shared ideology, goals, and societal context.</w:t>
      </w:r>
    </w:p>
    <w:p/>
    <w:p>
      <w:r>
        <w:rPr>
          <w:rFonts w:ascii="Times New Roman" w:hAnsi="Times New Roman" w:eastAsia="黑体"/>
          <w:b/>
          <w:i w:val="0"/>
          <w:sz w:val="24"/>
        </w:rPr>
        <w:t>拔河：恐怖组织间竞相加码的异质性效应</w:t>
      </w:r>
    </w:p>
    <w:p>
      <w:r>
        <w:rPr>
          <w:rFonts w:ascii="Times New Roman" w:hAnsi="Times New Roman" w:eastAsia="宋体"/>
          <w:b w:val="0"/>
          <w:i/>
          <w:color w:val="404040"/>
          <w:sz w:val="20"/>
        </w:rPr>
        <w:t>Tug of War: The Heterogeneous Effects of Outbidding Between Terrorist Groups</w:t>
      </w:r>
    </w:p>
    <w:p>
      <w:r>
        <w:rPr>
          <w:rFonts w:ascii="Times New Roman" w:hAnsi="Times New Roman" w:eastAsia="宋体"/>
          <w:b w:val="0"/>
          <w:i w:val="0"/>
          <w:color w:val="595959"/>
          <w:sz w:val="18"/>
        </w:rPr>
        <w:t>Casey Crisman-Cox；Michael Gibilisco</w:t>
      </w:r>
    </w:p>
    <w:p>
      <w:r>
        <w:rPr>
          <w:rFonts w:ascii="Times New Roman" w:hAnsi="Times New Roman" w:eastAsia="宋体"/>
          <w:b w:val="0"/>
          <w:i w:val="0"/>
          <w:sz w:val="22"/>
        </w:rPr>
        <w:t>摘要：作者提出一个竞相加码的动态博弈：两个团体以拔河方式通过暴力竞争不断变化的公众支持。作者利用新收集的巴勒斯坦公众对哈马斯与法塔赫支持数据拟合模型。竞争具有异质性效应，组织间竞争可能抑制暴力：哈马斯的竞争使法塔赫比哈马斯放弃恐怖主义时使用更多恐怖主义，但法塔赫的竞争可能使哈马斯袭击更少；同样，使哈马斯更有能力或更愿竞争会增加总体暴力，而使法塔赫更有能力或更愿竞争则抑制双方暴力。这些抑制效应源于不对称竞争：法塔赫更有效地利用恐怖主义提升支持，而哈马斯攻击成本更低。由此，竞相加码理论与暴力和竞争激励之间正、负或零关系都是一致的。</w:t>
      </w:r>
    </w:p>
    <w:p>
      <w:r>
        <w:rPr>
          <w:rFonts w:ascii="Times New Roman" w:hAnsi="Times New Roman" w:eastAsia="宋体"/>
          <w:b w:val="0"/>
          <w:i w:val="0"/>
          <w:sz w:val="20"/>
        </w:rPr>
        <w:t>We introduce a dynamic game of outbidding where two groups use violence to compete in a tug-of-war fashion for evolving public support. We fit the model to the canonical outbidding rivalry between Hamas and Fatah using newly collected data on Palestinian public support for these groups. Competition has heterogeneous effects, and we demonstrate that intergroup competition can discourage violence. Competition from Hamas leads Fatah to use more terrorism than it would in a world where Hamas abstains from terrorism, but competition from Fatah can lead Hamas to attack less than it otherwise would. Likewise, making Hamas more capable or interested in competing increases overall violence, but making Fatah more capable or interested discourages violence on both sides. These discouragement effects of competition on violence emerge through an asymmetric contest, in which we find that Fatah uses terrorism more effectively to boost its support, although Hamas has lower attack costs. Expanding on these results, we demonstrate that outbidding theory is consistent with a positive, negative, or null relationship between measures of violence and incentives to compete.</w:t>
      </w:r>
    </w:p>
    <w:p/>
    <w:p>
      <w:r>
        <w:rPr>
          <w:rFonts w:ascii="Times New Roman" w:hAnsi="Times New Roman" w:eastAsia="黑体"/>
          <w:b/>
          <w:i w:val="0"/>
          <w:sz w:val="24"/>
        </w:rPr>
        <w:t>核禁忌暗语：核不使用的逻辑与未来</w:t>
      </w:r>
    </w:p>
    <w:p>
      <w:r>
        <w:rPr>
          <w:rFonts w:ascii="Times New Roman" w:hAnsi="Times New Roman" w:eastAsia="宋体"/>
          <w:b w:val="0"/>
          <w:i/>
          <w:color w:val="404040"/>
          <w:sz w:val="20"/>
        </w:rPr>
        <w:t>Nuclear Shibboleths: The Logics and Future of Nuclear Nonuse</w:t>
      </w:r>
    </w:p>
    <w:p>
      <w:r>
        <w:rPr>
          <w:rFonts w:ascii="Times New Roman" w:hAnsi="Times New Roman" w:eastAsia="宋体"/>
          <w:b w:val="0"/>
          <w:i w:val="0"/>
          <w:color w:val="595959"/>
          <w:sz w:val="18"/>
        </w:rPr>
        <w:t>Stacie E. Goddard；Colleen Larkin</w:t>
      </w:r>
    </w:p>
    <w:p>
      <w:r>
        <w:rPr>
          <w:rFonts w:ascii="Times New Roman" w:hAnsi="Times New Roman" w:eastAsia="宋体"/>
          <w:b w:val="0"/>
          <w:i w:val="0"/>
          <w:sz w:val="22"/>
        </w:rPr>
        <w:t>摘要：谢林曾说过去半个世纪最惊人的事件是一件没有发生的事——六十年来没有核武器在愤怒中爆炸，并追问“我们能否再撑过六十年？”当代技术创新、武器扩散、现代化努力和核威胁使这一问题变得紧迫。近来大量研究试图检验核不使用的韧性，主要聚焦方法创新，积累了关于其未来的可观证据。但作者认为这些文献存在理论问题：将核不使用机制简化为“理性主义vs规范性”二分，掩盖了各框架内部通往核（不）使用的不同路径。理性主义理论犯了“混同”之过，把成本与可信度两个不同机制当作一个因果故事；规范理论犯了“遗漏”之过，把规范视为结构性的而忽视了规范争夺机制。厘清这些因果路径会对核不使用的未来——尤其在精确核武器的世界中——得出截然不同的预期。</w:t>
      </w:r>
    </w:p>
    <w:p>
      <w:r>
        <w:rPr>
          <w:rFonts w:ascii="Times New Roman" w:hAnsi="Times New Roman" w:eastAsia="宋体"/>
          <w:b w:val="0"/>
          <w:i w:val="0"/>
          <w:sz w:val="20"/>
        </w:rPr>
        <w:t>Thomas Schelling argued that “The most spectacular event of the past half century is one that did not occur. We have enjoyed sixty years without nuclear weapons exploded in anger.” To this, he added a question: “Can we make it through another half dozen decades?” Contemporary technological innovation, weapons proliferation, increased modernization efforts, and nuclear saber-rattling have made Schelling's question an urgent one. Recently, there has been an explosion in scholarship attempting to test the resilience of nonuse. These scholars have focused primarily on methodological innovations, generating an impressive body of evidence about the future of nonuse. Yet we argue that this literature is theoretically problematic: it reduces mechanisms of nuclear nonuse to a “rationalist” versus “normative” dichotomy which obscures the distinct pathways to nuclear (non)use within each theoretical framework. With rationalist theories, the current literature commits the sin of conflation, treating what should be distinct mechanisms—cost and credibility—as a single causal story. With normative theories, scholars have committed a sin of omission, treating norms as structural and overlooking mechanisms of norm contestation. We show that teasing out these different causal pathways reveals radically different expectations about the future of nonuse, especially in a world of precision nuclear weapons.</w:t>
      </w:r>
    </w:p>
    <w:p/>
    <w:p>
      <w:r>
        <w:rPr>
          <w:rFonts w:ascii="Times New Roman" w:hAnsi="Times New Roman" w:eastAsia="黑体"/>
          <w:b/>
          <w:i w:val="0"/>
          <w:sz w:val="24"/>
        </w:rPr>
        <w:t>来自境外的气候行动：评估大众对跨境气候转移支付的支持</w:t>
      </w:r>
    </w:p>
    <w:p>
      <w:r>
        <w:rPr>
          <w:rFonts w:ascii="Times New Roman" w:hAnsi="Times New Roman" w:eastAsia="宋体"/>
          <w:b w:val="0"/>
          <w:i/>
          <w:color w:val="404040"/>
          <w:sz w:val="20"/>
        </w:rPr>
        <w:t>Climate Action from Abroad: Assessing Mass Support for Cross-Border Climate Transfers</w:t>
      </w:r>
    </w:p>
    <w:p>
      <w:r>
        <w:rPr>
          <w:rFonts w:ascii="Times New Roman" w:hAnsi="Times New Roman" w:eastAsia="宋体"/>
          <w:b w:val="0"/>
          <w:i w:val="0"/>
          <w:color w:val="595959"/>
          <w:sz w:val="18"/>
        </w:rPr>
        <w:t>Nikhar Gaikwad；Federica Genovese；Dustin Tingley</w:t>
      </w:r>
    </w:p>
    <w:p>
      <w:r>
        <w:rPr>
          <w:rFonts w:ascii="Times New Roman" w:hAnsi="Times New Roman" w:eastAsia="宋体"/>
          <w:b w:val="0"/>
          <w:i w:val="0"/>
          <w:sz w:val="22"/>
        </w:rPr>
        <w:t>摘要：专家认为发达国家向发展中国家的资源转移是国际气候政策的核心。随着各国面临提供和接受气候资金的政治困难，理解选民为何支持或反对国际气候融资至关重要。作者聚焦捐助国与受援国的国内受众，研究公众对跨境气候转移支付支持的决定因素，理论上关注三个因素：强调资金的补偿目的、偏好减缓而非适应活动、优先考虑捐受双方行为体的伙伴关系——这三者同时产生规范与物质收益，从而在更广泛的选民联盟中建立支持。在美国和印度的配对调查实验证实了这些转移特征对捐助国与受援国公民的意义。</w:t>
      </w:r>
    </w:p>
    <w:p>
      <w:r>
        <w:rPr>
          <w:rFonts w:ascii="Times New Roman" w:hAnsi="Times New Roman" w:eastAsia="宋体"/>
          <w:b w:val="0"/>
          <w:i w:val="0"/>
          <w:sz w:val="20"/>
        </w:rPr>
        <w:t>Experts argue that resource transfers from developed to developing countries are central to international climate policy efforts. Yet as countries grapple with the political difficulties of provisioning and accepting climate funds, understanding why voters support or oppose international climate finance becomes critical. Focusing on domestic audiences in both donor and recipient countries, we investigate the determinants of public support for cross-border climate transfers. Theoretically, we focus on the effects of emphasizing the compensatory purposes of funding, favoring mitigation over adaptation activities, and prioritizing partnerships between donor and recipient agents—three factors that generate both normative and material benefits, and thus build support among broader coalitions of voters. Paired survey experiments in the United States and India corroborate the relevance of these transfer features for citizens in donor and recipient countries. Taken together, our findings shed light on the domestic political-economy attributes of transfer agreements that can unlock support for cross-border climate cooperation.</w:t>
      </w:r>
    </w:p>
    <w:p/>
    <w:p>
      <w:r>
        <w:rPr>
          <w:rFonts w:ascii="Times New Roman" w:hAnsi="Times New Roman" w:eastAsia="黑体"/>
          <w:b/>
          <w:i w:val="0"/>
          <w:sz w:val="24"/>
        </w:rPr>
        <w:t>现代战争中的同室操戈式强制</w:t>
      </w:r>
    </w:p>
    <w:p>
      <w:r>
        <w:rPr>
          <w:rFonts w:ascii="Times New Roman" w:hAnsi="Times New Roman" w:eastAsia="宋体"/>
          <w:b w:val="0"/>
          <w:i/>
          <w:color w:val="404040"/>
          <w:sz w:val="20"/>
        </w:rPr>
        <w:t>Fratricidal Coercion in Modern War</w:t>
      </w:r>
    </w:p>
    <w:p>
      <w:r>
        <w:rPr>
          <w:rFonts w:ascii="Times New Roman" w:hAnsi="Times New Roman" w:eastAsia="宋体"/>
          <w:b w:val="0"/>
          <w:i w:val="0"/>
          <w:color w:val="595959"/>
          <w:sz w:val="18"/>
        </w:rPr>
        <w:t>Jason Lyall；Yuri Zhukov</w:t>
      </w:r>
    </w:p>
    <w:p>
      <w:r>
        <w:rPr>
          <w:rFonts w:ascii="Times New Roman" w:hAnsi="Times New Roman" w:eastAsia="宋体"/>
          <w:b w:val="0"/>
          <w:i w:val="0"/>
          <w:sz w:val="22"/>
        </w:rPr>
        <w:t>摘要：军队有时使用同室操戈式强制——对本国士兵施加暴力和恐吓——迫使不情愿的士兵作战。这一做法如何影响战场表现仍是开放问题。作者采用混合方法：（1）基于数百万份解密人事档案构建的二战苏联步兵师月度面板数据；（2）列宁格勒战役中步兵师的配对比较；（3）75场冲突（1939—2011）中526场陆战及战争结果的跨国数据以评估普适性。三组发现：第一，强制使部分士兵不逃离战场，但代价是更高伤亡和更少主动性；第二，战时与战前强制（如大规模镇压和军官清洗）以相似且相互强化的方式影响士兵行为；第三，强制提升决心、抑制主动性的效应在不同交战方与战争中具有普适性。总体而言，采用这种强制的国家更不可能赢得战争。</w:t>
      </w:r>
    </w:p>
    <w:p>
      <w:r>
        <w:rPr>
          <w:rFonts w:ascii="Times New Roman" w:hAnsi="Times New Roman" w:eastAsia="宋体"/>
          <w:b w:val="0"/>
          <w:i w:val="0"/>
          <w:sz w:val="20"/>
        </w:rPr>
        <w:t>Armies sometimes use fratricidal coercion—violence and intimidation against their own troops—to force reluctant soldiers to fight. How this practice affects battlefield performance remains an open question. We study fratricidal coercion using a mixed-methods strategy, drawing on (1) monthly panel data on Soviet Rifle Divisions in World War II, built from millions of declassified personnel files; (2) paired comparisons of Rifle Divisions at the Battle of Leningrad; and (3) cross-national data on 526 land battles and war outcomes from 75 conflicts (1939–2011) to assess generalizability. We offer three sets of empirical findings. First, coercion keeps some soldiers from fleeing the battlefield, but at the cost of higher casualties and reduced initiative. Second, wartime and prewar coercion (such as mass repression and officer purges) affect soldiers’ behavior in similar, mutually reinforcing ways. Third, the resolve-boosting, initiative-dampening effects of fratricidal coercion generalize across belligerents and wars. Fratricidal coercion generates compliance through fear, compelling soldiers with variable levels of resolve to conform to a uniform standard of battlefield behavior. But the net utility of this approach is dubious. On balance, countries employing fratricidal coercion are less likely to win wars.</w:t>
      </w:r>
    </w:p>
    <w:p/>
    <w:p>
      <w:r>
        <w:rPr>
          <w:rFonts w:ascii="Times New Roman" w:hAnsi="Times New Roman" w:eastAsia="宋体"/>
          <w:b/>
          <w:i w:val="0"/>
          <w:sz w:val="22"/>
        </w:rPr>
        <w:t>IO： Vol. 79, Special Issue 1, 2025</w:t>
      </w:r>
    </w:p>
    <w:p/>
    <w:p>
      <w:r>
        <w:rPr>
          <w:rFonts w:ascii="Times New Roman" w:hAnsi="Times New Roman" w:eastAsia="黑体"/>
          <w:b/>
          <w:i w:val="0"/>
          <w:sz w:val="24"/>
        </w:rPr>
        <w:t>全球治理与世界秩序的未来</w:t>
      </w:r>
    </w:p>
    <w:p>
      <w:r>
        <w:rPr>
          <w:rFonts w:ascii="Times New Roman" w:hAnsi="Times New Roman" w:eastAsia="宋体"/>
          <w:b w:val="0"/>
          <w:i/>
          <w:color w:val="404040"/>
          <w:sz w:val="20"/>
        </w:rPr>
        <w:t>The Future of Global Governance and World Order</w:t>
      </w:r>
    </w:p>
    <w:p>
      <w:r>
        <w:rPr>
          <w:rFonts w:ascii="Times New Roman" w:hAnsi="Times New Roman" w:eastAsia="宋体"/>
          <w:b w:val="0"/>
          <w:i w:val="0"/>
          <w:color w:val="595959"/>
          <w:sz w:val="18"/>
        </w:rPr>
        <w:t>Brett Ashley Leeds（Rice University）；Layna Mosley（Princeton University）；B. Peter Rosendorff（New York University）；Ayşe Zarakol（University of Cambridge）</w:t>
      </w:r>
    </w:p>
    <w:p>
      <w:r>
        <w:rPr>
          <w:rFonts w:ascii="Times New Roman" w:hAnsi="Times New Roman" w:eastAsia="宋体"/>
          <w:b w:val="0"/>
          <w:i w:val="0"/>
          <w:sz w:val="22"/>
        </w:rPr>
        <w:t>摘要：《国际组织》本期特刊由十五篇短文组成，探讨长期趋势（包括中国崛起、反全球化浪潮、民粹主义兴起、新技术出现、许多国家民主化放缓或逆转以及气候变化的生存威胁）与美国外交政策的近期发展将如何影响全球治理与世界秩序的未来。作者们考察了多个议题领域及跨领域趋势：有人预期重大变化，有人预测渐进变化，也有人预期大体延续。文集提出一个未来研究议程，聚焦长期趋势与即时冲击对地方、区域和全球均衡的影响。</w:t>
      </w:r>
    </w:p>
    <w:p>
      <w:r>
        <w:rPr>
          <w:rFonts w:ascii="Times New Roman" w:hAnsi="Times New Roman" w:eastAsia="宋体"/>
          <w:b w:val="0"/>
          <w:i w:val="0"/>
          <w:sz w:val="20"/>
        </w:rPr>
        <w:t>This special issue of International Organization is composed of fifteen short essays that consider how longer-term trends (including the rise of China, the anti-globalization backlash, the rise of populism, the emergence of new technologies, the slowing or reversal of democratization in many countries, and the existential threat of climate change), along with recent developments in US foreign policy, are likely to affect the future of global governance and world order. The contributors consider a variety of different issue areas, as well as cross-cutting trends. Some contributors anticipate significant change; others predict incremental change; and still others expect mostly continuity. The collection suggests a future research agenda focused on the impact of long-term trends and immediate shocks on local, regional, and global equilibria.</w:t>
      </w:r>
    </w:p>
    <w:p/>
    <w:p>
      <w:r>
        <w:rPr>
          <w:rFonts w:ascii="Times New Roman" w:hAnsi="Times New Roman" w:eastAsia="黑体"/>
          <w:b/>
          <w:i w:val="0"/>
          <w:sz w:val="24"/>
        </w:rPr>
        <w:t>更远地回到未来：新王权主义、特朗普政府与新兴国际体系</w:t>
      </w:r>
    </w:p>
    <w:p>
      <w:r>
        <w:rPr>
          <w:rFonts w:ascii="Times New Roman" w:hAnsi="Times New Roman" w:eastAsia="宋体"/>
          <w:b w:val="0"/>
          <w:i/>
          <w:color w:val="404040"/>
          <w:sz w:val="20"/>
        </w:rPr>
        <w:t>Further Back to the Future: Neo-Royalism, the Trump Administration, and the Emerging International System</w:t>
      </w:r>
    </w:p>
    <w:p>
      <w:r>
        <w:rPr>
          <w:rFonts w:ascii="Times New Roman" w:hAnsi="Times New Roman" w:eastAsia="宋体"/>
          <w:b w:val="0"/>
          <w:i w:val="0"/>
          <w:color w:val="595959"/>
          <w:sz w:val="18"/>
        </w:rPr>
        <w:t>Stacie E. Goddard（Wellesley College）；Abraham Newman（Georgetown University）</w:t>
      </w:r>
    </w:p>
    <w:p>
      <w:r>
        <w:rPr>
          <w:rFonts w:ascii="Times New Roman" w:hAnsi="Times New Roman" w:eastAsia="宋体"/>
          <w:b w:val="0"/>
          <w:i w:val="0"/>
          <w:sz w:val="22"/>
        </w:rPr>
        <w:t>摘要：随着自由国际秩序衰落，学者日益关注可能回归以主权诉求和国家间制衡为特征的威斯特伐利亚大国体系。然而特朗普政府的行为对这类解释提出了诸多重大谜题——美国似乎愿意与俄罗斯和中国等传统对手达成协议，却针对加拿大、丹麦等长期盟友；同时交易型政治常服务于狭隘的个人利益而非国家目标。简言之，聚焦国家与主权的威斯特伐利亚视角可能产生认知盲点，误读正在形成的国际秩序。为克服这些局限，作者提出“新王权主义”这一替代解释：新王权主义秩序以由少数超级精英——即“小圈子”——构建的国际体系为中心，这些小圈子通过诉诸自身例外性使其权威合法化，以基于汲取金融与文化贡赋建立持久的物质与地位等级。本文阐述新王权主义秩序的关键要素，将其与威斯特伐利亚秩序和自由国际秩序相区分，并用于理解特朗普领导下美国推动的新兴体系。</w:t>
      </w:r>
    </w:p>
    <w:p>
      <w:r>
        <w:rPr>
          <w:rFonts w:ascii="Times New Roman" w:hAnsi="Times New Roman" w:eastAsia="宋体"/>
          <w:b w:val="0"/>
          <w:i w:val="0"/>
          <w:sz w:val="20"/>
        </w:rPr>
        <w:t>With the Liberal International Order (LIO) in decline, scholars have focused increasingly on the possible return to a Westphalian great power system marked by sovereigntist claims and balancing among states. The actions of the Trump administration, however, raise a number of significant puzzles for such accounts—the US seems willing to sign deals with traditional adversaries including Russia and China, while targeting long-standing allies like Canada and Denmark. At the same time, transactional politics often serve narrow personalist interests rather than national objectives. In short, a Westphalian lens focused on states and sovereignty may generate intellectual blinders that misreads the emerging international order. To overcome these limitations, we propose an alternative account, which we label neo-royalism. The neo-royalist order centers on an international system structured by a small group of hyper elites, which we term cliques. Such cliques seek to legitimize their authority through appeals to their exceptionalism in order to generate durable material and status hierarchies based on the extraction of financial and cultural tributes. This short paper lays out the key elements of the neo-royalist order, differentiating it from the Westphalian and Liberal International Orders, and applies its insights to better grapple with the emerging system being promoted by the United States under Donald J. Trump. For policymakers and scholars, the neo-royalist approach clarifies recent events in US foreign policy. Theoretically, the field should take contending ideas of international order seriously, and establish a research agenda beyond a backward looking view to the Westphalian moment.</w:t>
      </w:r>
    </w:p>
    <w:p/>
    <w:p>
      <w:r>
        <w:rPr>
          <w:rFonts w:ascii="Times New Roman" w:hAnsi="Times New Roman" w:eastAsia="黑体"/>
          <w:b/>
          <w:i w:val="0"/>
          <w:sz w:val="24"/>
        </w:rPr>
        <w:t>信息失序与全球政治</w:t>
      </w:r>
    </w:p>
    <w:p>
      <w:r>
        <w:rPr>
          <w:rFonts w:ascii="Times New Roman" w:hAnsi="Times New Roman" w:eastAsia="宋体"/>
          <w:b w:val="0"/>
          <w:i/>
          <w:color w:val="404040"/>
          <w:sz w:val="20"/>
        </w:rPr>
        <w:t>Information Disorder and Global Politics</w:t>
      </w:r>
    </w:p>
    <w:p>
      <w:r>
        <w:rPr>
          <w:rFonts w:ascii="Times New Roman" w:hAnsi="Times New Roman" w:eastAsia="宋体"/>
          <w:b w:val="0"/>
          <w:i w:val="0"/>
          <w:color w:val="595959"/>
          <w:sz w:val="18"/>
        </w:rPr>
        <w:t>Julia C. Morse（University of California, Santa Barbara）；Tyler Pratt（University of North Carolina）</w:t>
      </w:r>
    </w:p>
    <w:p>
      <w:r>
        <w:rPr>
          <w:rFonts w:ascii="Times New Roman" w:hAnsi="Times New Roman" w:eastAsia="宋体"/>
          <w:b w:val="0"/>
          <w:i w:val="0"/>
          <w:sz w:val="22"/>
        </w:rPr>
        <w:t>摘要：信息是国际关系的关键变量，支撑着外交政策、国家间合作以及国内与国际冲突理论，但国际关系学者才刚开始应对全球信息环境近期变化的后果。作者认为，“信息失序”——内容生产门槛低、虚假或误导材料快速传播、算法放大耸动与碎片化叙事的媒体环境——将重塑国际关系的实践与研究。信息失序对国际政治有三大影响：第一，扭曲公民获取和评估政治信息的方式，对民主国家尤具破坏性；第二，侵蚀共享焦点并增加不遵约激励，从而损害国际合作；第三，加剧社会分裂、便利外国影响、削弱民主国家在危机谈判中的优势，从而改变冲突模式。最后作者提出未来研究议程。</w:t>
      </w:r>
    </w:p>
    <w:p>
      <w:r>
        <w:rPr>
          <w:rFonts w:ascii="Times New Roman" w:hAnsi="Times New Roman" w:eastAsia="宋体"/>
          <w:b w:val="0"/>
          <w:i w:val="0"/>
          <w:sz w:val="20"/>
        </w:rPr>
        <w:t>Information is a key variable in International Relations, underpinning theories of foreign policy, inter-state cooperation, and civil and international conflict. Yet IR scholars have only begun to grapple with the consequences of recent shifts in the global information environment. We argue that information disorder —a media environment with low barriers to content creation, rapid spread of false or misleading material, and algorithmic amplification of sensational and fragmented narratives—will reshape the practice and study of International Relations. We identify three major implications of information disorder on international politics. First, information disorder distorts how citizens access and evaluate political information, creating effects that are particularly destabilizing for democracies. Second, it damages international cooperation by eroding shared focal points and increasing incentives for noncompliance. Finally, information disorder shifts patterns of conflict by intensifying societal cleavages, enabling foreign influence, and eroding democratic advantages in crisis bargaining. We conclude by outlining an agenda for future research.</w:t>
      </w:r>
    </w:p>
    <w:p/>
    <w:p>
      <w:r>
        <w:rPr>
          <w:rFonts w:ascii="Times New Roman" w:hAnsi="Times New Roman" w:eastAsia="黑体"/>
          <w:b/>
          <w:i w:val="0"/>
          <w:sz w:val="24"/>
        </w:rPr>
        <w:t>新神话时代：政治叙事与世界秩序的重构</w:t>
      </w:r>
    </w:p>
    <w:p>
      <w:r>
        <w:rPr>
          <w:rFonts w:ascii="Times New Roman" w:hAnsi="Times New Roman" w:eastAsia="宋体"/>
          <w:b w:val="0"/>
          <w:i/>
          <w:color w:val="404040"/>
          <w:sz w:val="20"/>
        </w:rPr>
        <w:t>The New Age of Myth: Political Narratives and the Reconstitution of World Order</w:t>
      </w:r>
    </w:p>
    <w:p>
      <w:r>
        <w:rPr>
          <w:rFonts w:ascii="Times New Roman" w:hAnsi="Times New Roman" w:eastAsia="宋体"/>
          <w:b w:val="0"/>
          <w:i w:val="0"/>
          <w:color w:val="595959"/>
          <w:sz w:val="18"/>
        </w:rPr>
        <w:t>C. Nicolai L. Gellwitzki（University of York）；Jeremy F.G. Moulton（University of York）</w:t>
      </w:r>
    </w:p>
    <w:p>
      <w:r>
        <w:rPr>
          <w:rFonts w:ascii="Times New Roman" w:hAnsi="Times New Roman" w:eastAsia="宋体"/>
          <w:b w:val="0"/>
          <w:i w:val="0"/>
          <w:sz w:val="22"/>
        </w:rPr>
        <w:t>摘要：政治神话——使权力合法化的神圣叙事——是所有政治共同体与组织的核心。二战后围绕世界秩序形成了清晰的神话，将民主、秩序与和平置于全球治理的理想核心。如今国际秩序已明显改变，先前占主导的神话常受质疑，建立其上的国际秩序开始碎片化。传统上神话随制度而变，但在2020年代这一独特拐点，情况不再如此——神话崩塌而其支撑的制度仍存，形成真空，新的神话必须在作者所称的“新神话时代”中涌现。作者认为全球秩序在其治理神话方面正处过渡时刻，这一时代诞生的神话将支撑未来数十年塑造国际秩序轨迹的制度、观念与意识形态，因此政治神话研究应成为未来国际关系研究的核心。</w:t>
      </w:r>
    </w:p>
    <w:p>
      <w:r>
        <w:rPr>
          <w:rFonts w:ascii="Times New Roman" w:hAnsi="Times New Roman" w:eastAsia="宋体"/>
          <w:b w:val="0"/>
          <w:i w:val="0"/>
          <w:sz w:val="20"/>
        </w:rPr>
        <w:t>Political myths, the sacred narratives that legitimize power, are at the core of all political communities and organizations. In the post–World War II era, clear myths emerged around the ordering of the world, placing democracy, order, and peace at the idealized heart of global governance. Today, the international order is markedly changed. Previously dominant myths are routinely questioned and the international order that was built on these myths is beginning to fragment. Myths traditionally change with institutions. At this unique inflection point in the 2020s, however, this is no longer the case—myths crumble while the institutions they once supported persist, creating a vacuum in which novel myths must emerge in what we refer to as the new age of myth. We argue that the global order is in a transitional moment in terms of its governing mythologies. The myths that are born out of this age will underline the institutions, ideas, and ideologies that will shape the trajectory of the international order in the coming decades. In this essay we therefore argue that the study of political myths should be central to future approaches to international relations. Such an emphasis not only provides insight into the pathways of international cooperation and politics that may emerge from the contemporary shattering of the global political order, but also highlights how these sacred narratives will shape its future trajectory.</w:t>
      </w:r>
    </w:p>
    <w:p/>
    <w:p>
      <w:r>
        <w:rPr>
          <w:rFonts w:ascii="Times New Roman" w:hAnsi="Times New Roman" w:eastAsia="黑体"/>
          <w:b/>
          <w:i w:val="0"/>
          <w:sz w:val="24"/>
        </w:rPr>
        <w:t>数字解体：人工智能时代的技术集团与战略主权</w:t>
      </w:r>
    </w:p>
    <w:p>
      <w:r>
        <w:rPr>
          <w:rFonts w:ascii="Times New Roman" w:hAnsi="Times New Roman" w:eastAsia="宋体"/>
          <w:b w:val="0"/>
          <w:i/>
          <w:color w:val="404040"/>
          <w:sz w:val="20"/>
        </w:rPr>
        <w:t>Digital Disintegration: Techno-Blocs and Strategic Sovereignty in the AI Era</w:t>
      </w:r>
    </w:p>
    <w:p>
      <w:r>
        <w:rPr>
          <w:rFonts w:ascii="Times New Roman" w:hAnsi="Times New Roman" w:eastAsia="宋体"/>
          <w:b w:val="0"/>
          <w:i w:val="0"/>
          <w:color w:val="595959"/>
          <w:sz w:val="18"/>
        </w:rPr>
        <w:t>Stephen Weymouth（Georgetown University）</w:t>
      </w:r>
    </w:p>
    <w:p>
      <w:r>
        <w:rPr>
          <w:rFonts w:ascii="Times New Roman" w:hAnsi="Times New Roman" w:eastAsia="宋体"/>
          <w:b w:val="0"/>
          <w:i w:val="0"/>
          <w:sz w:val="22"/>
        </w:rPr>
        <w:t>摘要：各国正在重塑全球数字经济，以主张对人工智能价值链的控制。它们在多边机构之外采取诸如先进半导体出口管制、基础设施伙伴关系、禁止外国数字平台等措施。这种“数字解体”反映了以精英为中心对私营企业掌控关键AI投入所拥有的基础设施权力的回应：少数公司超越国内监管与多边监督，控制着造成现有制度难以遏制之脆弱性的技术。因此，国家主张“战略性数字主权”——对核心数字基础设施行使权威，常通过与企业及其他政府的选择性联盟实现。结果是一种在“技术集团”中的新兴AI治理形式：协调控制关键投入并排斥他者的联盟。这些安排以竞争性集团内战略性的、往往是非自由主义的结盟取代多边合作，从而挑战自由国际秩序。</w:t>
      </w:r>
    </w:p>
    <w:p>
      <w:r>
        <w:rPr>
          <w:rFonts w:ascii="Times New Roman" w:hAnsi="Times New Roman" w:eastAsia="宋体"/>
          <w:b w:val="0"/>
          <w:i w:val="0"/>
          <w:sz w:val="20"/>
        </w:rPr>
        <w:t>States are reshaping the global digital economy to assert control over the artificial intelligence (AI) value chain. Operating outside multilateral institutions, they pursue measures such as export controls on advanced semiconductors, infrastructure partnerships, and bans on foreign digital platforms. This digital disintegration reflects an elite-centered response to the infrastructural power that private firms wield over critical AI inputs. A handful of companies operate beyond the reach of domestic regulation and multilateral oversight, controlling access to technologies that create vulnerabilities existing institutions struggle to contain. As a result, states have asserted strategic digital sovereignty: the exercise of authority over core digital infrastructure, often through selective alliances with firms and other governments. The outcome is an emergent form of AI governance in techno-blocs: coalitions that coordinate control over key inputs while excluding others. These arrangements challenge the liberal international order by replacing multilateral cooperation with strategic—and often illiberal—alignment within competing blocs.</w:t>
      </w:r>
    </w:p>
    <w:p/>
    <w:p>
      <w:r>
        <w:rPr>
          <w:rFonts w:ascii="Times New Roman" w:hAnsi="Times New Roman" w:eastAsia="黑体"/>
          <w:b/>
          <w:i w:val="0"/>
          <w:sz w:val="24"/>
        </w:rPr>
        <w:t>不受约束的世界秩序未来：对民主约束的冲击及其对美国全球领导地位的影响</w:t>
      </w:r>
    </w:p>
    <w:p>
      <w:r>
        <w:rPr>
          <w:rFonts w:ascii="Times New Roman" w:hAnsi="Times New Roman" w:eastAsia="宋体"/>
          <w:b w:val="0"/>
          <w:i/>
          <w:color w:val="404040"/>
          <w:sz w:val="20"/>
        </w:rPr>
        <w:t>The Unconstrained Future of World Order: The Assault on Democratic Constraint and Implications for US Global Leadership</w:t>
      </w:r>
    </w:p>
    <w:p>
      <w:r>
        <w:rPr>
          <w:rFonts w:ascii="Times New Roman" w:hAnsi="Times New Roman" w:eastAsia="宋体"/>
          <w:b w:val="0"/>
          <w:i w:val="0"/>
          <w:color w:val="595959"/>
          <w:sz w:val="18"/>
        </w:rPr>
        <w:t>Susan D. Hyde（University of California）；Elizabeth N. Saunders（Columbia University）</w:t>
      </w:r>
    </w:p>
    <w:p>
      <w:r>
        <w:rPr>
          <w:rFonts w:ascii="Times New Roman" w:hAnsi="Times New Roman" w:eastAsia="宋体"/>
          <w:b w:val="0"/>
          <w:i w:val="0"/>
          <w:sz w:val="22"/>
        </w:rPr>
        <w:t>摘要：任何关于国际秩序与全球治理未来的理论预测都必须考虑美国的实力与意图。作者认为，许多民主国家尤其是美国国内受众约束性质的根本变化，削弱了美国继续充当国际秩序与全球治理担保人的意愿与能力。不受国内约束的美国政府将难以建立广泛联盟解决国内外问题，因为它投资公共物品（包括国防、科技与未来经济繁荣）的激励下降、腐败障碍降低从而损害美国能力的质量与信任、国家能力（包括为战争及其他长期国际承诺融资的能力）下降。三种趋势尤其重塑了国内受众约束：信息碎片化、极端极化、以及便利行政权集中的全球威胁环境。它们降低了领导人逃避国内受众约束的成本与风险，削弱了赋予民主国家国际体系优势的制度与问责机制。一个不受约束的美国很可能意味着合作更少、可预测性更低的全球秩序。</w:t>
      </w:r>
    </w:p>
    <w:p>
      <w:r>
        <w:rPr>
          <w:rFonts w:ascii="Times New Roman" w:hAnsi="Times New Roman" w:eastAsia="宋体"/>
          <w:b w:val="0"/>
          <w:i w:val="0"/>
          <w:sz w:val="20"/>
        </w:rPr>
        <w:t>Any theoretically informed predictions about the future of international order and global governance must reckon with the power and intentions of the United States. We argue that fundamental changes in the nature of domestic audience constraint within many democracies, and the United States in particular, undermine both the willingness and the capability of the United States to continue its role as the underwriter of international order and global governance. A US government unbound by domestic constraint will have difficulty building broad coalitions to solve national and international problems because it will have reduced incentives to invest in public goods, including national defense, science and technology, and future economic prosperity; reduced barriers to corruption that undermines the quality of and trust in US capabilities; and reduced state capacity, including the capacity to finance wars and other long-term international commitments. We argue that three trends were especially relevant in reshaping domestic audience constraint: information fragmentation, extreme polarization, and a global threat environment that facilitated executive power concentration. Together they reduce the costs and risks for leaders to escape domestic audience constraints, weakening the institutional and accountability mechanisms that give democracies advantages in the international system. Though these trends affect many democracies, the undermining of US domestic constraint is particularly consequential because the United States shaped and buttressed the current system. An unconstrained United States likely means a less cooperative and less predictable global order, irrevocably altering the post-1945 system.</w:t>
      </w:r>
    </w:p>
    <w:p/>
    <w:p>
      <w:r>
        <w:rPr>
          <w:rFonts w:ascii="Times New Roman" w:hAnsi="Times New Roman" w:eastAsia="黑体"/>
          <w:b/>
          <w:i w:val="0"/>
          <w:sz w:val="24"/>
        </w:rPr>
        <w:t>特朗普重返后的全球气候政治</w:t>
      </w:r>
    </w:p>
    <w:p>
      <w:r>
        <w:rPr>
          <w:rFonts w:ascii="Times New Roman" w:hAnsi="Times New Roman" w:eastAsia="宋体"/>
          <w:b w:val="0"/>
          <w:i/>
          <w:color w:val="404040"/>
          <w:sz w:val="20"/>
        </w:rPr>
        <w:t>Global Climate Politics after the Return of President Trump</w:t>
      </w:r>
    </w:p>
    <w:p>
      <w:r>
        <w:rPr>
          <w:rFonts w:ascii="Times New Roman" w:hAnsi="Times New Roman" w:eastAsia="宋体"/>
          <w:b w:val="0"/>
          <w:i w:val="0"/>
          <w:color w:val="595959"/>
          <w:sz w:val="18"/>
        </w:rPr>
        <w:t>Jeff Colgan（Brown University）；Federica Genovese（University of Oxford）</w:t>
      </w:r>
    </w:p>
    <w:p>
      <w:r>
        <w:rPr>
          <w:rFonts w:ascii="Times New Roman" w:hAnsi="Times New Roman" w:eastAsia="宋体"/>
          <w:b w:val="0"/>
          <w:i w:val="0"/>
          <w:sz w:val="22"/>
        </w:rPr>
        <w:t>摘要：第二届特朗普政府扰乱了全球气候政治，使美国背离拜登政府的清洁能源与环境政策。因此美国内外的分析注意力转向一组被称为“气候现实主义”的概念，它偏好长期的技术与适应投资而非近期减缓努力。作者批判性地讨论气候现实主义，认为政治学揭示了气候政治的四个关键特征，可阐明气候现实主义的优缺点，且这些特征在特朗普第二任期内依然存在。尽管气候现实主义有缺陷，其作为对特朗普第二任期反应的出现凸显了值得更多关注的气候政治维度。作者提出三个研究议题：反绿色联盟的政治与实践策略；可行国家经济战略的异质性；以及大国背离实质性减缓对国际关系的含义。</w:t>
      </w:r>
    </w:p>
    <w:p>
      <w:r>
        <w:rPr>
          <w:rFonts w:ascii="Times New Roman" w:hAnsi="Times New Roman" w:eastAsia="宋体"/>
          <w:b w:val="0"/>
          <w:i w:val="0"/>
          <w:sz w:val="20"/>
        </w:rPr>
        <w:t>The second Trump administration has disrupted global climate politics, turning the United States away from the clean energy and environmental policies of the Biden administration. Consequently, analytical attention is turning, inside and outside of the United States, to a family of concepts referred to as “Climate Realism” (CR), which favors long-run investments in technology and adaptation over near-term climate mitigation efforts. We critically engage with CR and argue that political science identifies four key features of climate politics that shed light on CR’s strengths and weaknesses, and which will persist even in the second Trump era. Despite CR’s flaws, we contend that its emergence in reaction to the second Trump administration highlights some important dimensions of climate politics that deserve greater attention going forward. We highlight three topics for research: the political and practical strategies of the anti-green coalition; the heterogeneity in viable national economic strategies; and the implications for IR of a turn away from meaningful climate mitigation in powerful nations.</w:t>
      </w:r>
    </w:p>
    <w:p/>
    <w:p>
      <w:r>
        <w:rPr>
          <w:rFonts w:ascii="Times New Roman" w:hAnsi="Times New Roman" w:eastAsia="黑体"/>
          <w:b/>
          <w:i w:val="0"/>
          <w:sz w:val="24"/>
        </w:rPr>
        <w:t>盟友与准入：美国转身背离联盟的影响</w:t>
      </w:r>
    </w:p>
    <w:p>
      <w:r>
        <w:rPr>
          <w:rFonts w:ascii="Times New Roman" w:hAnsi="Times New Roman" w:eastAsia="宋体"/>
          <w:b w:val="0"/>
          <w:i/>
          <w:color w:val="404040"/>
          <w:sz w:val="20"/>
        </w:rPr>
        <w:t>Allies and Access: Implications of an American Turn Away from Alliances</w:t>
      </w:r>
    </w:p>
    <w:p>
      <w:r>
        <w:rPr>
          <w:rFonts w:ascii="Times New Roman" w:hAnsi="Times New Roman" w:eastAsia="宋体"/>
          <w:b w:val="0"/>
          <w:i w:val="0"/>
          <w:color w:val="595959"/>
          <w:sz w:val="18"/>
        </w:rPr>
        <w:t>Austin Carson（University of Chicago）；Rachel Metz（George Washington University）；Paul Poast（University of Chicago）</w:t>
      </w:r>
    </w:p>
    <w:p>
      <w:r>
        <w:rPr>
          <w:rFonts w:ascii="Times New Roman" w:hAnsi="Times New Roman" w:eastAsia="宋体"/>
          <w:b w:val="0"/>
          <w:i w:val="0"/>
          <w:sz w:val="22"/>
        </w:rPr>
        <w:t>摘要：1945年后国际体系的一个决定性特征是支撑美国全球权力的盟友与伙伴网络，而美国国内与国际体系的近期发展已使这一网络承受严重压力。若其瓦解，什么会面临风险？现有国际关系研究强调军事能力聚合、外交支持和贸易方面的损失。作者回顾这些收益并指出被忽视的另一种：盟友赋予的准入，即盟友和伙伴允许在其领土、领空或领海内开展军事与情报任务。经由盟友与安全伙伴的准入使华盛顿能够利用外国主权空间开展军事后勤、军事行动和对外监视，以克服距离的制约。例如9·11后中东盟友允许美国空军从其基地出发打击阿富汗与伊拉克目标，冷战期间在巴基斯坦、土耳其和日本领土上建设运营的美国情报设施。作者认为，评估美国背离联盟所涉利害时，必须计入盟友与安全伙伴提供的准入贡献。</w:t>
      </w:r>
    </w:p>
    <w:p>
      <w:r>
        <w:rPr>
          <w:rFonts w:ascii="Times New Roman" w:hAnsi="Times New Roman" w:eastAsia="宋体"/>
          <w:b w:val="0"/>
          <w:i w:val="0"/>
          <w:sz w:val="20"/>
        </w:rPr>
        <w:t>A defining feature of the post-1945 international system is the American network of allies and partners that has underpinned its global power. Recent developments within the United States and in the international system have severely strained that alliance network. If it collapses, what is at stake? Existing scholarship in International Relations highlights losses in aggregated military capabilities, reduced diplomatic support, and lost trade. In this essay we review these benefits and another that has been overlooked: ally-enabled access. Access refers to permission from allies and partners to engage in military and intelligence missions within their borders on their territory, through their airspace, or in their territorial waters. Access via America’s allies and security partners has enabled Washington to use foreign sovereign spaces for military logistics, military operations, and foreign surveillance to overcome the tyranny of distance. Examples include permission from allies and partners in the Middle East to allow the US Air Force to fly from their bases to strike targets in Afghanistan and Iraq after 9/11, and US intelligence installations built and operated by permission from Pakistani, Turkish, and Japanese territory during the Cold War. We describe the broad functions of alliances and show how access has been key to projection of American military and intelligence power at a global scale. Perhaps limiting or ending America’s global hegemonic role is desirable; perhaps it is dangerous. We argue that accounting for the contributions of access made by allies and security partners is critical if scholars, policymakers, and publics are to properly assess what is at stake in an American turn away from alliances.</w:t>
      </w:r>
    </w:p>
    <w:p/>
    <w:p>
      <w:r>
        <w:rPr>
          <w:rFonts w:ascii="Times New Roman" w:hAnsi="Times New Roman" w:eastAsia="黑体"/>
          <w:b/>
          <w:i w:val="0"/>
          <w:sz w:val="24"/>
        </w:rPr>
        <w:t>美元式微：特朗普治下美国金融霸权的瓦解</w:t>
      </w:r>
    </w:p>
    <w:p>
      <w:r>
        <w:rPr>
          <w:rFonts w:ascii="Times New Roman" w:hAnsi="Times New Roman" w:eastAsia="宋体"/>
          <w:b w:val="0"/>
          <w:i/>
          <w:color w:val="404040"/>
          <w:sz w:val="20"/>
        </w:rPr>
        <w:t>Dollar Diminished: The Unmaking of US Financial Hegemony Under Trump</w:t>
      </w:r>
    </w:p>
    <w:p>
      <w:r>
        <w:rPr>
          <w:rFonts w:ascii="Times New Roman" w:hAnsi="Times New Roman" w:eastAsia="宋体"/>
          <w:b w:val="0"/>
          <w:i w:val="0"/>
          <w:color w:val="595959"/>
          <w:sz w:val="18"/>
        </w:rPr>
        <w:t>Tobias Pforr（European University Institute）；Fabian Pape（University of Edinburgh）；Johannes Petry（Goethe University Frankfurt）</w:t>
      </w:r>
    </w:p>
    <w:p>
      <w:r>
        <w:rPr>
          <w:rFonts w:ascii="Times New Roman" w:hAnsi="Times New Roman" w:eastAsia="宋体"/>
          <w:b w:val="0"/>
          <w:i w:val="0"/>
          <w:sz w:val="22"/>
        </w:rPr>
        <w:t>摘要：第二届特朗普政府的行动严重威胁美元主导地位。反复无常的美国政策侵蚀全球对美国的信任，迫使国家与私人行为体重新考虑对美元的依赖。这体现在美元主导的三个维度：贸易与支付、储备货币与安全资产、全球投资与融资货币。与以往对金融霸权衰落的预测不同，当前美元的全球角色在三个维度上同时受到挑战。全球金融危机后，对美国金融权力尤其是金融制裁的不安已在体系边缘造成裂缝并促使寻求替代，引发储备部分多元化以及贸易与支付体系的去美元化。特朗普治下，对全球经济秩序的破坏、不断扩大的财政赤字以及对行政国家制度基础的持续攻击，正从根本上削弱美元全球角色所依赖的对美信任。但现有网络效应减缓了这一进程，尚无替代品能取代美元。结果是一个金融空位期：崛起国寻求自主与影响力而不承担霸权责任，导致更碎片化、多极化的金融秩序。</w:t>
      </w:r>
    </w:p>
    <w:p>
      <w:r>
        <w:rPr>
          <w:rFonts w:ascii="Times New Roman" w:hAnsi="Times New Roman" w:eastAsia="宋体"/>
          <w:b w:val="0"/>
          <w:i w:val="0"/>
          <w:sz w:val="20"/>
        </w:rPr>
        <w:t>The actions of the second Trump administration pose a serious threat to the dominance of the US dollar. Erratic US policies erode global trust in the United States and force states and private actors alike to reconsider their reliance on the dollar. This is reflected across three dimensions of dollar dominance: in trade and payments, as reserve currency and safe asset, and as global investment and funding currency. What distinguishes the current moment from previous predictions of a decline of financial hegemony is that the dollar’s global role is now challenged across all three dimensions simultaneously. Following the Global Financial Crisis, growing uneasiness with US financial power, especially the use of financial sanctions, already created cracks at the margins of the system and prompted a search for alternatives, triggering partial reserve diversification and de-dollarization of trade and payments systems. Under Trump, the undermining of the global economic order, growing fiscal deficits, and continued attacks on the institutional foundations of the administrative state are fundamentally undermining trust in the United States that is fundamental for the dollar’s global role. This signals a rupture in the US-centric global financial system, altering the foundations of the rules-based liberal international order (LIO). However, existing network effects slow down this process and no alternative can yet replace the dollar. The result is a financial interregnum where rising powers seek autonomy and influence without assuming hegemonic responsibility, leading to a more fragmented, multipolar financial order.</w:t>
      </w:r>
    </w:p>
    <w:p/>
    <w:p>
      <w:r>
        <w:rPr>
          <w:rFonts w:ascii="Times New Roman" w:hAnsi="Times New Roman" w:eastAsia="黑体"/>
          <w:b/>
          <w:i w:val="0"/>
          <w:sz w:val="24"/>
        </w:rPr>
        <w:t>脱钩困境：美国制裁如何侵蚀全球经济治理</w:t>
      </w:r>
    </w:p>
    <w:p>
      <w:r>
        <w:rPr>
          <w:rFonts w:ascii="Times New Roman" w:hAnsi="Times New Roman" w:eastAsia="宋体"/>
          <w:b w:val="0"/>
          <w:i/>
          <w:color w:val="404040"/>
          <w:sz w:val="20"/>
        </w:rPr>
        <w:t>The Decoupling Dilemma: How US Sanctions Erode Global Economic Governance</w:t>
      </w:r>
    </w:p>
    <w:p>
      <w:r>
        <w:rPr>
          <w:rFonts w:ascii="Times New Roman" w:hAnsi="Times New Roman" w:eastAsia="宋体"/>
          <w:b w:val="0"/>
          <w:i w:val="0"/>
          <w:color w:val="595959"/>
          <w:sz w:val="18"/>
        </w:rPr>
        <w:t>Dongan Tan（Texas Tech University）</w:t>
      </w:r>
    </w:p>
    <w:p>
      <w:r>
        <w:rPr>
          <w:rFonts w:ascii="Times New Roman" w:hAnsi="Times New Roman" w:eastAsia="宋体"/>
          <w:b w:val="0"/>
          <w:i w:val="0"/>
          <w:sz w:val="22"/>
        </w:rPr>
        <w:t>摘要：本文认为，美国大规模使用金融制裁——利用美元清算咽喉点与全球网络——反常地加速了自由经济秩序遭侵蚀的压力。随着制裁扩散，目标国从短期规避转向建设替代性基础设施，如中国人民币跨境支付系统（CIPS）、金砖金融机制、央行数字货币和易货贸易，从而促成与美国主导体系的治理脱钩。借鉴结构性权力与制度主义见解，作者表明制裁催生了平行经济生态系统，使金融架构碎片化，并在长期中削弱美国杠杆与美元中心地位——尽管美元仍占主导。作者强调转换成本的异质性：近期变化集中于“管道”（报文、清算、法律管辖）而非核心储备功能；并勾勒两种可能的未来——对立的两极集团与多元共存——呼吁学者与决策者根据制裁的长期制度遗产重新思考强制性经济方略。</w:t>
      </w:r>
    </w:p>
    <w:p>
      <w:r>
        <w:rPr>
          <w:rFonts w:ascii="Times New Roman" w:hAnsi="Times New Roman" w:eastAsia="宋体"/>
          <w:b w:val="0"/>
          <w:i w:val="0"/>
          <w:sz w:val="20"/>
        </w:rPr>
        <w:t>This essay argues that the United States’ expansive use of financial sanctions—leveraging dollar-clearing chokepoints and global networks—has paradoxically accelerated pressures toward the erosion of the liberal economic order. As sanctions proliferate, targets move from short-term evasion to building alternative infrastructures, such as China’s RMB settlement system (CIPS), BRICS financial mechanisms, central bank digital currencies (CBDCs), and barter-based trade, thereby fostering governance decoupling from US-led systems. Drawing on structural power and institutionalist insights, I show how sanctions catalyze parallel economic ecosystems that fragment the financial architecture and, over time, erode US leverage and dollar centrality—even as the dollar remains dominant. I emphasize heterogeneous switching costs, with near-term change concentrated in the “plumbing” (messaging, clearing, legal venue) rather than in core reserve functions, and sketch two possible futures-bifurcated rival blocs versus pluralistic coexistence—calling on scholars and policymakers to rethink coercive statecraft in light of sanctions’ long-term institutional legacies.</w:t>
      </w:r>
    </w:p>
    <w:p/>
    <w:p>
      <w:r>
        <w:rPr>
          <w:rFonts w:ascii="Times New Roman" w:hAnsi="Times New Roman" w:eastAsia="黑体"/>
          <w:b/>
          <w:i w:val="0"/>
          <w:sz w:val="24"/>
        </w:rPr>
        <w:t>碎片化世界中联合国维和行动的未来</w:t>
      </w:r>
    </w:p>
    <w:p>
      <w:r>
        <w:rPr>
          <w:rFonts w:ascii="Times New Roman" w:hAnsi="Times New Roman" w:eastAsia="宋体"/>
          <w:b w:val="0"/>
          <w:i/>
          <w:color w:val="404040"/>
          <w:sz w:val="20"/>
        </w:rPr>
        <w:t>The Future of United Nations Peacekeeping in a Fragmenting World</w:t>
      </w:r>
    </w:p>
    <w:p>
      <w:r>
        <w:rPr>
          <w:rFonts w:ascii="Times New Roman" w:hAnsi="Times New Roman" w:eastAsia="宋体"/>
          <w:b w:val="0"/>
          <w:i w:val="0"/>
          <w:color w:val="595959"/>
          <w:sz w:val="18"/>
        </w:rPr>
        <w:t>Bryce W. Reeder（University of Missouri）</w:t>
      </w:r>
    </w:p>
    <w:p>
      <w:r>
        <w:rPr>
          <w:rFonts w:ascii="Times New Roman" w:hAnsi="Times New Roman" w:eastAsia="宋体"/>
          <w:b w:val="0"/>
          <w:i w:val="0"/>
          <w:sz w:val="22"/>
        </w:rPr>
        <w:t>摘要：联合国维和正从冷战后的自由主义模式向更注重主权的路径漂移。本文认为这一变化并非正式或教义上的，而是通过制度漂移和规范再诠释出现，其驱动力包括美国加速收缩、中俄影响力上升、东道国更加强势以及联合国内部适应。借鉴规范动态、官僚文化理论和维和任务实践的实证研究，分析表明民主化和人权等自由主义原则日益被边缘化，取而代之的是冲突遏制和对东道国的支持。文章最后勾勒维和的四种可能未来：逐步漂移至稳定化、规范碎片化与区域化、自由主义的局部重申、以及正式的规范重新界定。这些情景表明维和正在进入后自由主义时代，其标志不是崩溃，而是在变动世界秩序中的有争议的适应。</w:t>
      </w:r>
    </w:p>
    <w:p>
      <w:r>
        <w:rPr>
          <w:rFonts w:ascii="Times New Roman" w:hAnsi="Times New Roman" w:eastAsia="宋体"/>
          <w:b w:val="0"/>
          <w:i w:val="0"/>
          <w:sz w:val="20"/>
        </w:rPr>
        <w:t>United Nations peacekeeping is drifting from its post–Cold War liberal model toward a more sovereignty-focused approach. This essay posits that the change is not formal or doctrinal, but instead emerges through institutional drift and norm reinterpretation, driven by accelerated US retrenchment, China and Russia’s growing influence, host-state assertiveness, and internal United Nations adaptation. Drawing on theories of norm dynamics, bureaucratic culture, and empirical studies of peacekeeping mission practice, the analysis shows how liberal principles, such as democratization and human rights, are increasingly sidelined in favor of conflict containment and host-state support. The essay concludes by outlining four potential futures for peacekeeping: gradual drift into stabilization, normative fragmentation and regionalization, niche reaffirmation of liberalism, and formal norm redefinition. Together, these scenarios suggest peacekeeping is entering a postliberal era, marked not by collapse, but by contested adaptation within a shifting world order.</w:t>
      </w:r>
    </w:p>
    <w:p/>
    <w:p>
      <w:r>
        <w:rPr>
          <w:rFonts w:ascii="Times New Roman" w:hAnsi="Times New Roman" w:eastAsia="黑体"/>
          <w:b/>
          <w:i w:val="0"/>
          <w:sz w:val="24"/>
        </w:rPr>
        <w:t>威权主义、全球政治与人权的未来</w:t>
      </w:r>
    </w:p>
    <w:p>
      <w:r>
        <w:rPr>
          <w:rFonts w:ascii="Times New Roman" w:hAnsi="Times New Roman" w:eastAsia="宋体"/>
          <w:b w:val="0"/>
          <w:i/>
          <w:color w:val="404040"/>
          <w:sz w:val="20"/>
        </w:rPr>
        <w:t>Authoritarianism, Global Politics, and the Future of Human Rights</w:t>
      </w:r>
    </w:p>
    <w:p>
      <w:r>
        <w:rPr>
          <w:rFonts w:ascii="Times New Roman" w:hAnsi="Times New Roman" w:eastAsia="宋体"/>
          <w:b w:val="0"/>
          <w:i w:val="0"/>
          <w:color w:val="595959"/>
          <w:sz w:val="18"/>
        </w:rPr>
        <w:t>Rebecca Cordell（University of Pittsburgh）；Alex Dukalskis（University College Dublin）</w:t>
      </w:r>
    </w:p>
    <w:p>
      <w:r>
        <w:rPr>
          <w:rFonts w:ascii="Times New Roman" w:hAnsi="Times New Roman" w:eastAsia="宋体"/>
          <w:b w:val="0"/>
          <w:i w:val="0"/>
          <w:sz w:val="22"/>
        </w:rPr>
        <w:t>摘要：1990年代和2000年代，学者强调国际人权的变革力量和自由主义全球治理的持久性，如今这种乐观已消退。人权规范面临更严峻的限制、制度被削弱、权威受到挑战。作者认为，威权力量上升——由更多国家专制化、大国实力增强以及一个胆子更大的集团内部协调所驱动——对全球人权体系构成重大挑战，而美国退出人权领导地位正在加速这一威胁。威权政权不再只是抵制压力，而在重塑体系本身，四种策略推动这一转变：镇压国内与跨国行动主义；驳斥信息并抹黑批评者；在国际组织内部重构程序与联盟；以非自由主义叙事替代既有规范、重新界定人权。美国的脱离通过撤走资金、规范领导与制度支持放大了每一种策略。作者认为，韧性可能要求自由民主国家应对国内的非自由倒退，并由欧洲等成熟民主国家承担更大外部领导责任。</w:t>
      </w:r>
    </w:p>
    <w:p>
      <w:r>
        <w:rPr>
          <w:rFonts w:ascii="Times New Roman" w:hAnsi="Times New Roman" w:eastAsia="宋体"/>
          <w:b w:val="0"/>
          <w:i w:val="0"/>
          <w:sz w:val="20"/>
        </w:rPr>
        <w:t>In the 1990s and 2000s, scholars emphasized the transformative power of international human rights and the durability of liberal global governance. Today, that optimism has faded. Human rights norms face sharper constraints, weakened institutions, and their authority challenged. We argue that rising authoritarian power—driven by more countries autocratizing, major powers gaining strength, and coordination in an emboldened bloc—poses a major challenge to the global human rights system, and that the United States’ retreat from human rights leadership is accelerating this threat. Authoritarian regimes are no longer merely resisting pressure; they are reshaping the system itself. Four strategies are driving this transformation: repression of domestic and transnational activism; refuting information and discrediting of critics; re-engineering procedures and coalitions within international organizations; and replacement of existing norms with alternative narratives that redefine human rights in illiberal terms. US disengagement amplifies each strategy by removing funding, normative leadership, and institutional backing that once raised the cost of violations and constrained authoritarian advance. Together, these developments mark a turning point. Where autocracies once played defense, liberal democracies and human rights actors are now on the defensive. If powerful authoritarian states consolidate these gains, they may emerge as models for others, attract new followers, and gravely damage liberal human rights as a global project. Yet the future is not preordained. Resilience may require liberal democracies confronting illiberal backsliding at home, and for European and other consolidated democracies to assume greater external leadership to strengthen the foundations of international human rights.</w:t>
      </w:r>
    </w:p>
    <w:p/>
    <w:p>
      <w:r>
        <w:rPr>
          <w:rFonts w:ascii="Times New Roman" w:hAnsi="Times New Roman" w:eastAsia="黑体"/>
          <w:b/>
          <w:i w:val="0"/>
          <w:sz w:val="24"/>
        </w:rPr>
        <w:t>遏制的架构：后自由主义秩序中的难民保护</w:t>
      </w:r>
    </w:p>
    <w:p>
      <w:r>
        <w:rPr>
          <w:rFonts w:ascii="Times New Roman" w:hAnsi="Times New Roman" w:eastAsia="宋体"/>
          <w:b w:val="0"/>
          <w:i/>
          <w:color w:val="404040"/>
          <w:sz w:val="20"/>
        </w:rPr>
        <w:t>The Architecture of Containment: Refugee Protection in a Postliberal Order</w:t>
      </w:r>
    </w:p>
    <w:p>
      <w:r>
        <w:rPr>
          <w:rFonts w:ascii="Times New Roman" w:hAnsi="Times New Roman" w:eastAsia="宋体"/>
          <w:b w:val="0"/>
          <w:i w:val="0"/>
          <w:color w:val="595959"/>
          <w:sz w:val="18"/>
        </w:rPr>
        <w:t>Perisa Davutoglu（University of Pittsburgh）</w:t>
      </w:r>
    </w:p>
    <w:p>
      <w:r>
        <w:rPr>
          <w:rFonts w:ascii="Times New Roman" w:hAnsi="Times New Roman" w:eastAsia="宋体"/>
          <w:b w:val="0"/>
          <w:i w:val="0"/>
          <w:sz w:val="22"/>
        </w:rPr>
        <w:t>摘要：本文认为全球难民机制正在经历根本转型。虽然1951年《难民公约》及其法律框架形式上完好，其实际适用已转向“弹性遏制”模式：国家不在本国境内提供保护，而是越来越多地通过外部化、法律模糊和非正式合作管理流离失所。借鉴制度漂移和法律替代概念，作者表明国家在不放弃义务的情况下重新校准义务，在维持遵约表象的同时限制庇护通道。这些实践构成更广泛的“遏制架构”，以边境外部化、程序拖延和制度委托为特征。由此出现的不是难民机制的崩溃，而是其围绕后自由主义逻辑的重构——优先考虑主权、自由裁量和风险管理，而非多边主义与权利执行。</w:t>
      </w:r>
    </w:p>
    <w:p>
      <w:r>
        <w:rPr>
          <w:rFonts w:ascii="Times New Roman" w:hAnsi="Times New Roman" w:eastAsia="宋体"/>
          <w:b w:val="0"/>
          <w:i w:val="0"/>
          <w:sz w:val="20"/>
        </w:rPr>
        <w:t>This essay argues that the global refugee regime is undergoing a fundamental transformation. While the 1951 Refugee Convention and its legal framework remain formally intact, their practical application has shifted toward a model of flexible containment. Rather than offering protection within their own borders, states increasingly manage displacement through externalization, legal ambiguity, and informal cooperation. Drawing on the concepts of institutional drift and legal substitution, the essay shows how states recalibrate their obligations without renouncing them, preserving the appearance of compliance while limiting access to asylum. These practices form a broader architecture of containment, characterized by border externalization, procedural delays, and institutional delegation. What emerges is not the collapse of the refugee regime but its reconfiguration around a postliberal logic that prioritizes sovereignty, discretion, and risk management over multilateralism and rights enforcement. By tracing this shift across legal frameworks and policy instruments, the essay contributes to debates on norm erosion, soft law, and the future of international cooperation. It concludes by calling for a rethinking of solidarity and responsibility in global governance, recognizing that the challenge is not simply to restore past commitments but to confront the evolving politics of mobility and protection in a fragmented international order.</w:t>
      </w:r>
    </w:p>
    <w:p/>
    <w:p>
      <w:r>
        <w:rPr>
          <w:rFonts w:ascii="Times New Roman" w:hAnsi="Times New Roman" w:eastAsia="黑体"/>
          <w:b/>
          <w:i w:val="0"/>
          <w:sz w:val="24"/>
        </w:rPr>
        <w:t>渡过风暴：特朗普之后的美国贸易政策</w:t>
      </w:r>
    </w:p>
    <w:p>
      <w:r>
        <w:rPr>
          <w:rFonts w:ascii="Times New Roman" w:hAnsi="Times New Roman" w:eastAsia="宋体"/>
          <w:b w:val="0"/>
          <w:i/>
          <w:color w:val="404040"/>
          <w:sz w:val="20"/>
        </w:rPr>
        <w:t>Weathering the Storm: US Trade Policy Beyond Trump</w:t>
      </w:r>
    </w:p>
    <w:p>
      <w:r>
        <w:rPr>
          <w:rFonts w:ascii="Times New Roman" w:hAnsi="Times New Roman" w:eastAsia="宋体"/>
          <w:b w:val="0"/>
          <w:i w:val="0"/>
          <w:color w:val="595959"/>
          <w:sz w:val="18"/>
        </w:rPr>
        <w:t>Andreas Dür（University of Salzburg）；Alessia Invernizzi（ETH Zürich）</w:t>
      </w:r>
    </w:p>
    <w:p>
      <w:r>
        <w:rPr>
          <w:rFonts w:ascii="Times New Roman" w:hAnsi="Times New Roman" w:eastAsia="宋体"/>
          <w:b w:val="0"/>
          <w:i w:val="0"/>
          <w:sz w:val="22"/>
        </w:rPr>
        <w:t>摘要：自由主义国际贸易体系支撑了数十年前所未有的全球化。然而第二届特朗普政府在2025年初实施全面性及针对特定国家和行业的关税，重新点燃了关于该体系存续的争论。作者质疑该机制濒临崩溃的观点。借鉴美国贸易政策的历史模式，作者认为美国参与全球商业的方式大多是“折衷的”，保护主义与自由主义冲动并存；该体系已显示出韧性，并有能力适应这种折衷带来的挑战。尽管当前美国贸易行动是二战以来前所未有的，作者给出三点理由预期美国将回归传统贸易政策路径。因此，尽管存在保护主义转向及其造成的扰动，关于体系消亡的预测低估了其适应弹性，为时过早。</w:t>
      </w:r>
    </w:p>
    <w:p>
      <w:r>
        <w:rPr>
          <w:rFonts w:ascii="Times New Roman" w:hAnsi="Times New Roman" w:eastAsia="宋体"/>
          <w:b w:val="0"/>
          <w:i w:val="0"/>
          <w:sz w:val="20"/>
        </w:rPr>
        <w:t>The liberal international trading system has underpinned decades of unprecedented globalization. Yet the imposition of across-the-board and country- and sector-specific tariffs by the second Trump administration in early 2025 has reignited debates over the system’s survival. We challenge the notion that the regime is on the brink of collapse. Drawing on historical patterns of United States trade policy, we argue that US engagement with global commerce has mostly been eclectic, characterized by the coexistence of protectionist and liberal impulses. We show that the system has demonstrated resilience and an ability to adapt to challenges resulting from this eclecticism. While current US trade actions are unprecedented since World War II, we present three reasons to expect a return to the traditional US approach to trade policy. We therefore argue that, despite the protectionist turn and the disruptions created by current US trade policy, predictions about the death of the system underestimate its adaptive flexibility and are thus premature.</w:t>
      </w:r>
    </w:p>
    <w:p/>
    <w:p>
      <w:r>
        <w:rPr>
          <w:rFonts w:ascii="Times New Roman" w:hAnsi="Times New Roman" w:eastAsia="黑体"/>
          <w:b/>
          <w:i w:val="0"/>
          <w:sz w:val="24"/>
        </w:rPr>
        <w:t>维系世界？领土秩序的未来</w:t>
      </w:r>
    </w:p>
    <w:p>
      <w:r>
        <w:rPr>
          <w:rFonts w:ascii="Times New Roman" w:hAnsi="Times New Roman" w:eastAsia="宋体"/>
          <w:b w:val="0"/>
          <w:i/>
          <w:color w:val="404040"/>
          <w:sz w:val="20"/>
        </w:rPr>
        <w:t>Holding the World Together? The Future of Territorial Order</w:t>
      </w:r>
    </w:p>
    <w:p>
      <w:r>
        <w:rPr>
          <w:rFonts w:ascii="Times New Roman" w:hAnsi="Times New Roman" w:eastAsia="宋体"/>
          <w:b w:val="0"/>
          <w:i w:val="0"/>
          <w:color w:val="595959"/>
          <w:sz w:val="18"/>
        </w:rPr>
        <w:t>Kenneth A. Schultz（Stanford University）</w:t>
      </w:r>
    </w:p>
    <w:p>
      <w:r>
        <w:rPr>
          <w:rFonts w:ascii="Times New Roman" w:hAnsi="Times New Roman" w:eastAsia="宋体"/>
          <w:b w:val="0"/>
          <w:i w:val="0"/>
          <w:sz w:val="22"/>
        </w:rPr>
        <w:t>摘要：学者与决策者担忧作为战后国际秩序核心支柱的领土征服减少趋势正承受压力。俄罗斯入侵乌克兰、中国崛起和美国收缩是否预示着回归以武力频繁重划边界的早期国际政治模式？本文评估了与此问题相关的理论与证据，阐述近期发展可能破坏领土秩序的若干机制：修正主义国家实力增长、第三方担保可信度下降、禁止征服的规范被侵蚀。与此同时，双边与区域层面的制度化均衡是可缓冲这些威胁的稳定来源。虽然已有争议地区的冲突升级是可能的，但最具破坏性的结果——普遍挑战既定边界——也是最不可能的。</w:t>
      </w:r>
    </w:p>
    <w:p>
      <w:r>
        <w:rPr>
          <w:rFonts w:ascii="Times New Roman" w:hAnsi="Times New Roman" w:eastAsia="宋体"/>
          <w:b w:val="0"/>
          <w:i w:val="0"/>
          <w:sz w:val="20"/>
        </w:rPr>
        <w:t>Scholars and policymakers have expressed concern that the decline of territorial conquest, a central pillar of the postwar international order, is under strain. Do the Russian invasion of Ukraine, the rise of China, and retrenchment of the United States portend a return to earlier patterns of international politics when boundaries were more frequently redrawn by force? This essay evaluates the theories and evidence that speak to this question. It delineates several mechanisms through which recent developments could destabilize the territorial order: the growing power of revisionist states, the declining credibility of third-party guarantees, and the erosion of the normative prohibition against conquest. At the same time, institutionalized equilibria at the dyadic and regional levels are sources of stability that can cushion the effect of these threats. Although escalation of conflicts in already disputed areas is possible, the most destabilizing outcome—widespread contestation of settled borders—is also the least likely.</w:t>
      </w:r>
    </w:p>
    <w:p/>
    <w:p>
      <w:r>
        <w:rPr>
          <w:rFonts w:ascii="Times New Roman" w:hAnsi="Times New Roman" w:eastAsia="黑体"/>
          <w:b/>
          <w:i w:val="0"/>
          <w:sz w:val="24"/>
        </w:rPr>
        <w:t>威权规范适应的终结？美国收缩与非自由政体中的自由规范</w:t>
      </w:r>
    </w:p>
    <w:p>
      <w:r>
        <w:rPr>
          <w:rFonts w:ascii="Times New Roman" w:hAnsi="Times New Roman" w:eastAsia="宋体"/>
          <w:b w:val="0"/>
          <w:i/>
          <w:color w:val="404040"/>
          <w:sz w:val="20"/>
        </w:rPr>
        <w:t>The End of Autocratic Norm Adaptation? US Retrenchment and Liberal Norms in Illiberal Regimes</w:t>
      </w:r>
    </w:p>
    <w:p>
      <w:r>
        <w:rPr>
          <w:rFonts w:ascii="Times New Roman" w:hAnsi="Times New Roman" w:eastAsia="宋体"/>
          <w:b w:val="0"/>
          <w:i w:val="0"/>
          <w:color w:val="595959"/>
          <w:sz w:val="18"/>
        </w:rPr>
        <w:t>Sarah Sunn Bush（University of Pennsylvania）；Daniela Donno（The University of Oklahoma）；Jon C.W. Pevehouse（University of Wisconsin-Madison）；Christina J. Schneider（University of California）</w:t>
      </w:r>
    </w:p>
    <w:p>
      <w:r>
        <w:rPr>
          <w:rFonts w:ascii="Times New Roman" w:hAnsi="Times New Roman" w:eastAsia="宋体"/>
          <w:b w:val="0"/>
          <w:i w:val="0"/>
          <w:sz w:val="22"/>
        </w:rPr>
        <w:t>摘要：冷战后许多威权政权针对西方大国推广的国际规范进行了策略性自由化。随着美国对民主与人权支持的减退，这种退却会否引发全球性的自由主义改革倒退？悲观论预测将回到公开镇压，作者则认为威权体制内的自由规范适应可能更具韧性，并强调两种延续来源：第一，独裁者的国内控制策略使其有动机保留某些自由实践——如选举、性别改革或有限的媒体开放——以增强合法性、吸纳异见、管理反对派；第二，锚定于条约、国际组织和国内官僚机构的改革已产生预期和动员平台，使全面逆转政治代价高昂且易引发反弹。分析表明，即使是工具性采纳的改革，也已充分嵌入国内政治，在缺乏强外部执行时仍可延续。</w:t>
      </w:r>
    </w:p>
    <w:p>
      <w:r>
        <w:rPr>
          <w:rFonts w:ascii="Times New Roman" w:hAnsi="Times New Roman" w:eastAsia="宋体"/>
          <w:b w:val="0"/>
          <w:i w:val="0"/>
          <w:sz w:val="20"/>
        </w:rPr>
        <w:t>In the post–Cold War era, many authoritarian regimes engaged in strategic liberalization in response to international norms promoted by Western powers. As US support for democracy and human rights recedes, will this retreat prompt a global rollback of liberal reforms? While pessimistic accounts predict a return to overt repression, we argue that liberal norm adaptation within autocracies is likely to prove more resilient. We highlight two sources of continuity. First, autocrats’ domestic control strategies create incentives to retain certain liberal practices—such as elections, gender reforms, or limited media openness—that bolster legitimacy, co-opt dissent, and help manage opposition. Second, reforms anchored in treaties, international organizations, and domestic bureaucracies have generated expectations and mobilizational platforms, making wholesale reversals politically costly and prone to backlash. Our analysis illustrates how reforms, even when adopted instrumentally, have become sufficiently embedded in domestic politics to persist in the absence of strong external enforcement.</w:t>
      </w:r>
    </w:p>
    <w:p/>
    <w:p>
      <w:r>
        <w:rPr>
          <w:rFonts w:ascii="Times New Roman" w:hAnsi="Times New Roman" w:eastAsia="宋体"/>
          <w:b/>
          <w:i w:val="0"/>
          <w:sz w:val="22"/>
        </w:rPr>
        <w:t>IO： Vol. 78, No. 4, 2024</w:t>
      </w:r>
    </w:p>
    <w:p/>
    <w:p>
      <w:r>
        <w:rPr>
          <w:rFonts w:ascii="Times New Roman" w:hAnsi="Times New Roman" w:eastAsia="黑体"/>
          <w:b/>
          <w:i w:val="0"/>
          <w:sz w:val="24"/>
        </w:rPr>
        <w:t>从大脑出发：推进国际关系中的威胁感知研究</w:t>
      </w:r>
    </w:p>
    <w:p>
      <w:r>
        <w:rPr>
          <w:rFonts w:ascii="Times New Roman" w:hAnsi="Times New Roman" w:eastAsia="宋体"/>
          <w:b w:val="0"/>
          <w:i/>
          <w:color w:val="404040"/>
          <w:sz w:val="20"/>
        </w:rPr>
        <w:t>Building from the Brain: Advancing the Study of Threat Perception in International Relations</w:t>
      </w:r>
    </w:p>
    <w:p>
      <w:r>
        <w:rPr>
          <w:rFonts w:ascii="Times New Roman" w:hAnsi="Times New Roman" w:eastAsia="宋体"/>
          <w:b w:val="0"/>
          <w:i w:val="0"/>
          <w:color w:val="595959"/>
          <w:sz w:val="18"/>
        </w:rPr>
        <w:t>Marika Landau-Wells</w:t>
      </w:r>
    </w:p>
    <w:p>
      <w:r>
        <w:rPr>
          <w:rFonts w:ascii="Times New Roman" w:hAnsi="Times New Roman" w:eastAsia="宋体"/>
          <w:b w:val="0"/>
          <w:i w:val="0"/>
          <w:sz w:val="22"/>
        </w:rPr>
        <w:t>摘要：在国际关系理论和外交决策制定中，“威胁感”经常被当作一个因果变量。 然而，杂乱无章的概念化和未经验证的心理学假设使人们对其影响知之甚少。在本文中，我提出了解决这两个相关问题的统一方案：将大脑考虑在内。我首先说明，这种方法通过产生两个不同的概念来解决概念化问题，这两个概念可在现有理论中通用，与通俗语言一致，并与特定的脑级过程相关联：威胁即危险感知（主观地感知来自任何来源的危险）和威胁即信号感知（检测伤害意图的声明）。 由于这两种类型的感知都发生在大脑中，因此捕捉到这些过程的大规模神经成像数据为实证检验国际关系理论中的一些心理学假设提供了一种方法。我利用冲突决策（“伤害就是成本”）和胁迫（“意图是不可捉摸的”）文献中的假设进行了两次这样的测试。基于对 15 项基于坐标的元分析（包括 500 多项研究和 11000 多名受试者）的原创性分析，我得出结论，这些假设与大脑如何应对这两种威胁的累积证据不一致。此外，我还表明，大脑层面的数据揭示了威胁感知对行为影响的各个方面，而这些方面尚未被纳入国际关系理论。因此，要推进对威胁感知的研究，就必须从我们对大脑的了解出发，采用微观基础方法。</w:t>
      </w:r>
    </w:p>
    <w:p>
      <w:r>
        <w:rPr>
          <w:rFonts w:ascii="Times New Roman" w:hAnsi="Times New Roman" w:eastAsia="宋体"/>
          <w:b w:val="0"/>
          <w:i w:val="0"/>
          <w:sz w:val="20"/>
        </w:rPr>
        <w:t>“Threat perception” is frequently invoked as a causal variable in theories of international relations and foreign policy decision making. Yet haphazard conceptualization and untested psychological assumptions leave its effects poorly understood. In this article, I propose a unified solution to these two related problems: taking the brain into account. I first show that this approach solves the conceptualization problem by generating two distinct concepts that generalize across existing theories, align with plain language, and are associated with specific brain-level processes: threat-as-danger perception (subjectively apprehending danger from any source) and threat-as-signal perception (detecting a statement of the intention to harm). Because both types of perception occur in the brain, large-scale neuroimaging data capturing these processes offer a way to empirically test some of the psychological assumptions embedded in IR theories. I conduct two such tests using assumptions from the literatures on conflict decision making (“harms are costs”) and on coercion (“intentions are inscrutable”). Based on an original analysis of fifteen coordinate-based meta-analyses comprising 500+ studies and 11,000+ subjects, I conclude that these assumptions are inconsistent with the cumulative evidence about how the brain responds to threats of either kind. Further, I show that brain-level data illuminate aspects of threat perception's impact on behavior that have not yet been integrated into IR theory. Advancing the study of threat perception thus requires a microfoundational approach that builds from what we know about the brain.</w:t>
      </w:r>
    </w:p>
    <w:p/>
    <w:p>
      <w:r>
        <w:rPr>
          <w:rFonts w:ascii="Times New Roman" w:hAnsi="Times New Roman" w:eastAsia="黑体"/>
          <w:b/>
          <w:i w:val="0"/>
          <w:sz w:val="24"/>
        </w:rPr>
        <w:t>国际关系中的地位等级与成见转移</w:t>
      </w:r>
    </w:p>
    <w:p>
      <w:r>
        <w:rPr>
          <w:rFonts w:ascii="Times New Roman" w:hAnsi="Times New Roman" w:eastAsia="宋体"/>
          <w:b w:val="0"/>
          <w:i/>
          <w:color w:val="404040"/>
          <w:sz w:val="20"/>
        </w:rPr>
        <w:t>Status Hierarchies and Stigma Shifting in International Relations</w:t>
      </w:r>
    </w:p>
    <w:p>
      <w:r>
        <w:rPr>
          <w:rFonts w:ascii="Times New Roman" w:hAnsi="Times New Roman" w:eastAsia="宋体"/>
          <w:b w:val="0"/>
          <w:i w:val="0"/>
          <w:color w:val="595959"/>
          <w:sz w:val="18"/>
        </w:rPr>
        <w:t>Claudia Junghyun Kim</w:t>
      </w:r>
    </w:p>
    <w:p>
      <w:r>
        <w:rPr>
          <w:rFonts w:ascii="Times New Roman" w:hAnsi="Times New Roman" w:eastAsia="宋体"/>
          <w:b w:val="0"/>
          <w:i w:val="0"/>
          <w:sz w:val="22"/>
        </w:rPr>
        <w:t>摘要：作为社会行为体的国家如何应对成见引发的地位焦虑？我提出了“鄙视转移”的概念，作为对地位焦虑的国家对其由鄙视引起的自卑进行过度补偿并重申其在世界上的地位的一种方式：寻求与地位较高国家的认同以及与地位较低国家的区别。在与理想状态群体认同的过程中，被成见烙印的状态会采取寻求认同的行为，并在其感到名誉扫地的领域重申其群体内地位。在将自己与不受欢迎的群体区分开来时，被鄙视的国家会采取寻求区别的行为，在最初导致其地位焦虑的领域宣称自己优于这个“次等”群体。换言之，“鄙视转移”允许被鄙视的国家扮演鄙视者的角色。为了证明这一概念的深度和分析实用性，我以东亚三个不同问题领域为例：殖民矫正、核灾难和国际秩序的建立。日本在这三个领域都受到了鄙视，但它通过将鄙视转嫁到其他重要但“次要”的国家身上来重申自己的地位：中国和韩国。最终，这种烙印的转移巩固了世界的地位等级——不仅是“西方”主导国际社会所代表的等级，还有非西方世界的地区等级。</w:t>
      </w:r>
    </w:p>
    <w:p>
      <w:r>
        <w:rPr>
          <w:rFonts w:ascii="Times New Roman" w:hAnsi="Times New Roman" w:eastAsia="宋体"/>
          <w:b w:val="0"/>
          <w:i w:val="0"/>
          <w:sz w:val="20"/>
        </w:rPr>
        <w:t>How do states as social actors cope with stigma-induced status anxiety? I propose the concept of “stigma shifting” as a way in which status-anxious states overcompensate for their stigma-induced inferiority and reaffirm their place in the world: by seeking identification with higher-status states and differentiation from lower-status states. In identifying with the desired group of states, stigmatized states engage in approval-seeking behavior and reaffirm their in-group status in areas where they feel discredited. In differentiating themselves from the undesired group, stigmatized states engage in distinction-seeking behavior, claiming their superiority over this “lesser” group in areas that gave rise to their status anxiety in the first place. Stigma shifting, in other words, allows a stigmatized state to take the role of a stigmatizer. To demonstrate the concept's depth and analytical utility, I draw on the case of East Asia in three disparate issue areas: colonial redress, nuclear disaster, and international order making. Japan, stigmatized in all three areas, has reaffirmed its status by shifting the stigma onto its significant but “lesser” others: China and Korea. Ultimately, stigma shifting solidifies status hierarchies in the world—not just the hierarchy as represented by the “Western” dominance of international society but also the regional hierarchies of the non-Western world.</w:t>
      </w:r>
    </w:p>
    <w:p/>
    <w:p>
      <w:r>
        <w:rPr>
          <w:rFonts w:ascii="Times New Roman" w:hAnsi="Times New Roman" w:eastAsia="黑体"/>
          <w:b/>
          <w:i w:val="0"/>
          <w:sz w:val="24"/>
        </w:rPr>
        <w:t>和平与利益：哥伦比亚叛军分裂与冲突再起</w:t>
      </w:r>
    </w:p>
    <w:p>
      <w:r>
        <w:rPr>
          <w:rFonts w:ascii="Times New Roman" w:hAnsi="Times New Roman" w:eastAsia="宋体"/>
          <w:b w:val="0"/>
          <w:i/>
          <w:color w:val="404040"/>
          <w:sz w:val="20"/>
        </w:rPr>
        <w:t>Peace Versus Profit: Rebel Fragmentation and Conflict Resurgence in Colombia</w:t>
      </w:r>
    </w:p>
    <w:p>
      <w:r>
        <w:rPr>
          <w:rFonts w:ascii="Times New Roman" w:hAnsi="Times New Roman" w:eastAsia="宋体"/>
          <w:b w:val="0"/>
          <w:i w:val="0"/>
          <w:color w:val="595959"/>
          <w:sz w:val="18"/>
        </w:rPr>
        <w:t>Frank Wyer</w:t>
      </w:r>
    </w:p>
    <w:p>
      <w:r>
        <w:rPr>
          <w:rFonts w:ascii="Times New Roman" w:hAnsi="Times New Roman" w:eastAsia="宋体"/>
          <w:b w:val="0"/>
          <w:i w:val="0"/>
          <w:sz w:val="22"/>
        </w:rPr>
        <w:t>摘要：和平进程中为何会出现叛乱分裂组织，谁会选择叛逃？自2016年哥伦比亚与哥伦比亚革命武装力量（FARC）达成具有里程碑意义的和平协议以来，曾被该组织控制的大约一半领土上，FARC分裂组织的反叛活动卷土重来。我认为，FARC重拾武器是 “中出分裂 ”的一个案例，即获利机会促使中低级反叛指挥官建立分裂组织。在哥伦比亚，我认为可卡因贸易带来的利润刺激了当地的哥伦比亚革命武装力量军官脱离和平协议，使他们能够迅速动员可行的分裂组织。我为这一论点提供了多个证据。首先，我构建了一个分裂组织形成的年表，表明中低层指挥官而非高层指挥官是分裂的主要推动力。其次，我表明分裂组织出现在获利机会最大的地区。在哥伦比亚革命武装力量以前控制的地区中，和平协议签署前种植古柯的地区到2020年出现分裂组织的可能性要比没有大量生产古柯的地区高出37个百分点。使用土壤和天气条件作为古柯种植的工具也会产生类似的结果。此外，我还使用了一种新的方法来衡量每个城市对贩毒的重要程度，结果表明，理论上对贩毒最重要的地区也更有可能出现哥伦比亚革命武装力量卷土重来的情况。我还探讨了与国家能力、地形和民众对叛军的支持有关的竞争性解释。这些发现凸显了和平建设面临的一个重要挑战：在获利机会促使叛军从中间分裂的情况下，满足叛军领导层的政治要求是和平协议的一个必要组成部分，但却不够充分。</w:t>
      </w:r>
    </w:p>
    <w:p>
      <w:r>
        <w:rPr>
          <w:rFonts w:ascii="Times New Roman" w:hAnsi="Times New Roman" w:eastAsia="宋体"/>
          <w:b w:val="0"/>
          <w:i w:val="0"/>
          <w:sz w:val="20"/>
        </w:rPr>
        <w:t>Why do rebel splinter groups emerge during peace processes, and who chooses to defect? Since Colombia's landmark peace agreement with the FARC in 2016, roughly half of the territory once controlled by the group has seen a resurgence of rebel activity by FARC splinter groups. I argue that the FARC's return to arms is a case of “middle-out fragmentation,” whereby opportunities for profit induce mid- or low-ranking rebel commanders to establish splinter groups. In Colombia, I argue that profits from the cocaine trade incentivized local-level FARC officers to defect from the peace agreement and allowed them to rapidly mobilize viable splinter groups. I offer several lines of evidence for this argument. I first construct a chronology of splinter group formation, which demonstrates that mid- and low-level commanders, rather than high-level commanders, were the key drivers of fragmentation. Second, I show that splinter groups emerged in areas where opportunities for profit were greatest. Among areas previously controlled by the FARC, those with coca cultivation prior to the peace agreement were up to thirty-seven percentage points more likely to see splinter groups emerge by 2020 than areas without significant production. Using soil and weather conditions to instrument for coca cultivation produces similar results. Further, I use a novel measure of how critical each municipality is to drug trafficking to show that areas that are theoretically most important for drug trafficking are also more likely to see FARC resurgence. I also address competing explanations related to state capacity, terrain, and popular support for the rebels. These findings highlight an important challenge to peacebuilding: satisfying the political demands of rebel leadership is a necessary but insufficient component of peace agreements in cases where opportunities for profit motivate fragmentation from the middle out.</w:t>
      </w:r>
    </w:p>
    <w:p/>
    <w:p>
      <w:r>
        <w:rPr>
          <w:rFonts w:ascii="Times New Roman" w:hAnsi="Times New Roman" w:eastAsia="黑体"/>
          <w:b/>
          <w:i w:val="0"/>
          <w:sz w:val="24"/>
        </w:rPr>
        <w:t>全球治理中的意识形态与合法性</w:t>
      </w:r>
    </w:p>
    <w:p>
      <w:r>
        <w:rPr>
          <w:rFonts w:ascii="Times New Roman" w:hAnsi="Times New Roman" w:eastAsia="宋体"/>
          <w:b w:val="0"/>
          <w:i/>
          <w:color w:val="404040"/>
          <w:sz w:val="20"/>
        </w:rPr>
        <w:t>Ideology and Legitimacy in Global Governance</w:t>
      </w:r>
    </w:p>
    <w:p>
      <w:r>
        <w:rPr>
          <w:rFonts w:ascii="Times New Roman" w:hAnsi="Times New Roman" w:eastAsia="宋体"/>
          <w:b w:val="0"/>
          <w:i w:val="0"/>
          <w:color w:val="595959"/>
          <w:sz w:val="18"/>
        </w:rPr>
        <w:t>Matthias Ecker-Ehrhardt；Lisa Dellmuth；Jonas Tallberg</w:t>
      </w:r>
    </w:p>
    <w:p>
      <w:r>
        <w:rPr>
          <w:rFonts w:ascii="Times New Roman" w:hAnsi="Times New Roman" w:eastAsia="宋体"/>
          <w:b w:val="0"/>
          <w:i w:val="0"/>
          <w:sz w:val="22"/>
        </w:rPr>
        <w:t>摘要：虽然许多学者认为人们的意识形态取向会影响他们对国际组织合法性的看法，但研究发现，对这一普遍假设的支持却出奇地有限。在这篇文章中，我们将国际组织的意识形态概况作为影响意识形态取向与此类信念之间关系的关键因素，从而解决了这一难题。从理论上讲，我们认为，当公民认为国际组织在意识形态上与自己的取向更为一致时，他们就会赋予国际组织更大的合法性。在实证方面，我们通过对四个国家的新调查证据进行观察和实验分析，对这一预期进行了评估：巴西、德国、印度尼西亚和美国。 我们发现，公民确实认为国际组织具有特定的意识形态特征，而且这些意识形态特征系统地调节了人们的意识形态取向与他们对国际组织合法性的看法之间的关系。这些研究结果表明，政治意识形态是全球治理合法性信念的一个更强大的驱动因素，这一点超出了以往的理解。</w:t>
      </w:r>
    </w:p>
    <w:p>
      <w:r>
        <w:rPr>
          <w:rFonts w:ascii="Times New Roman" w:hAnsi="Times New Roman" w:eastAsia="宋体"/>
          <w:b w:val="0"/>
          <w:i w:val="0"/>
          <w:sz w:val="20"/>
        </w:rPr>
        <w:t>While many scholars expect people's ideological orientations to drive their beliefs regarding the legitimacy of international organizations (IOs), research has found surprisingly limited support for this common assumption. In this article we resolve this puzzle by introducing the perceived ideological profile of IOs as a critical factor shaping the relationship between ideological orientation and such beliefs. Theoretically, we argue that citizens accord IOs greater legitimacy when they perceive these organizations as ideologically more congruent with their own orientations. Empirically, we evaluate this expectation by combining observational and experimental analyses of new survey evidence from four countries: Brazil, Germany, Indonesia, and the United States. We find that citizens indeed perceive IOs as having particular ideological profiles and that those perceptions systematically moderate the relationship between people's ideological orientations and their sense of IOs’ legitimacy. These findings suggest that political ideology is a more powerful driver of legitimacy beliefs in global governance than previously understood.</w:t>
      </w:r>
    </w:p>
    <w:p/>
    <w:p>
      <w:r>
        <w:rPr>
          <w:rFonts w:ascii="Times New Roman" w:hAnsi="Times New Roman" w:eastAsia="黑体"/>
          <w:b/>
          <w:i w:val="0"/>
          <w:sz w:val="24"/>
        </w:rPr>
        <w:t>秘密创新</w:t>
      </w:r>
    </w:p>
    <w:p>
      <w:r>
        <w:rPr>
          <w:rFonts w:ascii="Times New Roman" w:hAnsi="Times New Roman" w:eastAsia="宋体"/>
          <w:b w:val="0"/>
          <w:i/>
          <w:color w:val="404040"/>
          <w:sz w:val="20"/>
        </w:rPr>
        <w:t>Secret Innovation</w:t>
      </w:r>
    </w:p>
    <w:p>
      <w:r>
        <w:rPr>
          <w:rFonts w:ascii="Times New Roman" w:hAnsi="Times New Roman" w:eastAsia="宋体"/>
          <w:b w:val="0"/>
          <w:i w:val="0"/>
          <w:color w:val="595959"/>
          <w:sz w:val="18"/>
        </w:rPr>
        <w:t>Michael F. Joseph；Michael Poznansky</w:t>
      </w:r>
    </w:p>
    <w:p>
      <w:r>
        <w:rPr>
          <w:rFonts w:ascii="Times New Roman" w:hAnsi="Times New Roman" w:eastAsia="宋体"/>
          <w:b w:val="0"/>
          <w:i w:val="0"/>
          <w:sz w:val="22"/>
        </w:rPr>
        <w:t>摘要：传统观念认为，开放、协作和透明的组织才具有创新性。但一些最激进的创新--卫星、锂碘电池、互联网——却是由国家安全机构中的小型秘密团队构想出来的。这些机构是因为保密而更具创新性，还是尽管保密却更具创新性？我们研究了公共部门创新的委托代理模式。在最初的测试和原型设计阶段，我们为研究团队提供了一个秘密选项和一个公开选项。通过成本转嫁机制，保密有助于推进高风险、高回报项目的早期阶段。 在开放的机构中，由于担心政治成本，管理者不会批准对高风险、高回报的想法进行试点研究。研究人员会利用保密性，以较高的个人成本开展试验性研究，以证明他们的项目是可行的，并赢得管理者的批准。与标准的委托代理结论相反，我们的研究表明，即使研究人员的偏好与经理的偏好完全一致，他们也可能利用保密性，而且即使监控是无成本和完美的，经理也不会监控研究人员。我们用冷战早期的两个案例来说明我们的理论：中央情报局试图掌握精神控制（MKULTRA）和侦察卫星（CORONA）的起源。我们为委托代理理论的政治应用以及国家安全创新、新兴技术、民主监督、中美技术辩论和大国竞争研究做出了贡献。</w:t>
      </w:r>
    </w:p>
    <w:p>
      <w:r>
        <w:rPr>
          <w:rFonts w:ascii="Times New Roman" w:hAnsi="Times New Roman" w:eastAsia="宋体"/>
          <w:b w:val="0"/>
          <w:i w:val="0"/>
          <w:sz w:val="20"/>
        </w:rPr>
        <w:t>Conventional wisdom holds that open, collaborative, and transparent organizations are innovative. But some of the most radical innovations—satellites, lithium-iodine batteries, the internet—were conceived by small, secretive teams in national security agencies. Are these organizations more innovative because of their secrecy, or in spite of it? We study a principal–agent model of public-sector innovation. We give research teams a secret option and a public option during the initial testing and prototyping phase. Secrecy helps advance high-risk, high-reward projects through the early phase via a cost-passing mechanism. In open institutions, managers will not approve pilot research into high-risk, high-reward ideas for fear of political costs. Researchers exploit secrecy to conduct pilot research at a higher personal cost to generate evidence that their project is viable and win their manager's approval. Contrary to standard principal–agent findings, we show that researchers may exploit secrecy even if their preferences are perfectly aligned with their manager's, and that managers do not monitor researchers even if monitoring is costless and perfect. We illustrate our theory with two cases from the early Cold War: the CIA's attempt to master mind control (MKULTRA) and the origins of the reconnaissance satellite (CORONA). We contribute to the political application of principal–agent theory and studies of national security innovation, emerging technologies, democratic oversight, the Sino–American technology debate, and great power competition.</w:t>
      </w:r>
    </w:p>
    <w:p/>
    <w:p>
      <w:r>
        <w:rPr>
          <w:rFonts w:ascii="Times New Roman" w:hAnsi="Times New Roman" w:eastAsia="黑体"/>
          <w:b/>
          <w:i w:val="0"/>
          <w:sz w:val="24"/>
        </w:rPr>
        <w:t>教育对支持国际贸易的影响：义务教育改革的证据</w:t>
      </w:r>
    </w:p>
    <w:p>
      <w:r>
        <w:rPr>
          <w:rFonts w:ascii="Times New Roman" w:hAnsi="Times New Roman" w:eastAsia="宋体"/>
          <w:b w:val="0"/>
          <w:i/>
          <w:color w:val="404040"/>
          <w:sz w:val="20"/>
        </w:rPr>
        <w:t>The Effect of Education on Support for International Trade: Evidence from Compulsory-Education Reforms</w:t>
      </w:r>
    </w:p>
    <w:p>
      <w:r>
        <w:rPr>
          <w:rFonts w:ascii="Times New Roman" w:hAnsi="Times New Roman" w:eastAsia="宋体"/>
          <w:b w:val="0"/>
          <w:i w:val="0"/>
          <w:color w:val="595959"/>
          <w:sz w:val="18"/>
        </w:rPr>
        <w:t>Omer Solodoch</w:t>
      </w:r>
    </w:p>
    <w:p>
      <w:r>
        <w:rPr>
          <w:rFonts w:ascii="Times New Roman" w:hAnsi="Times New Roman" w:eastAsia="宋体"/>
          <w:b w:val="0"/>
          <w:i w:val="0"/>
          <w:sz w:val="22"/>
        </w:rPr>
        <w:t>摘要：在不同国家和不同时期，受教育程度最高的人对经济全球化的支持力度最大。然而，尽管人们对这种相关性的来源争论不休，但却缺乏可靠的证据将教育的因果效应与个人接受教育的非随机选择分离开来。为了解决这一根本问题，我利用了18个国家提高最低离校年龄的义务教育改革。通过采用模糊回归不连续设计，我发现改革所导致的教育年限增加大大持久地提高了对贸易自由化的支持。利用有关学校课程内容的新数据，我发现学校教育的效果主要源于向公民灌输宽容和多元化思想，以及减少全球化带来的文化威胁。与此相反，几乎没有证据表明，学校教育的效果反映了国际贸易的分配后果，将全球化的赢家和输家区分开来。</w:t>
      </w:r>
    </w:p>
    <w:p>
      <w:r>
        <w:rPr>
          <w:rFonts w:ascii="Times New Roman" w:hAnsi="Times New Roman" w:eastAsia="宋体"/>
          <w:b w:val="0"/>
          <w:i w:val="0"/>
          <w:sz w:val="20"/>
        </w:rPr>
        <w:t>Across countries and over time, support for economic globalization is strongest among individuals with the highest levels of education. Yet despite long-lasting debates on the sources of this correlation, reliable evidence that isolates the causal effect of education from the nonrandom selection of individuals into education is lacking. To address this fundamental issue, I exploit compulsory-schooling reforms that increased the minimum school-leaving age in eighteen countries. Employing a fuzzy regression discontinuity design, I find that the reform-induced added years of education substantially and durably increased support for trade liberalization. And using new data on the content of school curricula, I find that the effect of schooling largely stems from instilling tolerance and pluralism in citizens and reducing the perceived cultural threat of globalization. In contrast, there is little evidence that the effect of schooling reflects the distributive consequences of international trade, separating globalization winners and losers.</w:t>
      </w:r>
    </w:p>
    <w:p/>
    <w:p>
      <w:r>
        <w:rPr>
          <w:rFonts w:ascii="Times New Roman" w:hAnsi="Times New Roman" w:eastAsia="黑体"/>
          <w:b/>
          <w:i w:val="0"/>
          <w:sz w:val="24"/>
        </w:rPr>
        <w:t>战争法与公众对外国战斗人员的支持</w:t>
      </w:r>
    </w:p>
    <w:p>
      <w:r>
        <w:rPr>
          <w:rFonts w:ascii="Times New Roman" w:hAnsi="Times New Roman" w:eastAsia="宋体"/>
          <w:b w:val="0"/>
          <w:i/>
          <w:color w:val="404040"/>
          <w:sz w:val="20"/>
        </w:rPr>
        <w:t>The Laws of War and Public Support for Foreign Combatants</w:t>
      </w:r>
    </w:p>
    <w:p>
      <w:r>
        <w:rPr>
          <w:rFonts w:ascii="Times New Roman" w:hAnsi="Times New Roman" w:eastAsia="宋体"/>
          <w:b w:val="0"/>
          <w:i w:val="0"/>
          <w:color w:val="595959"/>
          <w:sz w:val="18"/>
        </w:rPr>
        <w:t>Yonatan Lupu；Geoffrey P.R. Wallace</w:t>
      </w:r>
    </w:p>
    <w:p>
      <w:r>
        <w:rPr>
          <w:rFonts w:ascii="Times New Roman" w:hAnsi="Times New Roman" w:eastAsia="宋体"/>
          <w:b w:val="0"/>
          <w:i w:val="0"/>
          <w:sz w:val="22"/>
        </w:rPr>
        <w:t>摘要：大国民主国家的公众是否更有可能认可遵守国际人道法（IHL）的外国武装战斗人员？大量证据表明，有动机寻求外部支持的武装战斗人员更有可能遵守国际人道法。 然而，这些说法背后的一个关键机制——大国民主国家的人民更有可能支持遵守国际人道主义法的武装战斗人员——尚未得到直接验证。为了解决这个问题，我们在三个经常参与外国干预行动的民主国家进行了一系列具有全国代表性的调查实验：法国、英国和美国。我们发现，与不遵守战争法的交战方相比，遵守战争法的交战方——无论是政府还是叛军——更有可能获得可能进行干预的国家公众的支持。在所有三个国家中，遵守国际法会使武装战斗人员获得更多的支持，也会使经济或军事干预获得更多的支持（尽管在处理组中，军事干预的支持率仍然相对较低）。这为以下论点提供了支持，即只要战斗人员寻求外部受众的支持，这就可以成为国际法制约武装战斗的一种机制。</w:t>
      </w:r>
    </w:p>
    <w:p>
      <w:r>
        <w:rPr>
          <w:rFonts w:ascii="Times New Roman" w:hAnsi="Times New Roman" w:eastAsia="宋体"/>
          <w:b w:val="0"/>
          <w:i w:val="0"/>
          <w:sz w:val="20"/>
        </w:rPr>
        <w:t>Are publics in great power democracies more likely to approve of foreign armed combatants that comply with international humanitarian law (IHL)? There is a wealth of evidence that armed combatants with an incentive to seek the support of outside compliance constituencies are more likely to adhere to IHL. Yet a key mechanism underlying these claims—that people in great power democracies are more likely to support armed combatants that comply with IHL—has not been directly tested. We address this question using a series of experiments embedded in nationally representative surveys conducted in three democracies that have frequently been involved in foreign interventions: France, the United Kingdom, and the United States. We find that belligerents—both governments and rebels—that comply with the laws of war are significantly more likely to garner support from publics in likely intervening countries compared to those who do not comply. In all three countries, compliance with international law caused greater approval of armed combatants as well as greater support for economic or military intervention (although support for military intervention remained relatively low in the treatment groups). This lends support to arguments that, to the extent combatants seek support from outside audiences, this can serve as a mechanism by which international law constrains armed combat.</w:t>
      </w:r>
    </w:p>
    <w:p/>
    <w:p>
      <w:r>
        <w:rPr>
          <w:rFonts w:ascii="Times New Roman" w:hAnsi="Times New Roman" w:eastAsia="黑体"/>
          <w:b/>
          <w:i w:val="0"/>
          <w:sz w:val="24"/>
        </w:rPr>
        <w:t>选举、战争与性别：自我选择与追求胜利</w:t>
      </w:r>
    </w:p>
    <w:p>
      <w:r>
        <w:rPr>
          <w:rFonts w:ascii="Times New Roman" w:hAnsi="Times New Roman" w:eastAsia="宋体"/>
          <w:b w:val="0"/>
          <w:i/>
          <w:color w:val="404040"/>
          <w:sz w:val="20"/>
        </w:rPr>
        <w:t>Elections, War, and Gender: Self-Selection and the Pursuit of Victory</w:t>
      </w:r>
    </w:p>
    <w:p>
      <w:r>
        <w:rPr>
          <w:rFonts w:ascii="Times New Roman" w:hAnsi="Times New Roman" w:eastAsia="宋体"/>
          <w:b w:val="0"/>
          <w:i w:val="0"/>
          <w:color w:val="595959"/>
          <w:sz w:val="18"/>
        </w:rPr>
        <w:t>Stephen Chaudoin；Sarah Hummel；Yon Soo Park</w:t>
      </w:r>
    </w:p>
    <w:p>
      <w:r>
        <w:rPr>
          <w:rFonts w:ascii="Times New Roman" w:hAnsi="Times New Roman" w:eastAsia="宋体"/>
          <w:b w:val="0"/>
          <w:i w:val="0"/>
          <w:sz w:val="22"/>
        </w:rPr>
        <w:t>摘要：为什么民主国家的女性领导人会比男性领导人在国家间冲突中投入更多的资金、设备、士兵和其他资源？我们认为，民主选举过程中的性别偏见有助于解释这种行为。 由于女性竞选公职的成本通常高于男性，因此只有那些更看重在竞争中获胜的女性才会选择竞选。当选后，她们也会投入更多的资源来追求冲突中的胜利。为了给这一说法提供微观基础证据，我们分析了一个在线实验室游戏的数据，在这个游戏中，参与者选择参加竞选，进行简单的竞选活动，如果当选，则代表自己的群体参加竞赛游戏。与男性当选领导者相比，非金钱价值较高的女性更有可能自我选择参选，而一旦获胜，她们会在群体间竞赛中花费更多的资源。这些数据表明，在现实世界中观察到的男女领导人之间的差异中，选举选择起到了重要作用。</w:t>
      </w:r>
    </w:p>
    <w:p>
      <w:r>
        <w:rPr>
          <w:rFonts w:ascii="Times New Roman" w:hAnsi="Times New Roman" w:eastAsia="宋体"/>
          <w:b w:val="0"/>
          <w:i w:val="0"/>
          <w:sz w:val="20"/>
        </w:rPr>
        <w:t>Why might female leaders of democratic countries commit more money, equipment, soldiers, and other resources to interstate conflicts than male leaders? We argue that gender bias in the process of democratic election helps explain this behavior. Since running for office is generally more costly for women than for men, only women who place a higher value on winning competitions will choose to run. After election, they also devote more resources to pursuing victory in conflict situations. To provide microfoundational evidence for this claim, we analyze data from an online laboratory game featuring real-time group play in which participants chose to run for election, conducted a simple campaign, and represented their group in a contest game if elected. Women with a higher nonmonetary value to winning were more likely to self-select into candidacy, and when victorious, they spent more resources on intergroup contests than male elected leaders. The data suggest that electoral selection plays an important role in observed differences between male and female leaders in the real world.</w:t>
      </w:r>
    </w:p>
    <w:p/>
    <w:p>
      <w:r>
        <w:rPr>
          <w:rFonts w:ascii="Times New Roman" w:hAnsi="Times New Roman" w:eastAsia="宋体"/>
          <w:b/>
          <w:i w:val="0"/>
          <w:sz w:val="22"/>
        </w:rPr>
        <w:t>IO： Vol. 78, No. 3, 2024</w:t>
      </w:r>
    </w:p>
    <w:p/>
    <w:p>
      <w:r>
        <w:rPr>
          <w:rFonts w:ascii="Times New Roman" w:hAnsi="Times New Roman" w:eastAsia="黑体"/>
          <w:b/>
          <w:i w:val="0"/>
          <w:sz w:val="24"/>
        </w:rPr>
        <w:t>资源与领土要求： 国内对资源丰富领土的反对意见</w:t>
      </w:r>
    </w:p>
    <w:p>
      <w:r>
        <w:rPr>
          <w:rFonts w:ascii="Times New Roman" w:hAnsi="Times New Roman" w:eastAsia="宋体"/>
          <w:b w:val="0"/>
          <w:i/>
          <w:color w:val="404040"/>
          <w:sz w:val="20"/>
        </w:rPr>
        <w:t>Resources and Territorial Claims: Domestic Opposition to Resource-Rich Territory</w:t>
      </w:r>
    </w:p>
    <w:p>
      <w:r>
        <w:rPr>
          <w:rFonts w:ascii="Times New Roman" w:hAnsi="Times New Roman" w:eastAsia="宋体"/>
          <w:b w:val="0"/>
          <w:i w:val="0"/>
          <w:color w:val="595959"/>
          <w:sz w:val="18"/>
        </w:rPr>
        <w:t>Soyoung Lee</w:t>
      </w:r>
    </w:p>
    <w:p>
      <w:r>
        <w:rPr>
          <w:rFonts w:ascii="Times New Roman" w:hAnsi="Times New Roman" w:eastAsia="宋体"/>
          <w:b w:val="0"/>
          <w:i w:val="0"/>
          <w:sz w:val="22"/>
        </w:rPr>
        <w:t>摘要：国家是否对拥有经济资源的领土更感兴趣？虽然以往的国际关系理论认为，在其他条件相同的情况下，资源会使领土更有吸引力，但我认为，某些类型的经济资源会使国家对领土提出主权要求的意愿降低。资本密集型资源——如石油或矿产——的存在会引起人们对获取领土的利益如何在国内分配的担忧。这些分配方面的担忧使得领导人更难动员广泛而一致的支持来声索资源丰富的土地，成本也更高。利用1830年至2001年南美洲领土主张的原始地理编码数据，我表明，国家确实不太可能主张拥有石油或矿产的土地，即使出于历史或行政原因可以主张这些土地。然后，我通过对玻利维亚的案例研究来说明这一理论机制，比较玻利维亚对收回其失去的两个省份——查科省和利托拉尔省——的态度。通过展示经济资源的存在如何成为动员统一支持的负担，本文对资源使领土更值得主张的普遍假设提出了质疑。</w:t>
      </w:r>
    </w:p>
    <w:p>
      <w:r>
        <w:rPr>
          <w:rFonts w:ascii="Times New Roman" w:hAnsi="Times New Roman" w:eastAsia="宋体"/>
          <w:b w:val="0"/>
          <w:i w:val="0"/>
          <w:sz w:val="20"/>
        </w:rPr>
        <w:t>Are states more interested in claiming territories that have economic resources? While previous theories of international relations assume that resources make a territory more tempting to claim, all else equal, I argue that certain types of economic resources can make states less willing to claim a territory. The presence of capital-intensive resources—such as oil or minerals—raises concerns about how the benefits of acquiring the territory would be distributed within the nation. These distributional concerns make it harder and costlier for leaders to mobilize widespread and consistent support for claiming resource-rich lands. Using original geocoded data on territorial claims in South America from 1830 to 2001, I show that states are indeed less likely to claim lands that have oil or minerals, even when they can be claimed for historical or administrative reasons. I then illustrate the theoretical mechanism through a case study of Bolivia, comparing Bolivian attitudes toward reclaiming its two lost provinces, the Chaco and the Litoral. By showing how the presence of economic resources can become a liability in mobilizing unified support, this paper questions the widespread assumption that resources make territories more desirable to claim.</w:t>
      </w:r>
    </w:p>
    <w:p/>
    <w:p>
      <w:r>
        <w:rPr>
          <w:rFonts w:ascii="Times New Roman" w:hAnsi="Times New Roman" w:eastAsia="黑体"/>
          <w:b/>
          <w:i w:val="0"/>
          <w:sz w:val="24"/>
        </w:rPr>
        <w:t>暴力竞争和恐怖主义限制</w:t>
      </w:r>
    </w:p>
    <w:p>
      <w:r>
        <w:rPr>
          <w:rFonts w:ascii="Times New Roman" w:hAnsi="Times New Roman" w:eastAsia="宋体"/>
          <w:b w:val="0"/>
          <w:i/>
          <w:color w:val="404040"/>
          <w:sz w:val="20"/>
        </w:rPr>
        <w:t>Violent Competition and Terrorist Restraint</w:t>
      </w:r>
    </w:p>
    <w:p>
      <w:r>
        <w:rPr>
          <w:rFonts w:ascii="Times New Roman" w:hAnsi="Times New Roman" w:eastAsia="宋体"/>
          <w:b w:val="0"/>
          <w:i w:val="0"/>
          <w:color w:val="595959"/>
          <w:sz w:val="18"/>
        </w:rPr>
        <w:t>Sara M.T. Polo；Blair Welsh</w:t>
      </w:r>
    </w:p>
    <w:p>
      <w:r>
        <w:rPr>
          <w:rFonts w:ascii="Times New Roman" w:hAnsi="Times New Roman" w:eastAsia="宋体"/>
          <w:b w:val="0"/>
          <w:i w:val="0"/>
          <w:sz w:val="22"/>
        </w:rPr>
        <w:t>摘要：有大量文献认为，国内竞争会增加激进组织使用恐怖主义的程度和严重性，使其 “品牌”与众不同，并“超越”其他组织。然而，大多数实证分析都是从一个地理区域内存在的组织数量来推断这种竞争的。这种方法忽略了特定的群体关系，如合作、言辞或暴力竞争或和平共处。我们引入了一种群体竞争的行为测量方法，并认为竞争的质而非量的变化会以意想不到的方式影响激进组织的暴力特征。在暴力竞争中，激进分子相互攻击，这对团体资源造成了极大的限制，增加了团体对平民支持的依赖，从而加剧了民众对暴行反弹的成本。此外，暴力竞争可有效替代通过出价排挤对手。我们认为，当竞争变得极端激烈时，恐怖组织会越来越多地选择克制策略，减少对平民软目标发动高调袭击的比例。我们利用290个内战组织的跨国数据（1970-2018年）和叙利亚“伊斯兰国”次国家目标策略的细粒度数据（2013-2018年），在宏观和微观层面检验了这一论点。这两项分析为我们的论点提供了有力的支持。研究结果揭示了出价竞标的战略局限性，为研究和政策提供了重要启示。</w:t>
      </w:r>
    </w:p>
    <w:p>
      <w:r>
        <w:rPr>
          <w:rFonts w:ascii="Times New Roman" w:hAnsi="Times New Roman" w:eastAsia="宋体"/>
          <w:b w:val="0"/>
          <w:i w:val="0"/>
          <w:sz w:val="20"/>
        </w:rPr>
        <w:t>A large literature has argued that domestic competition increases a militant organization's use and severity of terrorism to differentiate their “brand” and “outbid” other organizations. However, most empirical analyses infer such competition from the quantity of groups present in a geographic area. This approach neglects specific group relationships, such as cooperation, rhetorical or violent rivalry, or peaceful coexistence. We introduce a behavioral measure of group competition and argue that variation in the quality , rather than the quantity, of competition affects the violence profile of militant groups in unexpected ways. Violent competition, where militants attack one another, imposes significant constraints on group resources and increases groups’ dependence on civilian support, which exacerbates the costs of a popular backlash against brutality. Moreover, violent competition effectively substitutes for crowding out rivals via outbidding. As competition becomes extreme, we posit that groups increasingly opt for a strategy of terrorist restraint and reduce the share of high-profile attacks on soft civilian targets. We test this argument at the macro and micro levels with cross-national data on 290 organizations in civil war (1970–2018) and granular data on the subnational targeting strategy of the Islamic State in Syria (2013–2018). Both analyses provide robust support for our argument. The findings shed light on the strategic limitations of outbidding and provide important insights for research and policy.</w:t>
      </w:r>
    </w:p>
    <w:p/>
    <w:p>
      <w:r>
        <w:rPr>
          <w:rFonts w:ascii="Times New Roman" w:hAnsi="Times New Roman" w:eastAsia="黑体"/>
          <w:b/>
          <w:i w:val="0"/>
          <w:sz w:val="24"/>
        </w:rPr>
        <w:t>达摩克利斯的操控台：信息外部性与互联网管制的专制逻辑</w:t>
      </w:r>
    </w:p>
    <w:p>
      <w:r>
        <w:rPr>
          <w:rFonts w:ascii="Times New Roman" w:hAnsi="Times New Roman" w:eastAsia="宋体"/>
          <w:b w:val="0"/>
          <w:i/>
          <w:color w:val="404040"/>
          <w:sz w:val="20"/>
        </w:rPr>
        <w:t>Damocles's Switchboard: Information Externalities and the Autocratic Logic of Internet Control</w:t>
      </w:r>
    </w:p>
    <w:p>
      <w:r>
        <w:rPr>
          <w:rFonts w:ascii="Times New Roman" w:hAnsi="Times New Roman" w:eastAsia="宋体"/>
          <w:b w:val="0"/>
          <w:i w:val="0"/>
          <w:color w:val="595959"/>
          <w:sz w:val="18"/>
        </w:rPr>
        <w:t>Meicen Sun</w:t>
      </w:r>
    </w:p>
    <w:p>
      <w:r>
        <w:rPr>
          <w:rFonts w:ascii="Times New Roman" w:hAnsi="Times New Roman" w:eastAsia="宋体"/>
          <w:b w:val="0"/>
          <w:i w:val="0"/>
          <w:sz w:val="22"/>
        </w:rPr>
        <w:t>摘要：本文提出了互联网控制的专制逻辑理论。出于政治动机的互联网管制为国内数据密集型企业带来了正外部性，而为国内知识密集型研究实体带来了负外部性。利用2014年互联网管制的重大冲击，我发现中国的数据密集型企业在互联网管制下比其他中国企业增加了26%的收入。同样的冲击导致中国研究人员的研究质量下降 10%，条件是其学科的知识密集度。与美国同行相比，中国研究人员在所有学科的研究质量也下降了 22%。由于数据的正外部性，为防止国内威胁而制定的互联网管制措施挑战了国家对数据主权的竞争性需求，以抵御国外威胁。同时，国家保护某些外国知识密集型行为者免受负面知识外部性的影响，以避免他们可能带来的直接经济损失。定性证据支持了这两方面的含义，凸显了短期利益和外国参与者在专制决策中的核心地位。</w:t>
      </w:r>
    </w:p>
    <w:p>
      <w:r>
        <w:rPr>
          <w:rFonts w:ascii="Times New Roman" w:hAnsi="Times New Roman" w:eastAsia="宋体"/>
          <w:b w:val="0"/>
          <w:i w:val="0"/>
          <w:sz w:val="20"/>
        </w:rPr>
        <w:t>This paper advances a theory for the autocratic logic of internet control. Politically motivated internet control generates a positive externality for domestic data-intensive firms and a negative externality for domestic knowledge-intensive research entities. Exploiting a major internet control shock in 2014, I find that Chinese data-intensive firms gained 26 percent in revenue over other Chinese firms as the result of internet control. The same shock incurred a 10 percent decline in research quality from Chinese researchers, conditional on the knowledge intensity of their discipline. It also reduced the research quality from Chinese researchers relative to their US counterparts by 22 percent in all disciplines. Due to the positive data externality, internet control enacted to prevent domestic threats challenges the state's competing need for data sovereignty against foreign threats. Meanwhile, the state shields certain foreign knowledge-intensive actors from the negative knowledge externality to avoid the immediate economic costs they might otherwise impose. Qualitative evidence supports both implications, highlighting the centrality of short-term interests and foreign actors in autocratic decision making.</w:t>
      </w:r>
    </w:p>
    <w:p/>
    <w:p>
      <w:r>
        <w:rPr>
          <w:rFonts w:ascii="Times New Roman" w:hAnsi="Times New Roman" w:eastAsia="黑体"/>
          <w:b/>
          <w:i w:val="0"/>
          <w:sz w:val="24"/>
        </w:rPr>
        <w:t>泛非意识形态在种族权力分享中的作用</w:t>
      </w:r>
    </w:p>
    <w:p>
      <w:r>
        <w:rPr>
          <w:rFonts w:ascii="Times New Roman" w:hAnsi="Times New Roman" w:eastAsia="宋体"/>
          <w:b w:val="0"/>
          <w:i/>
          <w:color w:val="404040"/>
          <w:sz w:val="20"/>
        </w:rPr>
        <w:t>The Role of Pan-African Ideology in Ethnic Power Sharing</w:t>
      </w:r>
    </w:p>
    <w:p>
      <w:r>
        <w:rPr>
          <w:rFonts w:ascii="Times New Roman" w:hAnsi="Times New Roman" w:eastAsia="宋体"/>
          <w:b w:val="0"/>
          <w:i w:val="0"/>
          <w:color w:val="595959"/>
          <w:sz w:val="18"/>
        </w:rPr>
        <w:t>Janina Beiser-McGrath；Sam Erkiletian；Nils W. Metternich</w:t>
      </w:r>
    </w:p>
    <w:p>
      <w:r>
        <w:rPr>
          <w:rFonts w:ascii="Times New Roman" w:hAnsi="Times New Roman" w:eastAsia="宋体"/>
          <w:b w:val="0"/>
          <w:i w:val="0"/>
          <w:sz w:val="22"/>
        </w:rPr>
        <w:t>摘要：政府形成更具民族包容性联盟的条件是什么？以往的研究强调战略动机以及殖民地和殖民地时期遗留下来的问题是决定种族包容性政府联盟的因素，但忽略了非殖民化时期政治动员的影响。我们认为，泛非反殖民运动中的意识形态接触和承诺在非洲领导人决定与其他族群分享权力的过程中发挥了至关重要的作用。通过收集会议代表名单，我们获得了非洲政府领导人出席非殖民化时期泛非会议的新数据。考虑到竞争机制，我们发现，参加泛非会议的非洲政治精英在成为政府领导人后，会组成更具种族包容性的政府联盟。我们的研究结果表明，出席泛非会议所表明的意识形态影响和承诺影响了政治领导人组建更具包容性政府的方式，而且种族联盟在泛非非殖民化运动中的遗留问题一直未得到研究。</w:t>
      </w:r>
    </w:p>
    <w:p>
      <w:r>
        <w:rPr>
          <w:rFonts w:ascii="Times New Roman" w:hAnsi="Times New Roman" w:eastAsia="宋体"/>
          <w:b w:val="0"/>
          <w:i w:val="0"/>
          <w:sz w:val="20"/>
        </w:rPr>
        <w:t>What are the conditions under which governments form more ethnically inclusive coalitions? Previous contributions highlight strategic incentives as well as colonial and precolonial legacies as determinants of ethnically inclusive government coalitions but overlook the impact of political mobilization during the decolonization period. We argue that ideological exposure and commitment to the Pan-African anticolonial movement played a vital role in African leaders’ decisions to share power with other ethnic communities. We leverage novel data on African government leaders’ attendance at decolonization-era Pan-African conferences through a unique collection of conference delegate lists. Accounting for rival mechanisms, we find that African political elites who attended Pan-African conferences formed ethnically more inclusive government coalitions when they became government leaders. Our findings imply that the ideological influence and commitment signaled by conference attendance affected political leaders’ approach to form more inclusive governments and that ethnic coalitions have systematically unexplored legacies in the Pan-African decolonization movement.</w:t>
      </w:r>
    </w:p>
    <w:p/>
    <w:p>
      <w:r>
        <w:rPr>
          <w:rFonts w:ascii="Times New Roman" w:hAnsi="Times New Roman" w:eastAsia="黑体"/>
          <w:b/>
          <w:i w:val="0"/>
          <w:sz w:val="24"/>
        </w:rPr>
        <w:t>外交政策任命</w:t>
      </w:r>
    </w:p>
    <w:p>
      <w:r>
        <w:rPr>
          <w:rFonts w:ascii="Times New Roman" w:hAnsi="Times New Roman" w:eastAsia="宋体"/>
          <w:b w:val="0"/>
          <w:i/>
          <w:color w:val="404040"/>
          <w:sz w:val="20"/>
        </w:rPr>
        <w:t>Foreign Policy Appointments</w:t>
      </w:r>
    </w:p>
    <w:p>
      <w:r>
        <w:rPr>
          <w:rFonts w:ascii="Times New Roman" w:hAnsi="Times New Roman" w:eastAsia="宋体"/>
          <w:b w:val="0"/>
          <w:i w:val="0"/>
          <w:color w:val="595959"/>
          <w:sz w:val="18"/>
        </w:rPr>
        <w:t>Matt Malis</w:t>
      </w:r>
    </w:p>
    <w:p>
      <w:r>
        <w:rPr>
          <w:rFonts w:ascii="Times New Roman" w:hAnsi="Times New Roman" w:eastAsia="宋体"/>
          <w:b w:val="0"/>
          <w:i w:val="0"/>
          <w:sz w:val="22"/>
        </w:rPr>
        <w:t>摘要：领导人如何选择其外交政策的高层任命人员？通过一个围绕国际危机的国内和政府内部政治的正式模型，我研究了影响领导人任命策略的权衡因素。在该模型中，领导人在选择外交政策任命人选时，会预期该任命将如何影响他在危机中获得的建议、选民对他的表现的评价，以及最终他和他的外交同行因此而奉行的政策。分析揭示了领导人在利用任命推进其核心政治和政策目标--威慑外国侵略、获得准确建议以及最大限度地提高国内支持率——的能力中存在的基本矛盾：任何推进其中一个目标的任命都必然以另一个目标为代价，领导人的任命策略必须在这些权衡中取得平衡。通过分析各国国防部长和外交部长的任命模式，我发现了与模型预测一致的描述性证据：鸽派政党的领导人选择跨党派和政治独立的被任命者的可能性是鹰派政党领导人的两倍多，而且当任何一个政党的领导人临近连任时，这种任命的可能性都会降低。</w:t>
      </w:r>
    </w:p>
    <w:p>
      <w:r>
        <w:rPr>
          <w:rFonts w:ascii="Times New Roman" w:hAnsi="Times New Roman" w:eastAsia="宋体"/>
          <w:b w:val="0"/>
          <w:i w:val="0"/>
          <w:sz w:val="20"/>
        </w:rPr>
        <w:t>How do leaders select their top-level foreign policy appointees? Through a formal model of the domestic and intragovernmental politics surrounding an international crisis, I investigate the trade-offs shaping leaders’ appointment strategies. In the model, a leader selects a foreign policy appointee, anticipating how the appointment will affect the advice he receives in the crisis, the electorate's evaluation of his performance, and ultimately the policies that he and his foreign counterparts pursue as a consequence. The analysis uncovers a fundamental tension in the leader's ability to use appointments to advance his core political and policy objectives of deterring foreign aggression, obtaining accurate advice, and maximizing domestic approval: any appointment that advances one of these objectives invariably comes at the cost of another, and the leader's appointment strategy must balance across these trade-offs. Analyzing cross-national appointment patterns to the offices of ministers of defense and foreign affairs, I find descriptive evidence consistent with the model's predictions: leaders from dovish parties are more than twice as likely as leaders from hawkish parties to select cross-partisan and politically independent appointees, and such appointments are less likely for leaders of either party as they approach re-election.</w:t>
      </w:r>
    </w:p>
    <w:p/>
    <w:p>
      <w:r>
        <w:rPr>
          <w:rFonts w:ascii="Times New Roman" w:hAnsi="Times New Roman" w:eastAsia="黑体"/>
          <w:b/>
          <w:i w:val="0"/>
          <w:sz w:val="24"/>
        </w:rPr>
        <w:t>重新认识国际秩序： 当代中国理论及其对全球国际关系的贡献</w:t>
      </w:r>
    </w:p>
    <w:p>
      <w:r>
        <w:rPr>
          <w:rFonts w:ascii="Times New Roman" w:hAnsi="Times New Roman" w:eastAsia="宋体"/>
          <w:b w:val="0"/>
          <w:i/>
          <w:color w:val="404040"/>
          <w:sz w:val="20"/>
        </w:rPr>
        <w:t>Reconceptualizing International Order: Contemporary Chinese Theories and Their Contributions to Global IR</w:t>
      </w:r>
    </w:p>
    <w:p>
      <w:r>
        <w:rPr>
          <w:rFonts w:ascii="Times New Roman" w:hAnsi="Times New Roman" w:eastAsia="宋体"/>
          <w:b w:val="0"/>
          <w:i w:val="0"/>
          <w:color w:val="595959"/>
          <w:sz w:val="18"/>
        </w:rPr>
        <w:t>Haoming Xiong；David A. Peterson；Bear F. Braumoeller</w:t>
      </w:r>
    </w:p>
    <w:p>
      <w:r>
        <w:rPr>
          <w:rFonts w:ascii="Times New Roman" w:hAnsi="Times New Roman" w:eastAsia="宋体"/>
          <w:b w:val="0"/>
          <w:i w:val="0"/>
          <w:sz w:val="22"/>
        </w:rPr>
        <w:t>摘要：近年来，从全球而非纯粹的西方视角对国际秩序进行理论探讨的现象屡见不鲜。我们通过评述四位当代中国著名学者最近的长篇理论著作，为这一方法做出贡献。我们概述了这些国际秩序概念的异同，指出了它们的贡献和局限，并将它们与西方的国际秩序范式（如现实主义和自由主义）进行了比较。然后，我们将展示这些中国方法的见解如何丰富现有的国际关系辩论，并为当代中国外交政策提供启示。</w:t>
      </w:r>
    </w:p>
    <w:p>
      <w:r>
        <w:rPr>
          <w:rFonts w:ascii="Times New Roman" w:hAnsi="Times New Roman" w:eastAsia="宋体"/>
          <w:b w:val="0"/>
          <w:i w:val="0"/>
          <w:sz w:val="20"/>
        </w:rPr>
        <w:t>Recent years have witnessed the theorizing of international order from a global, rather than purely Western, perspective. We contribute to this approach by reviewing recent book-length theorizations by four prominent contemporary Chinese scholars. We outline how these conceptions of international order converge and diverge, identify their contributions and limitations, and compare them with Western paradigms of international order, such as realism and liberalism. We then demonstrate how insights from these Chinese approaches enrich existing international relations debates and shed light on contemporary Chinese foreign policy.</w:t>
      </w:r>
    </w:p>
    <w:p/>
    <w:p>
      <w:r>
        <w:rPr>
          <w:rFonts w:ascii="Times New Roman" w:hAnsi="Times New Roman" w:eastAsia="黑体"/>
          <w:b/>
          <w:i w:val="0"/>
          <w:sz w:val="24"/>
        </w:rPr>
        <w:t>种族、代表性和国际组织的合法性</w:t>
      </w:r>
    </w:p>
    <w:p>
      <w:r>
        <w:rPr>
          <w:rFonts w:ascii="Times New Roman" w:hAnsi="Times New Roman" w:eastAsia="宋体"/>
          <w:b w:val="0"/>
          <w:i/>
          <w:color w:val="404040"/>
          <w:sz w:val="20"/>
        </w:rPr>
        <w:t>Race, Representation, and the Legitimacy of International Organizations</w:t>
      </w:r>
    </w:p>
    <w:p>
      <w:r>
        <w:rPr>
          <w:rFonts w:ascii="Times New Roman" w:hAnsi="Times New Roman" w:eastAsia="宋体"/>
          <w:b w:val="0"/>
          <w:i w:val="0"/>
          <w:color w:val="595959"/>
          <w:sz w:val="18"/>
        </w:rPr>
        <w:t>David A. Steinberg；Daniel McDowell</w:t>
      </w:r>
    </w:p>
    <w:p>
      <w:r>
        <w:rPr>
          <w:rFonts w:ascii="Times New Roman" w:hAnsi="Times New Roman" w:eastAsia="宋体"/>
          <w:b w:val="0"/>
          <w:i w:val="0"/>
          <w:sz w:val="22"/>
        </w:rPr>
        <w:t>摘要：本研究探讨种族如何影响国际组织（IOs）的合法性。具体来说，我们研究了黑人在国际组织领导职位中的代表性是否会影响黑人和白人对国际组织合法性的看法。为此，我们在南非和美国这两个种族多元化的国家进行了七项调查实验，并在一个以黑人为主的国家肯尼亚进行了三项实验。我们的实验旨在区分IO领导者的种族与其原籍地区的影响。我们发现，黑人国际组织领导人能提高黑人公民对机构合法性的认知，但对白人公民的合法性认知影响不大。我们的研究结果表明，提高历史上被边缘化的种族群体在国际组织中的代表性可以增强其在民众中的合法性。</w:t>
      </w:r>
    </w:p>
    <w:p>
      <w:r>
        <w:rPr>
          <w:rFonts w:ascii="Times New Roman" w:hAnsi="Times New Roman" w:eastAsia="宋体"/>
          <w:b w:val="0"/>
          <w:i w:val="0"/>
          <w:sz w:val="20"/>
        </w:rPr>
        <w:t>This study explores how race impacts the legitimacy of international organizations (IOs). Specifically, we examine whether the representation of Black people in IO leadership positions influences perceptions of IO legitimacy among Black and white individuals. To do so, we fielded seven survey experiments in two racially diverse countries, South Africa and the United States, and three experiments in one predominantly Black country, Kenya. Our experiments were designed to distinguish the effects of an IO leader's race from their region of origin. We find that Black IO leadership enhances perceptions of institutional legitimacy among Black citizens, but does not strongly influence the legitimacy perceptions of their white counterparts. Our findings suggest that improving the representation of historically marginalized racial groups within IOs can enhance their popular legitimacy.</w:t>
      </w:r>
    </w:p>
    <w:p/>
    <w:p>
      <w:r>
        <w:rPr>
          <w:rFonts w:ascii="Times New Roman" w:hAnsi="Times New Roman" w:eastAsia="黑体"/>
          <w:b/>
          <w:i w:val="0"/>
          <w:sz w:val="24"/>
        </w:rPr>
        <w:t>否认显而易见：为什么名义上的隐蔽行动会避免升级？</w:t>
      </w:r>
    </w:p>
    <w:p>
      <w:r>
        <w:rPr>
          <w:rFonts w:ascii="Times New Roman" w:hAnsi="Times New Roman" w:eastAsia="宋体"/>
          <w:b w:val="0"/>
          <w:i/>
          <w:color w:val="404040"/>
          <w:sz w:val="20"/>
        </w:rPr>
        <w:t>Denying the Obvious: Why Do Nominally Covert Actions Avoid Escalation?</w:t>
      </w:r>
    </w:p>
    <w:p>
      <w:r>
        <w:rPr>
          <w:rFonts w:ascii="Times New Roman" w:hAnsi="Times New Roman" w:eastAsia="宋体"/>
          <w:b w:val="0"/>
          <w:i w:val="0"/>
          <w:color w:val="595959"/>
          <w:sz w:val="18"/>
        </w:rPr>
        <w:t>Chase Bloch；Roseanne W. McManus</w:t>
      </w:r>
    </w:p>
    <w:p>
      <w:r>
        <w:rPr>
          <w:rFonts w:ascii="Times New Roman" w:hAnsi="Times New Roman" w:eastAsia="宋体"/>
          <w:b w:val="0"/>
          <w:i w:val="0"/>
          <w:sz w:val="22"/>
        </w:rPr>
        <w:t>摘要：2014年，俄罗斯不顾大量证据，否认其军队正在协助乌克兰东部的分离主义分子。 为什么即使敌对行动显而易见，各国也要矢口否认呢？学者们认为，使敌对行动隐蔽化可以减轻目标国的压力，从而使敌对行动升级。然而，当行动的责任证据是公开的时候，这种说法是否适用还不清楚。我们通过三个调查实验来检验，在存在矛盾证据的情况下，否认行动责任是否真的会抑制目标国公众对行动升级的需求。我们还检验了三种可能解释这种情况的因果机制：理性主义声誉机制、心理机制和不确定性机制。我们确实发现了不可信否认的缓和效应。该效应通过所有三种拟议的因果机制进行调解，但不确定性和声誉担忧的影响最为一致。</w:t>
      </w:r>
    </w:p>
    <w:p>
      <w:r>
        <w:rPr>
          <w:rFonts w:ascii="Times New Roman" w:hAnsi="Times New Roman" w:eastAsia="宋体"/>
          <w:b w:val="0"/>
          <w:i w:val="0"/>
          <w:sz w:val="20"/>
        </w:rPr>
        <w:t>In 2014, Russia denied that its military was assisting separatists in eastern Ukraine, despite overwhelming evidence. Why do countries bother to deny hostile actions like this even when they are obvious? Scholars have argued that making hostile actions covert can reduce pressure on the target state to escalate. Yet it is not clear whether this claim applies when evidence of responsibility for the action is publicly available. We use three survey experiments to test whether denying responsibility for an action in the presence of contradictory evidence truly dampens demand for escalation among the public in the target state. We also test three causal mechanisms that might explain this: a rationalist reputation mechanism, a psychological mechanism, and an uncertainty mechanism. We do find a de-escalatory effect of noncredible denials. The effect is mediated through all three proposed causal mechanisms, but uncertainty and reputational concern have the most consistent effect.</w:t>
      </w:r>
    </w:p>
    <w:p/>
    <w:p>
      <w:r>
        <w:rPr>
          <w:rFonts w:ascii="Times New Roman" w:hAnsi="Times New Roman" w:eastAsia="宋体"/>
          <w:b/>
          <w:i w:val="0"/>
          <w:sz w:val="22"/>
        </w:rPr>
        <w:t>IO： Vol. 78, No. 2, 2024</w:t>
      </w:r>
    </w:p>
    <w:p/>
    <w:p>
      <w:r>
        <w:rPr>
          <w:rFonts w:ascii="Times New Roman" w:hAnsi="Times New Roman" w:eastAsia="黑体"/>
          <w:b/>
          <w:i w:val="0"/>
          <w:sz w:val="24"/>
        </w:rPr>
        <w:t>外交政策官僚机构中的种族主题：计算文本分析</w:t>
      </w:r>
    </w:p>
    <w:p>
      <w:r>
        <w:rPr>
          <w:rFonts w:ascii="Times New Roman" w:hAnsi="Times New Roman" w:eastAsia="宋体"/>
          <w:b w:val="0"/>
          <w:i/>
          <w:color w:val="404040"/>
          <w:sz w:val="20"/>
        </w:rPr>
        <w:t>Racial Tropes in the Foreign Policy Bureaucracy: A Computational Text Analysis</w:t>
      </w:r>
    </w:p>
    <w:p>
      <w:r>
        <w:rPr>
          <w:rFonts w:ascii="Times New Roman" w:hAnsi="Times New Roman" w:eastAsia="宋体"/>
          <w:b w:val="0"/>
          <w:i w:val="0"/>
          <w:color w:val="595959"/>
          <w:sz w:val="18"/>
        </w:rPr>
        <w:t>Austin Carson；Eric Min；Maya Van Nuys</w:t>
      </w:r>
    </w:p>
    <w:p>
      <w:r>
        <w:rPr>
          <w:rFonts w:ascii="Times New Roman" w:hAnsi="Times New Roman" w:eastAsia="宋体"/>
          <w:b w:val="0"/>
          <w:i w:val="0"/>
          <w:sz w:val="22"/>
        </w:rPr>
        <w:t>摘要：种族刻板印象如何影响外交政策的认知？在国际关系研究中，种族和种族主义这一话题长期以来一直被边缘化，但现在却重新受到关注。在这篇文章中，我们评估了冷战时期美国外交政策官僚机构内部分原创类评估中隐性种族偏见的作用。我们使用了基于字典和监督的机器学习技术，在一个独特的情报文件语料库中识别出了四种种族倾向：近5000份发给肯尼迪、约翰逊、尼克松和福特的总统每日简报。我们论证并发现，有关美国视为 “种族化他者”的国家的条目——特别是全球南部国家、新独立国家和一些特定的地区集团--具有特别多的种族主题。有关这些地方的外国发展的条目更有可能出现幼稚化、引用动物类比、暗示非理性或好战的解释。即使考虑到冲突的存在、被分析国家的政权类型、对领导人的引用以及讨论的主题，这种关联也是成立的。这篇文章有两个主要贡献。首先，它为重新关注种族问题做出了贡献，且特别强调了隐性种族化思维及其在官僚环境中的表现。其次，我们展示了在外交政策文本中识别种族偏见和其他形式隐性偏见的新工具的前景。</w:t>
      </w:r>
    </w:p>
    <w:p>
      <w:r>
        <w:rPr>
          <w:rFonts w:ascii="Times New Roman" w:hAnsi="Times New Roman" w:eastAsia="宋体"/>
          <w:b w:val="0"/>
          <w:i w:val="0"/>
          <w:sz w:val="20"/>
        </w:rPr>
        <w:t>How do racial stereotypes affect perceptions in foreign policy? Race and racism as topics have long been marginalized in the study of international relations but are receiving renewed attention. In this article we assess the role of implicit racial bias in internal, originally classified assessments by the US foreign policy bureaucracy during the Cold War. We use a combination of dictionary-based and supervised machine learning techniques to identify the presence of four racial tropes in a unique corpus of intelligence documents: almost 5,000 President's Daily Briefs given to Kennedy, Johnson, Nixon, and Ford. We argue and find that entries about countries that the US deemed “racialized Others”—specifically, countries in the Global South, newly independent states, and some specific regional groupings—feature an especially large number of racial tropes. Entries about foreign developments in these places are more likely to feature interpretations that infantilize, invoke animal-based analogies, or imply irrationality or belligerence. This association holds even when accounting for the presence of conflict, the regime type of the country being analyzed, the invocation of leaders, and the topics being discussed. The article makes two primary contributions. First, it adds to the revival of attention to race but gives special emphasis to implicit racialized thinking and its appearance in bureaucratic settings. Second, we show the promise of new tools for identifying racial and other forms of implicit bias in foreign policy texts.</w:t>
      </w:r>
    </w:p>
    <w:p/>
    <w:p>
      <w:r>
        <w:rPr>
          <w:rFonts w:ascii="Times New Roman" w:hAnsi="Times New Roman" w:eastAsia="黑体"/>
          <w:b/>
          <w:i w:val="0"/>
          <w:sz w:val="24"/>
        </w:rPr>
        <w:t>安全、社会和对神圣事物的永恒斗争：国际关系理论中宗教战争的修正</w:t>
      </w:r>
    </w:p>
    <w:p>
      <w:r>
        <w:rPr>
          <w:rFonts w:ascii="Times New Roman" w:hAnsi="Times New Roman" w:eastAsia="宋体"/>
          <w:b w:val="0"/>
          <w:i/>
          <w:color w:val="404040"/>
          <w:sz w:val="20"/>
        </w:rPr>
        <w:t>Security, Society, and the Perennial Struggles over the Sacred: Revising the Wars of Religion in International Relations Theory</w:t>
      </w:r>
    </w:p>
    <w:p>
      <w:r>
        <w:rPr>
          <w:rFonts w:ascii="Times New Roman" w:hAnsi="Times New Roman" w:eastAsia="宋体"/>
          <w:b w:val="0"/>
          <w:i w:val="0"/>
          <w:color w:val="595959"/>
          <w:sz w:val="18"/>
        </w:rPr>
        <w:t>Derek Bolton</w:t>
      </w:r>
    </w:p>
    <w:p>
      <w:r>
        <w:rPr>
          <w:rFonts w:ascii="Times New Roman" w:hAnsi="Times New Roman" w:eastAsia="宋体"/>
          <w:b w:val="0"/>
          <w:i w:val="0"/>
          <w:sz w:val="22"/>
        </w:rPr>
        <w:t>摘要：国际关系理论倾向于将宗教战争 (WoR) 建立在如下传统叙事之上，即认为，正是宗教暴力的非理性催生了现代国际务实世俗国家体系，从而导致了政治的世俗化、理性化和非感情化。相比之下，本文将我们的焦点重新调整到涂尔干关于宗教的更具社会性的认知，即宗教是信徒的共同体，以及神圣和共同情感在社会和政治生活中的持续作用。具体来说，它研究了现代社群（如国家）如何仍然由对神圣概念的共同信仰构成，以及相应的道德秩序感如何成为持久追求本体安全的核心。因此，本文认为，国际关系应关注社群所持神圣观念的长期斗争，通过考察神圣的本体论安全与道德解释学之间的持续相互作用，我们可以更好地理解（“宗教”或“世俗”）暴力倾向——所谓的宗教战争是这一论点的典型案例。历史研究探索了宗教战争参与者如何应对这种神圣斗争，从而使我们能够探索这些动态，并进一步将我们对现代“世俗”政治中神圣的理解进行概念化。本文最后研究了暴力前景如何与政治秩序内部和之间关于神圣的长期斗争相互关联——这种情绪凸显了国内道德两极分化和国家间意识形态竞争日益加剧所带来的一些危险隐患。</w:t>
      </w:r>
    </w:p>
    <w:p>
      <w:r>
        <w:rPr>
          <w:rFonts w:ascii="Times New Roman" w:hAnsi="Times New Roman" w:eastAsia="宋体"/>
          <w:b w:val="0"/>
          <w:i w:val="0"/>
          <w:sz w:val="20"/>
        </w:rPr>
        <w:t>International relations theory tends to build on the conventional narrative of the Wars of Religion (WoR), which holds it was the irrationality of religious violence that generated the modern international system of pragmatic secular states—resulting in the presumed secularized, rational, and unemotive nature of politics. In contrast, this article reorients our focus to Durkheim's more social view of religion as a community of believers and to the continued role of the sacred and shared emotion/affect in social and political life. Specifically, it examines how modern communities (such as nations) remain constituted by a shared faith in conceptions of the sacred and how the corresponding sense of moral order is central to the enduring pursuit of ontological security. Therefore, it argues that international relations should focus on the perennial struggles over what communities hold sacred and that we can better understand the propensity for (“religious” or “secular”) violence by examining the continual interplay between the sacred, ontological security, and the hermeneutics of morality—with the so-called WoR being the locus classicus of this argument. Historical studies exploring how participants in the WoR navigated such struggles over the sacred thus allow us to explore these dynamics and further conceptualize our understanding of the sacred within modern “secular” politics. The article concludes by examining how the prospect for violence is interrelated with the perennial struggles over the sacred within, and between, political orders—a sentiment that brings into relief some of the hazards accompanying growing intrastate moral polarization and interstate ideological rivalry.</w:t>
      </w:r>
    </w:p>
    <w:p/>
    <w:p>
      <w:r>
        <w:rPr>
          <w:rFonts w:ascii="Times New Roman" w:hAnsi="Times New Roman" w:eastAsia="黑体"/>
          <w:b/>
          <w:i w:val="0"/>
          <w:sz w:val="24"/>
        </w:rPr>
        <w:t>未来即历史：后拿破仑时代欧洲的恢复性民族主义与冲突</w:t>
      </w:r>
    </w:p>
    <w:p>
      <w:r>
        <w:rPr>
          <w:rFonts w:ascii="Times New Roman" w:hAnsi="Times New Roman" w:eastAsia="宋体"/>
          <w:b w:val="0"/>
          <w:i/>
          <w:color w:val="404040"/>
          <w:sz w:val="20"/>
        </w:rPr>
        <w:t>The Future Is History: Restorative Nationalism and Conflict in Post-Napoleonic Europe</w:t>
      </w:r>
    </w:p>
    <w:p>
      <w:r>
        <w:rPr>
          <w:rFonts w:ascii="Times New Roman" w:hAnsi="Times New Roman" w:eastAsia="宋体"/>
          <w:b w:val="0"/>
          <w:i w:val="0"/>
          <w:color w:val="595959"/>
          <w:sz w:val="18"/>
        </w:rPr>
        <w:t>Lars-Erik Cederman；Yannick I. Pengl；Luc Girardin；Carl Müller-Crepon</w:t>
      </w:r>
    </w:p>
    <w:p>
      <w:r>
        <w:rPr>
          <w:rFonts w:ascii="Times New Roman" w:hAnsi="Times New Roman" w:eastAsia="宋体"/>
          <w:b w:val="0"/>
          <w:i w:val="0"/>
          <w:sz w:val="22"/>
        </w:rPr>
        <w:t>摘要：正如俄罗斯入侵乌克兰所表明的那样，最近民族主义的复兴引发了修正主义冲突的威胁性回归。虽然有关民族主义的文献显示了民族主义叙事是如何在社会中建构起来的，但对其在现实世界中的后果却知之甚少。我们认真对待民族主义叙事，研究过去的 “黄金时代 ”如何影响后拿破仑时代欧洲的领土要求和冲突。我们预计，如果民族主义者能将现状与历史上所谓更加统一和/或独立的政体进行对比，他们就更有可能动员起来并发起冲突。通过使用可追溯到1100年的欧洲国家边界数据，并结合过去两个世纪民族聚居区的空间数据，我们发现，所谓合理的黄金时代会增加国内和国家间冲突的风险。这些发现表明，特定的历史遗产使某些现代民族主义比其他民族主义更具影响力。</w:t>
      </w:r>
    </w:p>
    <w:p>
      <w:r>
        <w:rPr>
          <w:rFonts w:ascii="Times New Roman" w:hAnsi="Times New Roman" w:eastAsia="宋体"/>
          <w:b w:val="0"/>
          <w:i w:val="0"/>
          <w:sz w:val="20"/>
        </w:rPr>
        <w:t>As illustrated by Russia's invasion of Ukraine, the recent revival of nationalism has triggered a threatening return of revisionist conflict. While the literature on nationalism shows how nationalist narratives are socially constructed, much less is known about their real-world consequences. Taking nationalist narratives seriously, we study how past “golden ages” affect territorial claims and conflict in post-Napoleonic Europe. We expect nationalists to be more likely to mobilize and initiate conflict if they can contrast the status quo to a historical polity with supposedly greater national unity and/or independence. Using data on European state borders going back to 1100, combined with spatial data covering ethnic settlement areas during the past two centuries, we find that the availability of plausible golden ages increases the risk of both domestic and interstate conflict. These findings suggest that specific historical legacies make some modern nationalisms more consequential than others.</w:t>
      </w:r>
    </w:p>
    <w:p/>
    <w:p>
      <w:r>
        <w:rPr>
          <w:rFonts w:ascii="Times New Roman" w:hAnsi="Times New Roman" w:eastAsia="黑体"/>
          <w:b/>
          <w:i w:val="0"/>
          <w:sz w:val="24"/>
        </w:rPr>
        <w:t>美洲人权法院的监督听证、利益攸关方参与和遵约</w:t>
      </w:r>
    </w:p>
    <w:p>
      <w:r>
        <w:rPr>
          <w:rFonts w:ascii="Times New Roman" w:hAnsi="Times New Roman" w:eastAsia="宋体"/>
          <w:b w:val="0"/>
          <w:i/>
          <w:color w:val="404040"/>
          <w:sz w:val="20"/>
        </w:rPr>
        <w:t>Oversight Hearings, Stakeholder Engagement, and Compliance in the Inter-American Court of Human Rights</w:t>
      </w:r>
    </w:p>
    <w:p>
      <w:r>
        <w:rPr>
          <w:rFonts w:ascii="Times New Roman" w:hAnsi="Times New Roman" w:eastAsia="宋体"/>
          <w:b w:val="0"/>
          <w:i w:val="0"/>
          <w:color w:val="595959"/>
          <w:sz w:val="18"/>
        </w:rPr>
        <w:t>Aníbal Pérez-Liñán；Angie K. García Atehortúa</w:t>
      </w:r>
    </w:p>
    <w:p>
      <w:r>
        <w:rPr>
          <w:rFonts w:ascii="Times New Roman" w:hAnsi="Times New Roman" w:eastAsia="宋体"/>
          <w:b w:val="0"/>
          <w:i w:val="0"/>
          <w:sz w:val="22"/>
        </w:rPr>
        <w:t>摘要：本文提出“对话式监督”概念，即司法机构通过强制性国家报告、第三方参与和监督听证相结合来监督遵约的过程。为评估该策略在国际层面的有效性，作者评估了美洲人权法院开展的监督听证，运用倾向得分匹配、双重差分估计和事件史模型，分析1989—2019年法院下令的1878项赔偿措施的遵约情况。研究发现对话式监督有温和但积极的效果，使国家遵约概率每年提高约3%（相对基线执行率是相当可观的效应），但需要公民社会参与才能产生积极结果。该框架将宪法学与国际组织研究中相互疏离的相关发现联系起来。</w:t>
      </w:r>
    </w:p>
    <w:p>
      <w:r>
        <w:rPr>
          <w:rFonts w:ascii="Times New Roman" w:hAnsi="Times New Roman" w:eastAsia="宋体"/>
          <w:b w:val="0"/>
          <w:i w:val="0"/>
          <w:sz w:val="20"/>
        </w:rPr>
        <w:t>This paper introduces the concept of dialogic oversight, a process by which judicial bodies monitor compliance through a combination of mandated state reporting, third-party engagement, and supervision hearings. To assess the effectiveness of this strategy in the international arena, we evaluate the supervision hearings conducted by the Inter-American Court of Human Rights. We employ propensity-score matching, difference-in-difference estimators, and event-history models to analyze compliance with 1,878 reparation measures ordered by the Court between 1989 and 2019. We find that dialogic oversight has moderate but positive effects, increasing the probability of state compliance by about 3 percent per year (a substantial effect compared to the baseline rate of implementation). However, it requires the engagement of civil society to yield positive outcomes. Our framework connects related findings in distant literatures on constitutional law and international organizations.</w:t>
      </w:r>
    </w:p>
    <w:p/>
    <w:p>
      <w:r>
        <w:rPr>
          <w:rFonts w:ascii="Times New Roman" w:hAnsi="Times New Roman" w:eastAsia="黑体"/>
          <w:b/>
          <w:i w:val="0"/>
          <w:sz w:val="24"/>
        </w:rPr>
        <w:t>女性和男性政治家对战争的反应：来自乌克兰的证据</w:t>
      </w:r>
    </w:p>
    <w:p>
      <w:r>
        <w:rPr>
          <w:rFonts w:ascii="Times New Roman" w:hAnsi="Times New Roman" w:eastAsia="宋体"/>
          <w:b w:val="0"/>
          <w:i/>
          <w:color w:val="404040"/>
          <w:sz w:val="20"/>
        </w:rPr>
        <w:t>Women and Men Politicians’ Response to War: Evidence from Ukraine</w:t>
      </w:r>
    </w:p>
    <w:p>
      <w:r>
        <w:rPr>
          <w:rFonts w:ascii="Times New Roman" w:hAnsi="Times New Roman" w:eastAsia="宋体"/>
          <w:b w:val="0"/>
          <w:i w:val="0"/>
          <w:color w:val="595959"/>
          <w:sz w:val="18"/>
        </w:rPr>
        <w:t>Taylor J. Damann；Dahjin Kim；Margit Tavits</w:t>
      </w:r>
    </w:p>
    <w:p>
      <w:r>
        <w:rPr>
          <w:rFonts w:ascii="Times New Roman" w:hAnsi="Times New Roman" w:eastAsia="宋体"/>
          <w:b w:val="0"/>
          <w:i w:val="0"/>
          <w:sz w:val="22"/>
        </w:rPr>
        <w:t>摘要：战争是加深了政治家行为中的性别不平等，还是有助于消除这些不平等？我们借鉴心理学中的恐怖管理理论，认为暴力冲突的爆发可能会促使政治家们更强烈地遵从传统的性别刻板印象，因为这有助于个人应对生存恐惧。为了验证我们的论点，我们使用了2022年俄罗斯入侵乌克兰前后三个月乌克兰政治家在社交媒体上的参与数据（469位政治家在Facebook上发布的136455条帖子）以及间断时间序列分析，来评估冲突对政治家行为的影响。我们发现，冲突的爆发加深了政治家在公众参与中的性别刻板行为。我们还表明，与我们的论点一致，公众的性别偏见在战争期间会被放大。</w:t>
      </w:r>
    </w:p>
    <w:p>
      <w:r>
        <w:rPr>
          <w:rFonts w:ascii="Times New Roman" w:hAnsi="Times New Roman" w:eastAsia="宋体"/>
          <w:b w:val="0"/>
          <w:i w:val="0"/>
          <w:sz w:val="20"/>
        </w:rPr>
        <w:t>Does war deepen gender inequalities in politicians’ behavior or help erase them? We draw from the terror management theory developed in psychology to argue that the onset of a violent conflict is likely to push politicians to conform more strongly with traditional gender stereotypes because it helps individuals cope with existential fears. To test our argument, we use data on Ukrainian politicians’ engagement on social media (136,455 Facebook posts by 469 politicians) in the three months before and after the 2022 Russian invasion of Ukraine, and interrupted time series analysis, to assess the effect of conflict on politicians’ behavior. We find that conflict onset deepens gender-stereotypical behavior among politicians in their public engagement. We also show that, consistent with our argument, gender biases among the public are magnified during war.</w:t>
      </w:r>
    </w:p>
    <w:p/>
    <w:p>
      <w:r>
        <w:rPr>
          <w:rFonts w:ascii="Times New Roman" w:hAnsi="Times New Roman" w:eastAsia="黑体"/>
          <w:b/>
          <w:i w:val="0"/>
          <w:sz w:val="24"/>
        </w:rPr>
        <w:t>俄罗斯入侵乌克兰与中国公众对战争的支持</w:t>
      </w:r>
    </w:p>
    <w:p>
      <w:r>
        <w:rPr>
          <w:rFonts w:ascii="Times New Roman" w:hAnsi="Times New Roman" w:eastAsia="宋体"/>
          <w:b w:val="0"/>
          <w:i/>
          <w:color w:val="404040"/>
          <w:sz w:val="20"/>
        </w:rPr>
        <w:t>Russian Invasion of Ukraine and Chinese Public Support for War</w:t>
      </w:r>
    </w:p>
    <w:p>
      <w:r>
        <w:rPr>
          <w:rFonts w:ascii="Times New Roman" w:hAnsi="Times New Roman" w:eastAsia="宋体"/>
          <w:b w:val="0"/>
          <w:i w:val="0"/>
          <w:color w:val="595959"/>
          <w:sz w:val="18"/>
        </w:rPr>
        <w:t>Deniz Aksoy；Ted Enamorado；Tony Zirui Yang</w:t>
      </w:r>
    </w:p>
    <w:p>
      <w:r>
        <w:rPr>
          <w:rFonts w:ascii="Times New Roman" w:hAnsi="Times New Roman" w:eastAsia="宋体"/>
          <w:b w:val="0"/>
          <w:i w:val="0"/>
          <w:sz w:val="22"/>
        </w:rPr>
        <w:t>摘要：本研究考察俄罗斯入侵乌克兰及随后的西方反应如何影响中国公众对使用武力的看法。通过2022年6月和2023年6月两项原创预注册在线调查实验，作者发现俄罗斯入侵与中国公众对在国际事务中使用武力（总体上以及特别针对台湾）的支持出现温和但统计显著的上升相关。然而，关于西方援助乌克兰军事措施的信息会抑制入侵的这种温和影响，尤其能有效降低对直接军事进攻台湾的支持。因果中介分析显示，俄罗斯入侵通过引发对军事成功的乐观和对和平解决冲突的悲观来影响舆论。研究表明，外国军事侵略及随后的国际反制措施能够影响国内对使用武力的舆论。</w:t>
      </w:r>
    </w:p>
    <w:p>
      <w:r>
        <w:rPr>
          <w:rFonts w:ascii="Times New Roman" w:hAnsi="Times New Roman" w:eastAsia="宋体"/>
          <w:b w:val="0"/>
          <w:i w:val="0"/>
          <w:sz w:val="20"/>
        </w:rPr>
        <w:t>This study examines how the Russian invasion of Ukraine and the subsequent Western responses influence Chinese public opinion on the use of force. Using two original, preregistered online survey experiments, first in June 2022 and then in June 2023, we show that the Russian invasion is associated with a modest but statistically significant increase in Chinese support for using military force in international affairs in general and against Taiwan in particular. However, information on Western military measures aiding Ukraine curbs the modest impact of the invasion. Such information is especially effective in reducing support for an outright military invasion of Taiwan. Causal mediation analyses reveal that the Russian invasion influences public opinion by inducing optimism regarding military success and pessimism regarding peaceful resolution of the conflict. These findings suggest that foreign military aggression and subsequent international countermeasures can sway domestic public opinion on using military force.</w:t>
      </w:r>
    </w:p>
    <w:p/>
    <w:p>
      <w:r>
        <w:rPr>
          <w:rFonts w:ascii="Times New Roman" w:hAnsi="Times New Roman" w:eastAsia="宋体"/>
          <w:b/>
          <w:i w:val="0"/>
          <w:sz w:val="22"/>
        </w:rPr>
        <w:t>IO： Vol. 78, No. 1, 2024</w:t>
      </w:r>
    </w:p>
    <w:p/>
    <w:p>
      <w:r>
        <w:rPr>
          <w:rFonts w:ascii="Times New Roman" w:hAnsi="Times New Roman" w:eastAsia="黑体"/>
          <w:b/>
          <w:i w:val="0"/>
          <w:sz w:val="24"/>
        </w:rPr>
        <w:t>外交政策决策中的顾问和聚合</w:t>
      </w:r>
    </w:p>
    <w:p>
      <w:r>
        <w:rPr>
          <w:rFonts w:ascii="Times New Roman" w:hAnsi="Times New Roman" w:eastAsia="宋体"/>
          <w:b w:val="0"/>
          <w:i/>
          <w:color w:val="404040"/>
          <w:sz w:val="20"/>
        </w:rPr>
        <w:t>Advisers and Aggregation in Foreign Policy Decision Making</w:t>
      </w:r>
    </w:p>
    <w:p>
      <w:r>
        <w:rPr>
          <w:rFonts w:ascii="Times New Roman" w:hAnsi="Times New Roman" w:eastAsia="宋体"/>
          <w:b w:val="0"/>
          <w:i w:val="0"/>
          <w:color w:val="595959"/>
          <w:sz w:val="18"/>
        </w:rPr>
        <w:t>Tyler Jost；Joshua D. Kertzer；Eric Min；Robert Schub</w:t>
      </w:r>
    </w:p>
    <w:p>
      <w:r>
        <w:rPr>
          <w:rFonts w:ascii="Times New Roman" w:hAnsi="Times New Roman" w:eastAsia="宋体"/>
          <w:b w:val="0"/>
          <w:i w:val="0"/>
          <w:sz w:val="22"/>
        </w:rPr>
        <w:t>摘要：顾问是否会影响外交政策？如果会，如何影响？新近关于精英决策的研究优先考虑领导者及其周围的机构，而非顾问本身的倾向。我们认为，尽管外交政策决策具有等级性，但顾问对使用武力的倾向会通过顾问在审议中提供的建议来影响国家行为。为了检验我们的论点，我们引入了1947年至1988年美国总统与其顾问之间2685次外交政策审议的原始数据集。我们采用一种新颖的机器学习方法，估计1134个冷战时期外交政策决策制定者的鹰派程度，发现顾问的鹰派程度影响顾问在决策中提供的建议和领导人的决策：即使考虑到领导人的倾向，随着鹰派成员在辩论中越来越占主导地位，冲突政策选择也变得更加可能。这一理论和发现丰富了我们对国际冲突的理解，证明了顾问的倾向如何通过他们提供的建议进行聚合，从而系统地塑造了外交政策行为。</w:t>
      </w:r>
    </w:p>
    <w:p>
      <w:r>
        <w:rPr>
          <w:rFonts w:ascii="Times New Roman" w:hAnsi="Times New Roman" w:eastAsia="宋体"/>
          <w:b w:val="0"/>
          <w:i w:val="0"/>
          <w:sz w:val="20"/>
        </w:rPr>
        <w:t>Do advisers affect foreign policy and, if so, how? Recent scholarship on elite decision making prioritizes leaders and the institutions that surround them, rather than the dispositions of advisers themselves. We argue that despite the hierarchical nature of foreign policy decision making, advisers’ predispositions regarding the use of force shape state behavior through the counsel advisers provide in deliberations. To test our argument, we introduce an original data set of 2,685 foreign policy deliberations between US presidents and their advisers from 1947 to 1988. Applying a novel machine learning approach to estimate the hawkishness of 1,134 Cold War–era foreign policy decision makers, we show that adviser-level hawkishness affects both the counsel that advisers provide in deliberations and the decisions leaders make: conflictual policy choices grow more likely as hawks increasingly dominate the debate, even when accounting for leader dispositions. The theory and findings enrich our understanding of international conflict by demonstrating how advisers’ dispositions, which aggregate through the counsel advisers provide, systematically shape foreign policy behavior.</w:t>
      </w:r>
    </w:p>
    <w:p/>
    <w:p>
      <w:r>
        <w:rPr>
          <w:rFonts w:ascii="Times New Roman" w:hAnsi="Times New Roman" w:eastAsia="黑体"/>
          <w:b/>
          <w:i w:val="0"/>
          <w:sz w:val="24"/>
        </w:rPr>
        <w:t>秩序的底层：国际秩序建构中的种族</w:t>
      </w:r>
    </w:p>
    <w:p>
      <w:r>
        <w:rPr>
          <w:rFonts w:ascii="Times New Roman" w:hAnsi="Times New Roman" w:eastAsia="宋体"/>
          <w:b w:val="0"/>
          <w:i/>
          <w:color w:val="404040"/>
          <w:sz w:val="20"/>
        </w:rPr>
        <w:t>The Underside of Order: Race in the Constitution of International Order</w:t>
      </w:r>
    </w:p>
    <w:p>
      <w:r>
        <w:rPr>
          <w:rFonts w:ascii="Times New Roman" w:hAnsi="Times New Roman" w:eastAsia="宋体"/>
          <w:b w:val="0"/>
          <w:i w:val="0"/>
          <w:color w:val="595959"/>
          <w:sz w:val="18"/>
        </w:rPr>
        <w:t>Owen R. Brown</w:t>
      </w:r>
    </w:p>
    <w:p>
      <w:r>
        <w:rPr>
          <w:rFonts w:ascii="Times New Roman" w:hAnsi="Times New Roman" w:eastAsia="宋体"/>
          <w:b w:val="0"/>
          <w:i w:val="0"/>
          <w:sz w:val="22"/>
        </w:rPr>
        <w:t>摘要：虽然越来越多的人认识到种族在塑造全球政治中的作用，但国际秩序的构建和运作与种族的纠缠程度仍未得到充分探究。本文通过理论化种族和国际秩序之间的构成联系，展示如何将二者视为相互交织的，为理解国际秩序的构建和运作中种族与种族化的重要性提供了理论支持。首先，本文将国际秩序和种族的概念化，其中种族的核心在于调控与规范化的过程中。其次，将二者结合起来，指出种族应被视为一种秩序形式，其作用是在各种空间和背景下再生历史性的等级和统治形式。第三，通过概念化和历史化种族化和种族化的国际秩序的一些关键特征，尤其是殖民性、种族国家和种族资本主义，以此说明这一秩序的持久性。将种族置于国际秩序研究的中心位置，可以帮助我们更好地理解种族化的等级和种族化的不平等如何在现实中持续存在，并通过国际秩序的结构和实践得到再生产。</w:t>
      </w:r>
    </w:p>
    <w:p>
      <w:r>
        <w:rPr>
          <w:rFonts w:ascii="Times New Roman" w:hAnsi="Times New Roman" w:eastAsia="宋体"/>
          <w:b w:val="0"/>
          <w:i w:val="0"/>
          <w:sz w:val="20"/>
        </w:rPr>
        <w:t>While there is increasing recognition of the role of race in shaping global politics, the extent to which the construction and operation of international order is entangled with race remains underexplored. In this article, I argue for the centrality of race and racialization in understanding the constitution of international order by theorizing the constitutive connections between race and international order and showing how the two can be examined as intertwined. I do this, first, by articulating conceptualizations of both international order and race that center on processes of regulation and regularization. Second, I bring these together to suggest that race be understood as a form of order that functions to reproduce a historically emergent form of hierarchy and domination across a range of spaces and contexts. Third, I operationalize these conceptualizations by outlining and historicizing some of the key features of this racialized and racializing international order, specifically coloniality, the racial state, and racial capitalism, and thereby illustrate important aspects of the persistence of this order. Centering race in the study of international order, I suggest, helps us better understand how racializing hierarchies and racialized inequalities persist in the present and are reproduced through structures and practices of international order.</w:t>
      </w:r>
    </w:p>
    <w:p/>
    <w:p>
      <w:r>
        <w:rPr>
          <w:rFonts w:ascii="Times New Roman" w:hAnsi="Times New Roman" w:eastAsia="黑体"/>
          <w:b/>
          <w:i w:val="0"/>
          <w:sz w:val="24"/>
        </w:rPr>
        <w:t>移民态度的经济决定因素：来自欧洲的企业层面证据</w:t>
      </w:r>
    </w:p>
    <w:p>
      <w:r>
        <w:rPr>
          <w:rFonts w:ascii="Times New Roman" w:hAnsi="Times New Roman" w:eastAsia="宋体"/>
          <w:b w:val="0"/>
          <w:i/>
          <w:color w:val="404040"/>
          <w:sz w:val="20"/>
        </w:rPr>
        <w:t>Economic Determinants of Attitudes Toward Migration: Firm-level Evidence from Europe</w:t>
      </w:r>
    </w:p>
    <w:p>
      <w:r>
        <w:rPr>
          <w:rFonts w:ascii="Times New Roman" w:hAnsi="Times New Roman" w:eastAsia="宋体"/>
          <w:b w:val="0"/>
          <w:i w:val="0"/>
          <w:color w:val="595959"/>
          <w:sz w:val="18"/>
        </w:rPr>
        <w:t>Leonardo Baccini；Magnus Lodefalk；Radka Sabolová</w:t>
      </w:r>
    </w:p>
    <w:p>
      <w:r>
        <w:rPr>
          <w:rFonts w:ascii="Times New Roman" w:hAnsi="Times New Roman" w:eastAsia="宋体"/>
          <w:b w:val="0"/>
          <w:i w:val="0"/>
          <w:sz w:val="22"/>
        </w:rPr>
        <w:t>摘要：移民的分配后果是什么？它们如何影响对移民的态度？在本文中，我们利用了前利比亚独裁者穆阿迈尔·卡扎菲被赶下台后产生的自然实验，这导致了非洲国家经济移民史无前例地涌入欧洲。低技能劳动力的激增使低生产率企业受益，因为它们降低了生产成本并扩大了劳动力供应。采用三重差异设计，我们记录了西欧地区对移民的态度变得更加积极，因为西欧地区有大量移民和低生产率企业。来自瑞典的证据提供了精细的地理数据，证实了这些发现。然后，我们测试了这种态度转变的经济微观基础。我们表明，在移民流量较大的地区，低技能劳动力供应的激增使低生产率企业的盈利能力提高得更多。我们没有发现任何证据表明移民恶化了当地人的劳动力市场状况。</w:t>
      </w:r>
    </w:p>
    <w:p>
      <w:r>
        <w:rPr>
          <w:rFonts w:ascii="Times New Roman" w:hAnsi="Times New Roman" w:eastAsia="宋体"/>
          <w:b w:val="0"/>
          <w:i w:val="0"/>
          <w:sz w:val="20"/>
        </w:rPr>
        <w:t>What are the distributional consequences of migration, and how do they affect attitudes toward migration? In this paper we leverage a natural experiment generated by the ousting of former Libyan dictator Muammar Gaddafi, which created an unprecedented influx of economic migrants from African countries to Europe. This surge of low-skilled labor benefited low-productivity firms by lowering their production costs and expanding their labor supply. Employing a triple difference-in-differences design, we document that attitudes toward migration became more positive in Western European regions with large shares of migrants and low-productivity firms. Evidence from Sweden, which provides finely grained geographical data, confirms these findings. We then test the economic microfoundations of this attitudinal shift. We show that the surge in the supply of low-skilled labor increased the profitability of low-productivity firms more in areas that experienced larger migration flows. We find no evidence that migration worsened natives’ labor market conditions.</w:t>
      </w:r>
    </w:p>
    <w:p/>
    <w:p>
      <w:r>
        <w:rPr>
          <w:rFonts w:ascii="Times New Roman" w:hAnsi="Times New Roman" w:eastAsia="黑体"/>
          <w:b/>
          <w:i w:val="0"/>
          <w:sz w:val="24"/>
        </w:rPr>
        <w:t>“那…又怎么说”主义外交与美国外交政策态度</w:t>
      </w:r>
    </w:p>
    <w:p>
      <w:r>
        <w:rPr>
          <w:rFonts w:ascii="Times New Roman" w:hAnsi="Times New Roman" w:eastAsia="宋体"/>
          <w:b w:val="0"/>
          <w:i/>
          <w:color w:val="404040"/>
          <w:sz w:val="20"/>
        </w:rPr>
        <w:t>The Diplomacy of Whataboutism and US Foreign Policy Attitudes</w:t>
      </w:r>
    </w:p>
    <w:p>
      <w:r>
        <w:rPr>
          <w:rFonts w:ascii="Times New Roman" w:hAnsi="Times New Roman" w:eastAsia="宋体"/>
          <w:b w:val="0"/>
          <w:i w:val="0"/>
          <w:color w:val="595959"/>
          <w:sz w:val="18"/>
        </w:rPr>
        <w:t>Wilfred M. Chow；Dov H. Levin</w:t>
      </w:r>
    </w:p>
    <w:p>
      <w:r>
        <w:rPr>
          <w:rFonts w:ascii="Times New Roman" w:hAnsi="Times New Roman" w:eastAsia="宋体"/>
          <w:b w:val="0"/>
          <w:i w:val="0"/>
          <w:sz w:val="22"/>
        </w:rPr>
        <w:t>摘要：“那…又怎么说”主义在全球事务中有效吗？当国家面临国际批评时，它们通常会以“那…又怎么说”主义作为回应：指责批评者也犯有类似的错误。尽管“那…又怎么说”主义在政策讨论中很普遍，但它仍然是一种研究不足的影响策略。本研究调查了国家如何利用“那…又怎么说”主义来塑造美国公众对各种国际问题的看法。我们通过调查实验发现，“那…又怎么说”主义通过减少公众对美国立场的认可和对惩罚行动的支持来减轻批评的负面影响。引用类似、近期不当行为的“那…又怎么说”主义批评更能塑造舆论。然而，“那…又怎么说”主义国家的身份并不显著影响这一策略的有效性。美国的反击信息往往无法削弱“那…又怎么说”主义的影响。这些结果表明，“那…又怎么说”主义可以成为国际关系中一种强有力的修辞工具，值得国际关系学者给予更多关注。</w:t>
      </w:r>
    </w:p>
    <w:p>
      <w:r>
        <w:rPr>
          <w:rFonts w:ascii="Times New Roman" w:hAnsi="Times New Roman" w:eastAsia="宋体"/>
          <w:b w:val="0"/>
          <w:i w:val="0"/>
          <w:sz w:val="20"/>
        </w:rPr>
        <w:t>Does whataboutism work in global affairs? When states face international criticism, they often respond with whataboutism: accusing their critics of similar faults. Despite its prevalence in policy discussions, whataboutism remains an understudied influence strategy. This study investigates how states use whataboutism to shape American public opinion across various international issues. We find, using survey experiments, that whataboutism mitigates the negative impacts of criticism by reducing public approval of US positions and backing for punitive actions. Whataboutist critiques referencing similar, recent misdeeds have more power to shape opinions. However, the identity of the whataboutist state does not significantly affect effectiveness. US counter-messaging often fails to diminish the effects of whataboutism. These results show that whataboutism can be a potent rhetorical tool in international relations and that it warrants greater attention from international relations scholars.</w:t>
      </w:r>
    </w:p>
    <w:p/>
    <w:p>
      <w:r>
        <w:rPr>
          <w:rFonts w:ascii="Times New Roman" w:hAnsi="Times New Roman" w:eastAsia="黑体"/>
          <w:b/>
          <w:i w:val="0"/>
          <w:sz w:val="24"/>
        </w:rPr>
        <w:t>冲突期间讨好平民：来自阿富汗塔利班法官的证据</w:t>
      </w:r>
    </w:p>
    <w:p>
      <w:r>
        <w:rPr>
          <w:rFonts w:ascii="Times New Roman" w:hAnsi="Times New Roman" w:eastAsia="宋体"/>
          <w:b w:val="0"/>
          <w:i/>
          <w:color w:val="404040"/>
          <w:sz w:val="20"/>
        </w:rPr>
        <w:t>Courting Civilians During Conflict: Evidence from Taliban Judges in Afghanistan</w:t>
      </w:r>
    </w:p>
    <w:p>
      <w:r>
        <w:rPr>
          <w:rFonts w:ascii="Times New Roman" w:hAnsi="Times New Roman" w:eastAsia="宋体"/>
          <w:b w:val="0"/>
          <w:i w:val="0"/>
          <w:color w:val="595959"/>
          <w:sz w:val="18"/>
        </w:rPr>
        <w:t>Donald Grasse；Renard Sexton；Austin Wright</w:t>
      </w:r>
    </w:p>
    <w:p>
      <w:r>
        <w:rPr>
          <w:rFonts w:ascii="Times New Roman" w:hAnsi="Times New Roman" w:eastAsia="宋体"/>
          <w:b w:val="0"/>
          <w:i w:val="0"/>
          <w:sz w:val="22"/>
        </w:rPr>
        <w:t>摘要：叛军经常提供公共服务，尤其是法律服务，但此类服务的后果尚不清楚。我们认为，叛军法庭可以通过增加叛乱的合法性、在叛军统治中创造既得利益或使叛军能够胁迫平民，来增加平民对叛乱的支持并增强攻击能力。我们使用轨迹平衡设计，利用跨地区和随时间变化的与塔利班法庭接触的差异，来研究塔利班司法系统的影响。我们发现，叛军法庭减少了平民对政府的支持，增加了对塔利班的支持，并且与更多的袭击和更多的联军伤亡有关。通过探索机制，我们发现法庭解决了平民之间的重大人际纠纷，但也促进了叛乱分子对平民的更多恐吓，而且公众舆论的变化不太可能仅仅由社会期望偏见驱动。我们的研究结果有助于解释叛军法庭的逻辑，并凸显了弱国中战争与建制机构发展之间的复杂相互作用。</w:t>
      </w:r>
    </w:p>
    <w:p>
      <w:r>
        <w:rPr>
          <w:rFonts w:ascii="Times New Roman" w:hAnsi="Times New Roman" w:eastAsia="宋体"/>
          <w:b w:val="0"/>
          <w:i w:val="0"/>
          <w:sz w:val="20"/>
        </w:rPr>
        <w:t>Rebels regularly provide public services, especially legal services, but the consequences of such programs are unclear. We argue that rebel courts can boost civilian support for insurgency and augment attack capacity by increasing the legitimacy of the rebellion, creating a vested interest in rebel rule, or enabling rebel coercion of the civilian population. We study the impact of the Taliban's judiciary by leveraging cross-district and over-time variation in exposure to Taliban courts using a trajectory-balancing design. We find that rebel courts reduced civilian support for the government and increased it for the Taliban, and were associated with more attacks and more coalition casualties. Exploring mechanisms, we find that courts resolved major interpersonal disputes between civilians but also facilitated more insurgent intimidation of civilians, and that changes in public opinion are unlikely to have been driven solely by social desirability bias. Our findings help explain the logic of rebel courts and highlight the complex interactions between warfare and institutional development in weak states.</w:t>
      </w:r>
    </w:p>
    <w:p/>
    <w:p>
      <w:r>
        <w:rPr>
          <w:rFonts w:ascii="Times New Roman" w:hAnsi="Times New Roman" w:eastAsia="黑体"/>
          <w:b/>
          <w:i w:val="0"/>
          <w:sz w:val="24"/>
        </w:rPr>
        <w:t>初步参证是否能增加公众对欧洲法律的支持？来自德国的实验证据</w:t>
      </w:r>
    </w:p>
    <w:p>
      <w:r>
        <w:rPr>
          <w:rFonts w:ascii="Times New Roman" w:hAnsi="Times New Roman" w:eastAsia="宋体"/>
          <w:b w:val="0"/>
          <w:i/>
          <w:color w:val="404040"/>
          <w:sz w:val="20"/>
        </w:rPr>
        <w:t>Do Preliminary References Increase Public Support for European Law? Experimental Evidence from Germany</w:t>
      </w:r>
    </w:p>
    <w:p>
      <w:r>
        <w:rPr>
          <w:rFonts w:ascii="Times New Roman" w:hAnsi="Times New Roman" w:eastAsia="宋体"/>
          <w:b w:val="0"/>
          <w:i w:val="0"/>
          <w:color w:val="595959"/>
          <w:sz w:val="18"/>
        </w:rPr>
        <w:t>Sivaram Cheruvu；Jay N. Krehbiel</w:t>
      </w:r>
    </w:p>
    <w:p>
      <w:r>
        <w:rPr>
          <w:rFonts w:ascii="Times New Roman" w:hAnsi="Times New Roman" w:eastAsia="宋体"/>
          <w:b w:val="0"/>
          <w:i w:val="0"/>
          <w:sz w:val="22"/>
        </w:rPr>
        <w:t>摘要：长期以来，关于欧盟及其法律体系成功扩张和巩固的解释一直强调国内法院向欧洲法院提交初步参证的重要性。许多此类理论解释的关键在于，国内法院比欧洲法院更有能力强制各国政府遵守欧盟法律。我们将比较司法政治文献中的见解整合到欧盟初步参证制度的背景下，为这一说法提供了理论和实证基础，认为将国内法院纳入欧盟法律程序可增强公众对欧盟法律广泛司法解释的支持。然而，我们继续指出，这种合法性的转移取决于公民对国家和欧洲法院的看法。我们用在德国进行的一项预先注册的调查实验的证据来支持我们的论点。</w:t>
      </w:r>
    </w:p>
    <w:p>
      <w:r>
        <w:rPr>
          <w:rFonts w:ascii="Times New Roman" w:hAnsi="Times New Roman" w:eastAsia="宋体"/>
          <w:b w:val="0"/>
          <w:i w:val="0"/>
          <w:sz w:val="20"/>
        </w:rPr>
        <w:t>Explanations for the successful expansion and consolidation of the European Union and its legal system have long emphasized the importance of domestic courts’ sending preliminary references to the Court of Justice. Key to many of these theoretical accounts is the claim that domestic courts are better equipped than the Court of Justice to compel national governments to comply with EU law. Integrating insights from the comparative judicial politics literature into the context of the EU's preliminary references system, we provide a theoretical and empirical foundation for this claim by arguing that incorporating domestic courts into the EU legal process enhances public support for expansive judicial interpretations of EU law. We go on to argue, however, that this transfer of legitimacy depends on citizens’ views of the national and European courts. We support our argument with evidence from a preregistered survey experiment fielded in Germany.</w:t>
      </w:r>
    </w:p>
    <w:p/>
    <w:p>
      <w:r>
        <w:rPr>
          <w:rFonts w:ascii="Times New Roman" w:hAnsi="Times New Roman" w:eastAsia="黑体"/>
          <w:b/>
          <w:i w:val="0"/>
          <w:sz w:val="24"/>
        </w:rPr>
        <w:t>《国际安全》</w:t>
      </w:r>
    </w:p>
    <w:p>
      <w:r>
        <w:rPr>
          <w:rFonts w:ascii="Times New Roman" w:hAnsi="Times New Roman" w:eastAsia="宋体"/>
          <w:b/>
          <w:i w:val="0"/>
          <w:sz w:val="22"/>
        </w:rPr>
        <w:t>IS： Volume 51, Issue 1, Summer 2026</w:t>
      </w:r>
    </w:p>
    <w:p/>
    <w:p>
      <w:r>
        <w:rPr>
          <w:rFonts w:ascii="Times New Roman" w:hAnsi="Times New Roman" w:eastAsia="黑体"/>
          <w:b/>
          <w:i w:val="0"/>
          <w:sz w:val="24"/>
        </w:rPr>
        <w:t>《国际安全》五十年</w:t>
      </w:r>
    </w:p>
    <w:p>
      <w:r>
        <w:rPr>
          <w:rFonts w:ascii="Times New Roman" w:hAnsi="Times New Roman" w:eastAsia="宋体"/>
          <w:b w:val="0"/>
          <w:i/>
          <w:color w:val="404040"/>
          <w:sz w:val="20"/>
        </w:rPr>
        <w:t>International Security at Fifty Years</w:t>
      </w:r>
    </w:p>
    <w:p>
      <w:r>
        <w:rPr>
          <w:rFonts w:ascii="Times New Roman" w:hAnsi="Times New Roman" w:eastAsia="宋体"/>
          <w:b w:val="0"/>
          <w:i w:val="0"/>
          <w:color w:val="595959"/>
          <w:sz w:val="18"/>
        </w:rPr>
        <w:t>Stephen M. Walt</w:t>
      </w:r>
    </w:p>
    <w:p>
      <w:r>
        <w:rPr>
          <w:rFonts w:ascii="Times New Roman" w:hAnsi="Times New Roman" w:eastAsia="宋体"/>
          <w:b w:val="0"/>
          <w:i w:val="0"/>
          <w:sz w:val="22"/>
        </w:rPr>
        <w:t>摘要：五十年前，本刊创办者希望它能帮助振兴国际安全的学术研究。他们的抱负已经实现：《国际安全》如今是国际关系领域被引用最多的期刊之一，形成了研究国际安全各方面问题的活跃学术共同体。期刊内容随世界事件、新的学术进展和作者兴趣不断演变，但始终是学者和学生的重要资源。通过促进对重要学术问题的积极辩论，《国际安全》及其他学术期刊帮助培养每一代新学人，并推动对关键政策问题的深入讨论。</w:t>
      </w:r>
    </w:p>
    <w:p>
      <w:r>
        <w:rPr>
          <w:rFonts w:ascii="Times New Roman" w:hAnsi="Times New Roman" w:eastAsia="宋体"/>
          <w:b w:val="0"/>
          <w:i w:val="0"/>
          <w:sz w:val="20"/>
        </w:rPr>
        <w:t>Fifty years ago, the founders of this journal hoped that its creation would help revitalize the academic study of international security. Their ambitions have been fulfilled: International Security is now one of the most widely cited journals in the field of international relations and there is a robust community of scholars studying different aspects of the subject. The contents of the journal constantly evolve in response to world events, new scholarly developments, and its contributors’ particular interests, but it remains a vital resource for scholars and students alike. By facilitating active debates on important scholarly questions, International Security and other academic journals help educate each new cohort and contribute to robust discussions of critical policy questions.</w:t>
      </w:r>
    </w:p>
    <w:p/>
    <w:p>
      <w:r>
        <w:rPr>
          <w:rFonts w:ascii="Times New Roman" w:hAnsi="Times New Roman" w:eastAsia="黑体"/>
          <w:b/>
          <w:i w:val="0"/>
          <w:sz w:val="24"/>
        </w:rPr>
        <w:t>国际无政府状态的铁笼</w:t>
      </w:r>
    </w:p>
    <w:p>
      <w:r>
        <w:rPr>
          <w:rFonts w:ascii="Times New Roman" w:hAnsi="Times New Roman" w:eastAsia="宋体"/>
          <w:b w:val="0"/>
          <w:i/>
          <w:color w:val="404040"/>
          <w:sz w:val="20"/>
        </w:rPr>
        <w:t>The Iron Cage of International Anarchy</w:t>
      </w:r>
    </w:p>
    <w:p>
      <w:r>
        <w:rPr>
          <w:rFonts w:ascii="Times New Roman" w:hAnsi="Times New Roman" w:eastAsia="宋体"/>
          <w:b w:val="0"/>
          <w:i w:val="0"/>
          <w:color w:val="595959"/>
          <w:sz w:val="18"/>
        </w:rPr>
        <w:t>John J. Mearsheimer</w:t>
      </w:r>
    </w:p>
    <w:p>
      <w:r>
        <w:rPr>
          <w:rFonts w:ascii="Times New Roman" w:hAnsi="Times New Roman" w:eastAsia="宋体"/>
          <w:b w:val="0"/>
          <w:i w:val="0"/>
          <w:sz w:val="22"/>
        </w:rPr>
        <w:t>摘要：大国竞争是约1800年在欧洲兴起的现代工业化民族国家体系的常态。本文试图描述并解释过去226年间这种竞争的主要特征，特别关注其在《国际安全》五十年历史（1976—2026）中的演变。文章关注作为大国政治恒常特征的安全竞争，以及并非恒常的战争。文章表明，尽管安全竞争无处不在，其形态随时间显著变化，主要取决于体系极性（大国数量）及大国间的实力分布。这两个因素加上核武器的出现，对大国战争（包括拿破仑战争、一战、二战等全体大国卷入的冲突）的可能性有显著影响。最后，文章展望未来五十年大国竞争的可能轮廓：哪些国家可能成为大国、实力如何分布、未来大国战争的前景如何。</w:t>
      </w:r>
    </w:p>
    <w:p>
      <w:r>
        <w:rPr>
          <w:rFonts w:ascii="Times New Roman" w:hAnsi="Times New Roman" w:eastAsia="宋体"/>
          <w:b w:val="0"/>
          <w:i w:val="0"/>
          <w:sz w:val="20"/>
        </w:rPr>
        <w:t>Great power competition has been endemic to the modern system of industrialized nation-states that began emerging in Europe around 1800. This article seeks to describe and explain the principal features of that competition over the past 226 years, paying special attention to how it has evolved during the fifty-year history of International Security (1976–2026). The focus is on both security competition, which is a constant feature of great power politics, and war, which is not. The article shows that although security competition is pervasive, the shape of that competition has varied markedly over time, depending largely on the polarity of the system—the number of great powers—and the distribution of power among them. Those same two factors, coupled with the coming of nuclear weapons, have had a pronounced effect on the likelihood of great power war, including conflicts that involved all the great powers, such as the Napoleonic Wars, World War I, and World War II. Finally, the article considers the likely contours of great power competition in the next fifty years, focusing on determining which countries are likely to be great powers, what is the likely distribution of power among them, and what are the prospects for a future great power war.</w:t>
      </w:r>
    </w:p>
    <w:p/>
    <w:p>
      <w:r>
        <w:rPr>
          <w:rFonts w:ascii="Times New Roman" w:hAnsi="Times New Roman" w:eastAsia="黑体"/>
          <w:b/>
          <w:i w:val="0"/>
          <w:sz w:val="24"/>
        </w:rPr>
        <w:t>民族主义地缘政治的回归：自由主义倒退与武装冲突</w:t>
      </w:r>
    </w:p>
    <w:p>
      <w:r>
        <w:rPr>
          <w:rFonts w:ascii="Times New Roman" w:hAnsi="Times New Roman" w:eastAsia="宋体"/>
          <w:b w:val="0"/>
          <w:i/>
          <w:color w:val="404040"/>
          <w:sz w:val="20"/>
        </w:rPr>
        <w:t>The Return of Nationalist Geopolitics: Liberal Backsliding and Armed Conflict</w:t>
      </w:r>
    </w:p>
    <w:p>
      <w:r>
        <w:rPr>
          <w:rFonts w:ascii="Times New Roman" w:hAnsi="Times New Roman" w:eastAsia="宋体"/>
          <w:b w:val="0"/>
          <w:i w:val="0"/>
          <w:color w:val="595959"/>
          <w:sz w:val="18"/>
        </w:rPr>
        <w:t>Lars-Erik Cederman；Paola Galano Toro；Luc Girardin；Andreas Juon；Julian Wucherpfennig</w:t>
      </w:r>
    </w:p>
    <w:p>
      <w:r>
        <w:rPr>
          <w:rFonts w:ascii="Times New Roman" w:hAnsi="Times New Roman" w:eastAsia="宋体"/>
          <w:b w:val="0"/>
          <w:i w:val="0"/>
          <w:sz w:val="22"/>
        </w:rPr>
        <w:t>摘要：冷战后暴力冲突的减少已让位于国家内部和国家之间日益上升的不稳定。许多人将这一变化归因于大国竞争加剧，作者则认为“民族主义地缘政治”——由族群及其跨境亲族遭政治排斥所引发的不满驱动的冲突——提供了更准确的解释。作者解释了内生与外生因素如何削弱自由国际秩序，使族群民族主义在21世纪初复苏。更广泛自由规范的侵蚀，特别是所谓“自由主义倒退”，开始破坏那些最终帮助稳定冷战后和平的包容性政策。利用新更新的全球族群权力关系数据（1946—2023），作者记录了自2010年代初开始的包容趋势逆转。这些发现挑战了以权力为中心的全球不稳定解释，凸显自由制度侵蚀尤其是族群包容领域的侵蚀为身份暴力提供了温床。</w:t>
      </w:r>
    </w:p>
    <w:p>
      <w:r>
        <w:rPr>
          <w:rFonts w:ascii="Times New Roman" w:hAnsi="Times New Roman" w:eastAsia="宋体"/>
          <w:b w:val="0"/>
          <w:i w:val="0"/>
          <w:sz w:val="20"/>
        </w:rPr>
        <w:t>The post-Cold War decline in violent conflict has given way to rising instability both within and between states. While many attribute this shift to intensified great power competition, we argue that nationalist geopolitics, manifested through conflict driven by grievances reflecting the political exclusion of ethnic groups and their kin, offer a more accurate explanation. We explain how endogenous and exogenous factors weakened the liberal international order, which allowed ethnic nationalism to resurge in the early twenty-first century. This erosion of broader liberal norms, particularly what we call liberal backsliding, has started to undermine the inclusive policies that ultimately helped to stabilize the post-Cold War peace. Using newly updated global data on ethnic power relations (1946–2023), we document a reversal of inclusionary trends that began in the early 2010s. These findings challenge power-centric explanations of global instability and highlight how liberal institutional erosion, particularly in the domain of ethnic inclusion, creates fertile ground for identity-based violence. The return of nationalist geopolitics is thus rooted in not only shifting power relations but also retreating institutional safeguards.</w:t>
      </w:r>
    </w:p>
    <w:p/>
    <w:p>
      <w:r>
        <w:rPr>
          <w:rFonts w:ascii="Times New Roman" w:hAnsi="Times New Roman" w:eastAsia="黑体"/>
          <w:b/>
          <w:i w:val="0"/>
          <w:sz w:val="24"/>
        </w:rPr>
        <w:t>看穿“透明海洋”：新兴技术、潜艇脆弱性与相互确保摧毁的未来</w:t>
      </w:r>
    </w:p>
    <w:p>
      <w:r>
        <w:rPr>
          <w:rFonts w:ascii="Times New Roman" w:hAnsi="Times New Roman" w:eastAsia="宋体"/>
          <w:b w:val="0"/>
          <w:i/>
          <w:color w:val="404040"/>
          <w:sz w:val="20"/>
        </w:rPr>
        <w:t>Seeing Through “Transparent Oceans”: Emerging Technology, Submarine Vulnerability, and the Future of MAD</w:t>
      </w:r>
    </w:p>
    <w:p>
      <w:r>
        <w:rPr>
          <w:rFonts w:ascii="Times New Roman" w:hAnsi="Times New Roman" w:eastAsia="宋体"/>
          <w:b w:val="0"/>
          <w:i w:val="0"/>
          <w:color w:val="595959"/>
          <w:sz w:val="18"/>
        </w:rPr>
        <w:t>Eli Sanchez</w:t>
      </w:r>
    </w:p>
    <w:p>
      <w:r>
        <w:rPr>
          <w:rFonts w:ascii="Times New Roman" w:hAnsi="Times New Roman" w:eastAsia="宋体"/>
          <w:b w:val="0"/>
          <w:i w:val="0"/>
          <w:sz w:val="22"/>
        </w:rPr>
        <w:t>摘要：弹道导弹核潜艇因其可探测信号弱、可威胁对手的活动海域广，被普遍认为不会遭到解除武装打击，因而被视为可靠的第二次打击力量，是对核战争与核胁迫的强大威慑。许多分析人士现在认为各种新兴技术可能使核潜艇易受解除武装打击。本研究考察“透明海洋”辩论中的关键传感与信号处理技术（量子传感器、人工智能、天基传感器、先进声学传感器），分析其提升核潜艇探测能力的潜力。研究发现，各国可通过将AI算法用于被动声呐信号处理来提升核潜艇探测能力，但非保密文献中相关算法展示的能力表明这些进步是渐进而非革命性的；其他技术并未实质性改善探测。因此，未来几十年内对当前具生存能力的核潜艇构成威胁的可能性极低。</w:t>
      </w:r>
    </w:p>
    <w:p>
      <w:r>
        <w:rPr>
          <w:rFonts w:ascii="Times New Roman" w:hAnsi="Times New Roman" w:eastAsia="宋体"/>
          <w:b w:val="0"/>
          <w:i w:val="0"/>
          <w:sz w:val="20"/>
        </w:rPr>
        <w:t>Ballistic missile submarines (SSBNs) are widely believed to be invulnerable to disarming strikes because of their weak detectable signatures and the large areas within which they can threaten an adversary. SSBNs are therefore considered secure second-strike forces and thus a strong deterrent against nuclear war and nuclear coercion. Many analysts now believe that various emerging technologies could render SSBNs vulnerable to disarming strikes. This study surveys key sensing and signal processing technologies featured in the “transparent oceans” debate (i.e., quantum sensors, artificial intelligence [AI], space-based sensors, and advanced acoustic sensors) and analyzes their potential to enhance SSBN detection. Findings indicate that states can enhance SSBN detection by applying AI algorithms to passive sonar signal processing. But the capabilities that have been demonstrated by the relevant AI algorithms in the unclassified literature suggest that these advances in SSBN detection are evolutionary rather than revolutionary. This study finds that the other technologies do not meaningfully improve SSBN detection; it is therefore highly unlikely that a threat to SSBNs that are presently survivable will materialize in the coming decades.</w:t>
      </w:r>
    </w:p>
    <w:p/>
    <w:p>
      <w:r>
        <w:rPr>
          <w:rFonts w:ascii="Times New Roman" w:hAnsi="Times New Roman" w:eastAsia="宋体"/>
          <w:b/>
          <w:i w:val="0"/>
          <w:sz w:val="22"/>
        </w:rPr>
        <w:t>IS： Volume 50, Issue 4, Spring 2026</w:t>
      </w:r>
    </w:p>
    <w:p/>
    <w:p>
      <w:r>
        <w:rPr>
          <w:rFonts w:ascii="Times New Roman" w:hAnsi="Times New Roman" w:eastAsia="黑体"/>
          <w:b/>
          <w:i w:val="0"/>
          <w:sz w:val="24"/>
        </w:rPr>
        <w:t>意识形态陷阱：中国与冷战类比的局限</w:t>
      </w:r>
    </w:p>
    <w:p>
      <w:r>
        <w:rPr>
          <w:rFonts w:ascii="Times New Roman" w:hAnsi="Times New Roman" w:eastAsia="宋体"/>
          <w:b w:val="0"/>
          <w:i/>
          <w:color w:val="404040"/>
          <w:sz w:val="20"/>
        </w:rPr>
        <w:t>The Ideology Trap: China and the Limits of Cold War Analogies</w:t>
      </w:r>
    </w:p>
    <w:p>
      <w:r>
        <w:rPr>
          <w:rFonts w:ascii="Times New Roman" w:hAnsi="Times New Roman" w:eastAsia="宋体"/>
          <w:b w:val="0"/>
          <w:i w:val="0"/>
          <w:color w:val="595959"/>
          <w:sz w:val="18"/>
        </w:rPr>
        <w:t>Eun A Jo；Jessica Chen Weiss</w:t>
      </w:r>
    </w:p>
    <w:p>
      <w:r>
        <w:rPr>
          <w:rFonts w:ascii="Times New Roman" w:hAnsi="Times New Roman" w:eastAsia="宋体"/>
          <w:b w:val="0"/>
          <w:i w:val="0"/>
          <w:sz w:val="22"/>
        </w:rPr>
        <w:t>摘要：意识形态差异在大国关系中扮演什么角色？既有研究常将意识形态差异视为加剧大国摩擦的固定变量，作者则将意识形态视为在国内争论与国际适应中不断演化的动态观念体系。框架区分意识形态内容（国家是否认为其意识形态具有普遍适用性）与意识形态推广范围（国家在多大程度上寻求对外推广其意识形态），据此区分普遍主义或特殊主义内容、扩张或选择性推广范围的意识形态战略，并表明国家可以在不改变根本意识形态承诺的情况下随时间改变战略。作者将该框架应用于斯大林和勃列日涅夫时期的苏联以及邓小平和习近平时期的中国，案例表明不存在单一的冷战，当代中国在重要方面不同于苏联。</w:t>
      </w:r>
    </w:p>
    <w:p>
      <w:r>
        <w:rPr>
          <w:rFonts w:ascii="Times New Roman" w:hAnsi="Times New Roman" w:eastAsia="宋体"/>
          <w:b w:val="0"/>
          <w:i w:val="0"/>
          <w:sz w:val="20"/>
        </w:rPr>
        <w:t>What role do ideological differences play in great power relations? Existing studies often treat ideological differences as fixed variables that exacerbate frictions between great powers. Instead, we treat ideologies as dynamic systems of ideas that evolve through domestic contestation and international adaptation. Our framework separates ideological content—whether states believe that their ideology is universally applicable—from the scope of ideological promotion—to what extent states seek to promote their ideology abroad. Specifically, our typology distinguishes between ideological strategies that are universalist or particularist in content, and expansive or selective in their scope of promotion. We use this framework to show how states can shift strategies over time without altering their underlying ideological commitments. We apply this framework to the Soviet Union under Joseph Stalin and Leonid Brezhnev and to China under Deng Xiaoping and Xi Jinping. Our case studies show that there was no single Cold War, and that contemporary China differs in important ways from the Soviet Union.</w:t>
      </w:r>
    </w:p>
    <w:p/>
    <w:p>
      <w:r>
        <w:rPr>
          <w:rFonts w:ascii="Times New Roman" w:hAnsi="Times New Roman" w:eastAsia="黑体"/>
          <w:b/>
          <w:i w:val="0"/>
          <w:sz w:val="24"/>
        </w:rPr>
        <w:t>安全困境下的竞争</w:t>
      </w:r>
    </w:p>
    <w:p>
      <w:r>
        <w:rPr>
          <w:rFonts w:ascii="Times New Roman" w:hAnsi="Times New Roman" w:eastAsia="宋体"/>
          <w:b w:val="0"/>
          <w:i/>
          <w:color w:val="404040"/>
          <w:sz w:val="20"/>
        </w:rPr>
        <w:t>Competition Under the Security Dilemma</w:t>
      </w:r>
    </w:p>
    <w:p>
      <w:r>
        <w:rPr>
          <w:rFonts w:ascii="Times New Roman" w:hAnsi="Times New Roman" w:eastAsia="宋体"/>
          <w:b w:val="0"/>
          <w:i w:val="0"/>
          <w:color w:val="595959"/>
          <w:sz w:val="18"/>
        </w:rPr>
        <w:t>Sebastian Rosato</w:t>
      </w:r>
    </w:p>
    <w:p>
      <w:r>
        <w:rPr>
          <w:rFonts w:ascii="Times New Roman" w:hAnsi="Times New Roman" w:eastAsia="宋体"/>
          <w:b w:val="0"/>
          <w:i w:val="0"/>
          <w:sz w:val="22"/>
        </w:rPr>
        <w:t>摘要：安全困境是国际政治中最著名的概念之一，但其原因与后果仍有疑问：大国多频繁地处于安全困境之中？处于安全困境时如何行事？本文提出安全困境的结构现实主义理论回答这些问题。核心论点是大国始终处于安全困境之中，这几乎必然导致它们为安全手段进行或强或弱的竞争。这与进攻—防御理论所代表的传统观点形成鲜明对比，后者认为在多种条件下大国可以摆脱安全困境或在困境中合作。对两种理论逻辑的分析以及对1871—1990年历史记录的考察表明，结构现实主义比进攻—防御理论更好地理解了安全困境。</w:t>
      </w:r>
    </w:p>
    <w:p>
      <w:r>
        <w:rPr>
          <w:rFonts w:ascii="Times New Roman" w:hAnsi="Times New Roman" w:eastAsia="宋体"/>
          <w:b w:val="0"/>
          <w:i w:val="0"/>
          <w:sz w:val="20"/>
        </w:rPr>
        <w:t>The security dilemma is one of the most famous concepts in international politics. Yet questions remain about its causes and consequences. Specifically: How often are great powers under the security dilemma? How do they behave when they are under the security dilemma? This article offers a structural realist theory of the security dilemma to answer these questions. The central argument is that great powers are always under the security dilemma, and this almost invariably causes them to compete with one another more or less intensely for the means to security. This understanding is in stark contrast to the conventional view, captured by offense-defense theory, which finds that there are various conditions under which great powers can escape from under the security dilemma or cooperate in spite of it. An analysis of the logic of the two theories and a review of the historical record from 1871 to 1990 demonstrate that structural realism offers a better understanding of the security dilemma than offense-defense theory.</w:t>
      </w:r>
    </w:p>
    <w:p/>
    <w:p>
      <w:r>
        <w:rPr>
          <w:rFonts w:ascii="Times New Roman" w:hAnsi="Times New Roman" w:eastAsia="黑体"/>
          <w:b/>
          <w:i w:val="0"/>
          <w:sz w:val="24"/>
        </w:rPr>
        <w:t>为生存而升级？当代大国冲突中的核先发使用</w:t>
      </w:r>
    </w:p>
    <w:p>
      <w:r>
        <w:rPr>
          <w:rFonts w:ascii="Times New Roman" w:hAnsi="Times New Roman" w:eastAsia="宋体"/>
          <w:b w:val="0"/>
          <w:i/>
          <w:color w:val="404040"/>
          <w:sz w:val="20"/>
        </w:rPr>
        <w:t>Escalate to Survive?: Nuclear First Use in Contemporary Great Power Conflict</w:t>
      </w:r>
    </w:p>
    <w:p>
      <w:r>
        <w:rPr>
          <w:rFonts w:ascii="Times New Roman" w:hAnsi="Times New Roman" w:eastAsia="宋体"/>
          <w:b w:val="0"/>
          <w:i w:val="0"/>
          <w:color w:val="595959"/>
          <w:sz w:val="18"/>
        </w:rPr>
        <w:t>Fiona S. Cunningham；Kristin Ven Bruusgaard</w:t>
      </w:r>
    </w:p>
    <w:p>
      <w:r>
        <w:rPr>
          <w:rFonts w:ascii="Times New Roman" w:hAnsi="Times New Roman" w:eastAsia="宋体"/>
          <w:b w:val="0"/>
          <w:i w:val="0"/>
          <w:sz w:val="22"/>
        </w:rPr>
        <w:t>摘要：大国为何认为有必要拥有核先发使用选项？什么解释了俄罗斯和美国核力量态势中不同类型的先发选项？中国为何在后冷战时代没有发展先发选项？既有文献聚焦大国核战略应巩固相互确保摧毁还是追求优势，但并未完全解释先发选项的差异。作者比较中国、俄罗斯和美国核战略中的先发使用路径：各大国在追求有限冲突目标、应对常规与地理脆弱性、政权威胁和对盟友威胁方面计划不同，对损害限制的信念也不同。严重的常规与地理脆弱性解释了俄罗斯以国家生存为优化目标的先发选项；尽管有人猜测中国可能为迫使统一而先使用核武器，但中国这样做的理由很弱，因其偏好以非核手段实现该目标；美国保留先发选项主要源于对盟友的延伸威慑承诺及损害限制信念。这些不同路径可能在冲突情境中助长核升级。</w:t>
      </w:r>
    </w:p>
    <w:p>
      <w:r>
        <w:rPr>
          <w:rFonts w:ascii="Times New Roman" w:hAnsi="Times New Roman" w:eastAsia="宋体"/>
          <w:b w:val="0"/>
          <w:i w:val="0"/>
          <w:sz w:val="20"/>
        </w:rPr>
        <w:t>Why do great powers believe it is necessary to have nuclear first-use options? What explains the different types of first-use options in the nuclear force postures of Russia and the United States? Why did China not develop a first-use option in the post-Cold War era? Existing literature focuses on whether great power nuclear strategies should entrench mutually assured destruction or compete for superiority, but it does not fully explain variation in first-use options. We compare the approaches to first use in the nuclear strategies of China, Russia, and the United States. Each of these great powers has different plans for both pursuing limited conflict objectives and countering conventional and geographic vulnerabilities, regime threats, and threats to allies, as well as different beliefs about damage limitation. Acute conventional and geographic vulnerabilities explain Russia's first-use options, which are optimized for state survival. Despite speculation that China might use nuclear weapons first to compel reunification with Taiwan, China has weak reasons to do so because it prefers non-nuclear means to achieve this objective. In contrast, the United States maintains options for first use, largely because of its extended deterrence commitments to allies and beliefs about damage limitation. These different approaches could fuel nuclear escalation in a conflict scenario.</w:t>
      </w:r>
    </w:p>
    <w:p/>
    <w:p>
      <w:r>
        <w:rPr>
          <w:rFonts w:ascii="Times New Roman" w:hAnsi="Times New Roman" w:eastAsia="黑体"/>
          <w:b/>
          <w:i w:val="0"/>
          <w:sz w:val="24"/>
        </w:rPr>
        <w:t>克制的代价：印度对中国与巴基斯坦两个核对手的不同应对</w:t>
      </w:r>
    </w:p>
    <w:p>
      <w:r>
        <w:rPr>
          <w:rFonts w:ascii="Times New Roman" w:hAnsi="Times New Roman" w:eastAsia="宋体"/>
          <w:b w:val="0"/>
          <w:i/>
          <w:color w:val="404040"/>
          <w:sz w:val="20"/>
        </w:rPr>
        <w:t>The Cost of Restraint: India's Divergent Responses to China and Pakistan as Nuclear Rivals</w:t>
      </w:r>
    </w:p>
    <w:p>
      <w:r>
        <w:rPr>
          <w:rFonts w:ascii="Times New Roman" w:hAnsi="Times New Roman" w:eastAsia="宋体"/>
          <w:b w:val="0"/>
          <w:i w:val="0"/>
          <w:color w:val="595959"/>
          <w:sz w:val="18"/>
        </w:rPr>
        <w:t>Yogesh Joshi；Rohan Mukherjee</w:t>
      </w:r>
    </w:p>
    <w:p>
      <w:r>
        <w:rPr>
          <w:rFonts w:ascii="Times New Roman" w:hAnsi="Times New Roman" w:eastAsia="宋体"/>
          <w:b w:val="0"/>
          <w:i w:val="0"/>
          <w:sz w:val="22"/>
        </w:rPr>
        <w:t>摘要：自美苏在1940年代获得核弹以来，普遍看法是每个新扩散国会引发其地区对手跟进，但这种反应性扩散的发生率很低。学者通常将预期与现实之间的差距归因于资源约束以及强大盟友和对手的潜在反弹，但这些因素只关注追求核武的成本。作者关注另一面——核克制（不追求核弹）的成本，它源于国家对对手核威胁程度的评估。当扩散中的对手目标广泛且常规能力处于劣势时，各国最可能反应性扩散，这些因素结合使核克制比追求核弹代价更高。作者利用访谈和新档案证据分析印度对中国和巴基斯坦核威胁的不同评估，解释了长期谜题：为何印度在1960年代没有回应中国的快速核化，却在1980年代末回应巴基斯坦获得核武而获得核武器。</w:t>
      </w:r>
    </w:p>
    <w:p>
      <w:r>
        <w:rPr>
          <w:rFonts w:ascii="Times New Roman" w:hAnsi="Times New Roman" w:eastAsia="宋体"/>
          <w:b w:val="0"/>
          <w:i w:val="0"/>
          <w:sz w:val="20"/>
        </w:rPr>
        <w:t>Since the United States and the Soviet Union acquired the bomb in the 1940s, the common wisdom has been that each new proliferator would trigger its regional rivals and competitors to follow suit. Yet the incidence of such reactive proliferation is low. Scholars typically attribute this gap between expectation and reality to resource constraints and potential backlash from powerful allies and adversaries. These factors, however, only focus on the cost of nuclear pursuit. We focus on the other side of the equation, the cost of nuclear restraint or not pursuing the bomb, which derives from a state's assessments of the degree of nuclear threat that a rival poses. States are most likely to reactively proliferate when a proliferating rival has extensive aims and inferior conventional capabilities, factors that combine to make nuclear restraint costlier than pursuing the bomb. We demonstrate this theoretical insight's validity using interviews and new archival evidence pertaining to India's divergent assessments of China and Pakistan as nuclear threats. Our findings address the long-standing puzzle of why India did not pursue nuclear weapons in response to China's rapid nuclearization in the 1960s but acquired them in the late 1980s in response to Pakistan's acquisition.</w:t>
      </w:r>
    </w:p>
    <w:p/>
    <w:p>
      <w:r>
        <w:rPr>
          <w:rFonts w:ascii="Times New Roman" w:hAnsi="Times New Roman" w:eastAsia="黑体"/>
          <w:b/>
          <w:i w:val="0"/>
          <w:sz w:val="24"/>
        </w:rPr>
        <w:t>火力封锁：中国以导弹打击港口封锁台湾的潜力</w:t>
      </w:r>
    </w:p>
    <w:p>
      <w:r>
        <w:rPr>
          <w:rFonts w:ascii="Times New Roman" w:hAnsi="Times New Roman" w:eastAsia="宋体"/>
          <w:b w:val="0"/>
          <w:i/>
          <w:color w:val="404040"/>
          <w:sz w:val="20"/>
        </w:rPr>
        <w:t>Blockade by Fire: China's Potential to Blockade Taiwan Using Missile Attacks on Ports</w:t>
      </w:r>
    </w:p>
    <w:p>
      <w:r>
        <w:rPr>
          <w:rFonts w:ascii="Times New Roman" w:hAnsi="Times New Roman" w:eastAsia="宋体"/>
          <w:b w:val="0"/>
          <w:i w:val="0"/>
          <w:color w:val="595959"/>
          <w:sz w:val="18"/>
        </w:rPr>
        <w:t>Kerby Davis；Eugene Gholz</w:t>
      </w:r>
    </w:p>
    <w:p>
      <w:r>
        <w:rPr>
          <w:rFonts w:ascii="Times New Roman" w:hAnsi="Times New Roman" w:eastAsia="宋体"/>
          <w:b w:val="0"/>
          <w:i w:val="0"/>
          <w:sz w:val="22"/>
        </w:rPr>
        <w:t>摘要：随着中国扩大军事投资、两岸政治关系恶化，分析人士日益担忧中国可能动用武力谋求统一。多数军事分析聚焦登陆作战情景，但也有分析认为封锁是迫使台湾屈服的风险较低的方式。本文指出传统封锁（尤其以水面舰队和潜艇拦截驶向台湾的船舶）的若干不利特征，并构建了一种替代性封锁作战概念的蒙特卡洛模拟模型：以远程导弹打击港口降低台湾的货物吞吐量。军事战役分析结果表明，中国很可能以相对较低的升级风险、在不消耗稀缺昂贵舰队的情况下大幅压制台湾贸易。作者讨论了为何即便军事上成功的封锁也很少实现全部政治目标，并为台湾增强韧性提出建议。</w:t>
      </w:r>
    </w:p>
    <w:p>
      <w:r>
        <w:rPr>
          <w:rFonts w:ascii="Times New Roman" w:hAnsi="Times New Roman" w:eastAsia="宋体"/>
          <w:b w:val="0"/>
          <w:i w:val="0"/>
          <w:sz w:val="20"/>
        </w:rPr>
        <w:t>The possibility that China might use military force to try to reunify with Taiwan increasingly worries analysts, especially as China expands its military investments and the political relationship between China and Taiwan deteriorates. Much of the military analysis of the relationship focuses on invasion scenarios, but some analysts suggest that a blockade is a less risky way for China to compel Taiwan to capitulate. This article points out some undesirable features of a traditional blockade in which China tries to interdict shipping approaching Taiwan, particularly by deploying a surface fleet and submarines. We built a Monte Carlo simulation model of an alternative Chinese concept of blockade operations using standoff missile strikes on ports to diminish cargo throughput to Taiwan. The military campaign analysis results suggest that China likely can substantially suppress Taiwan's trade, at relatively low escalation risk, without depleting China's scarce and expensive fleet. We discuss reasons why even militarily successful blockades have rarely achieved all their political goals, and we offer suggestions for Taiwan to build resilience and thereby reduce the probability of this potentially militarily effective concept of blockade operations.</w:t>
      </w:r>
    </w:p>
    <w:p/>
    <w:p>
      <w:r>
        <w:rPr>
          <w:rFonts w:ascii="Times New Roman" w:hAnsi="Times New Roman" w:eastAsia="宋体"/>
          <w:b/>
          <w:i w:val="0"/>
          <w:sz w:val="22"/>
        </w:rPr>
        <w:t>IS： Volume 50, Issue 3, Winter 2025/2026</w:t>
      </w:r>
    </w:p>
    <w:p/>
    <w:p>
      <w:r>
        <w:rPr>
          <w:rFonts w:ascii="Times New Roman" w:hAnsi="Times New Roman" w:eastAsia="黑体"/>
          <w:b/>
          <w:i w:val="0"/>
          <w:sz w:val="24"/>
        </w:rPr>
        <w:t>为何民粹主义者热爱阵亡士兵而憎恶在职军官</w:t>
      </w:r>
    </w:p>
    <w:p>
      <w:r>
        <w:rPr>
          <w:rFonts w:ascii="Times New Roman" w:hAnsi="Times New Roman" w:eastAsia="宋体"/>
          <w:b w:val="0"/>
          <w:i/>
          <w:color w:val="404040"/>
          <w:sz w:val="20"/>
        </w:rPr>
        <w:t>Why Populists Love Dead Soldiers and Hate Live Officers</w:t>
      </w:r>
    </w:p>
    <w:p>
      <w:r>
        <w:rPr>
          <w:rFonts w:ascii="Times New Roman" w:hAnsi="Times New Roman" w:eastAsia="宋体"/>
          <w:b w:val="0"/>
          <w:i w:val="0"/>
          <w:color w:val="595959"/>
          <w:sz w:val="18"/>
        </w:rPr>
        <w:t>Ronald R. Krebs</w:t>
      </w:r>
    </w:p>
    <w:p>
      <w:r>
        <w:rPr>
          <w:rFonts w:ascii="Times New Roman" w:hAnsi="Times New Roman" w:eastAsia="宋体"/>
          <w:b w:val="0"/>
          <w:i w:val="0"/>
          <w:sz w:val="22"/>
        </w:rPr>
        <w:t>摘要：右翼民粹领导人似乎热爱士兵（尤其是阵亡士兵）和军旅生活的外在符号，但他们与军队的“恋情”很少持久。本文以民粹主义的政治逻辑解释这一表面悖论：将军队浪漫化、神话化为民粹主义者解决了一个政治难题——如何动员人民力量而不真正赋权于人民。甘愿为国牺牲的士兵成为服从公众的榜样，公众应同样为民粹领袖进军政治战场；阵亡士兵无法反对民粹领袖利用其记忆。民粹主义者明白独立、职业化的军队始终至少是对其政治野心的潜在威胁。一旦其他机构屈从，他们就寻求控制军队、侵蚀其自主性与职业性，将其变成忠诚者的领地；若军队抵制，就削弱公众对军队的信任以便接管。文章通过巴西博索纳罗、印度莫迪、波兰法律与公正党、土耳其埃尔多安和美国特朗普五个案例探讨这些动态。</w:t>
      </w:r>
    </w:p>
    <w:p>
      <w:r>
        <w:rPr>
          <w:rFonts w:ascii="Times New Roman" w:hAnsi="Times New Roman" w:eastAsia="宋体"/>
          <w:b w:val="0"/>
          <w:i w:val="0"/>
          <w:sz w:val="20"/>
        </w:rPr>
        <w:t>Right-wing populist leaders often seem to love soldiers (especially fallen ones) and the trappings of military life. But their love affair with the military rarely endures. This article explains this seeming paradox through the political logic of populism. Romanticizing and mythologizing the military solves a political problem for populists: how to mobilize people power without actually granting power to the people. Soldiers who willingly risk their lives for the nation serve as a model for an obedient public that should similarly march into the political battlefield on behalf of the populist leader. Dead soldiers cannot object when a populist leader exploits their memory. Populists understand that an independent, professional military is always at least a latent threat to their political ambitions. Once populists have bent other institutions to their will, they seek to control the military, erode its autonomy and professionalism, and transform it into a realm of loyalists. If the military resists, populists undermine public trust in it to facilitate taking it over. The article explores these dynamics in five case studies: Brazil under Bolsonaro; India under Modi; Poland under the Law and Justice Party; Turkey under Erdoğan; and the United States under Trump.</w:t>
      </w:r>
    </w:p>
    <w:p/>
    <w:p>
      <w:r>
        <w:rPr>
          <w:rFonts w:ascii="Times New Roman" w:hAnsi="Times New Roman" w:eastAsia="黑体"/>
          <w:b/>
          <w:i w:val="0"/>
          <w:sz w:val="24"/>
        </w:rPr>
        <w:t>原则问题：当地同意如何影响美国对军事干预的支持</w:t>
      </w:r>
    </w:p>
    <w:p>
      <w:r>
        <w:rPr>
          <w:rFonts w:ascii="Times New Roman" w:hAnsi="Times New Roman" w:eastAsia="宋体"/>
          <w:b w:val="0"/>
          <w:i/>
          <w:color w:val="404040"/>
          <w:sz w:val="20"/>
        </w:rPr>
        <w:t>A Matter of Principle: How Local Consent Affects U.S. Support for Military Interventions</w:t>
      </w:r>
    </w:p>
    <w:p>
      <w:r>
        <w:rPr>
          <w:rFonts w:ascii="Times New Roman" w:hAnsi="Times New Roman" w:eastAsia="宋体"/>
          <w:b w:val="0"/>
          <w:i w:val="0"/>
          <w:color w:val="595959"/>
          <w:sz w:val="18"/>
        </w:rPr>
        <w:t>Janina Dill；Emily Myers；Livia I. Schubiger</w:t>
      </w:r>
    </w:p>
    <w:p>
      <w:r>
        <w:rPr>
          <w:rFonts w:ascii="Times New Roman" w:hAnsi="Times New Roman" w:eastAsia="宋体"/>
          <w:b w:val="0"/>
          <w:i w:val="0"/>
          <w:sz w:val="22"/>
        </w:rPr>
        <w:t>摘要：美国政策精英经常声称当地民众欢迎美国在其领土上的军事干预，这意味着战争具有强大的道德正当性。“被干预民众”的同意是否影响美国公众对军事干预的支持？大量文献表明美国公众对战争的支持遵循成本—收益计算：普通美国人对战争是审慎而非原则性的。然而作者的联合分析调查实验发现美国受访者确实对军事干预持道德立场：在请3360名美国公民评估十个随机变化属性的假设干预情景后，结果显示即使预计干预零成本，当地同意平均也显著提高对战争的支持。这符合反家长主义立场：为他人利益使用武力原则上需要其同意。</w:t>
      </w:r>
    </w:p>
    <w:p>
      <w:r>
        <w:rPr>
          <w:rFonts w:ascii="Times New Roman" w:hAnsi="Times New Roman" w:eastAsia="宋体"/>
          <w:b w:val="0"/>
          <w:i w:val="0"/>
          <w:sz w:val="20"/>
        </w:rPr>
        <w:t>U.S. policy elites regularly claim that local populations welcome U.S. military intervention on their territory, which implies a powerful moral justification for war. Does the consent of the “intervened population” affect U.S. public support for military intervention? A large literature shows that U.S. support for war follows cost-benefit calculations. In this view, ordinary Americans are prudent, not principled, about war—specifically, they support low-cost interventions that are likely to succeed. Yet our conjoint survey experiment finds that American respondents do take a moral position regarding military intervention. In the experiment, we asked 3,360 U.S. citizens to evaluate ten hypothetical military intervention scenarios with attributes that we varied randomly. The results show that local consent significantly increases support for war on average, even when the intervention is predicted to be costless. This finding is consistent with the anti-paternalist position that using force for the benefit of others requires their consent as a matter of principle. Our study contributes to a recalibration of the roles of principled and prudential considerations in U.S. support for war. The importance of consent and the principled logic behind its effect on support for military intervention suggest that policy elites concerned with the democratic legitimacy of U.S. wars should identify the actual views of the population where the United States militarily intervenes.</w:t>
      </w:r>
    </w:p>
    <w:p/>
    <w:p>
      <w:r>
        <w:rPr>
          <w:rFonts w:ascii="Times New Roman" w:hAnsi="Times New Roman" w:eastAsia="黑体"/>
          <w:b/>
          <w:i w:val="0"/>
          <w:sz w:val="24"/>
        </w:rPr>
        <w:t>欺骗与侦测：为何人工智能使网络防御强于进攻</w:t>
      </w:r>
    </w:p>
    <w:p>
      <w:r>
        <w:rPr>
          <w:rFonts w:ascii="Times New Roman" w:hAnsi="Times New Roman" w:eastAsia="宋体"/>
          <w:b w:val="0"/>
          <w:i/>
          <w:color w:val="404040"/>
          <w:sz w:val="20"/>
        </w:rPr>
        <w:t>Deception and Detection: Why Artificial Intelligence Empowers Cyber Defense over Offense</w:t>
      </w:r>
    </w:p>
    <w:p>
      <w:r>
        <w:rPr>
          <w:rFonts w:ascii="Times New Roman" w:hAnsi="Times New Roman" w:eastAsia="宋体"/>
          <w:b w:val="0"/>
          <w:i w:val="0"/>
          <w:color w:val="595959"/>
          <w:sz w:val="18"/>
        </w:rPr>
        <w:t>Lennart Maschmeyer</w:t>
      </w:r>
    </w:p>
    <w:p>
      <w:r>
        <w:rPr>
          <w:rFonts w:ascii="Times New Roman" w:hAnsi="Times New Roman" w:eastAsia="宋体"/>
          <w:b w:val="0"/>
          <w:i w:val="0"/>
          <w:sz w:val="22"/>
        </w:rPr>
        <w:t>摘要：人工智能有潜力自动化网络行动生命周期中的关键任务。许多人预测AI将通过实现更快、更隐蔽、破坏性更强的进攻自动化而革新网络冲突，但尽管高能力AI模型已问世数年，革命并未发生。本文解释原因：在AI能力限制方面，防御与进攻之间存在差距。网络进攻需要创造性欺骗以潜入系统并在被发现前产生预期效果；网络防御则力求在入侵造成危害前侦测到它。AI模型难以胜任进攻所需的创造性与欺骗，却擅长防御关键的模式识别；且这种防御相对优势随利害增加而扩大。作者用AI在网络冲突中自动化的实验与实战证据检验理论。投资防御自动化的国家可能获得越来越大的优势；AI自动化可能进一步驯化网络冲突。</w:t>
      </w:r>
    </w:p>
    <w:p>
      <w:r>
        <w:rPr>
          <w:rFonts w:ascii="Times New Roman" w:hAnsi="Times New Roman" w:eastAsia="宋体"/>
          <w:b w:val="0"/>
          <w:i w:val="0"/>
          <w:sz w:val="20"/>
        </w:rPr>
        <w:t>Artificial intelligence (AI) has the potential to automate key tasks in the life cycle of a cyber operation. Many have predicted that AI will revolutionize cyber conflict by enabling offense automation for faster, stealthier, and more damaging attacks. But the revolution has not happened, even though highly capable AI models have been available for several years. This article explains why: There is a gap between defense and offense when it comes to the limits on what AI can do. Cyber offense requires creative deception to burrow into systems and produce desired effects before being discovered. Cyber defense, by contrast, strives to detect such intrusions before they cause harm. AI models struggle with the creativity and deception necessary for offensive operations, but they excel at the pattern recognition that is key for defensive operations. I show that this relative advantage of defensive tasks increases as the stakes increase. I test this theory against experimental and in-the-wild evidence of AI automation in cyber conflict. States that invest in defense automation will likely enjoy a growing advantage over those that prioritize investing in offense automation. Rather than heralding a revolution, AI automation is likely to further tame cyber conflict. Highly skilled human operators, not AI, will be necessary to avoid being detected by AI-empowered defenders.</w:t>
      </w:r>
    </w:p>
    <w:p/>
    <w:p>
      <w:r>
        <w:rPr>
          <w:rFonts w:ascii="Times New Roman" w:hAnsi="Times New Roman" w:eastAsia="黑体"/>
          <w:b/>
          <w:i w:val="0"/>
          <w:sz w:val="24"/>
        </w:rPr>
        <w:t>人工智能与突袭问题</w:t>
      </w:r>
    </w:p>
    <w:p>
      <w:r>
        <w:rPr>
          <w:rFonts w:ascii="Times New Roman" w:hAnsi="Times New Roman" w:eastAsia="宋体"/>
          <w:b w:val="0"/>
          <w:i/>
          <w:color w:val="404040"/>
          <w:sz w:val="20"/>
        </w:rPr>
        <w:t>Artificial Intelligence and the Problem of Surprise</w:t>
      </w:r>
    </w:p>
    <w:p>
      <w:r>
        <w:rPr>
          <w:rFonts w:ascii="Times New Roman" w:hAnsi="Times New Roman" w:eastAsia="宋体"/>
          <w:b w:val="0"/>
          <w:i w:val="0"/>
          <w:color w:val="595959"/>
          <w:sz w:val="18"/>
        </w:rPr>
        <w:t>Joel Brenner</w:t>
      </w:r>
    </w:p>
    <w:p>
      <w:r>
        <w:rPr>
          <w:rFonts w:ascii="Times New Roman" w:hAnsi="Times New Roman" w:eastAsia="宋体"/>
          <w:b w:val="0"/>
          <w:i w:val="0"/>
          <w:sz w:val="22"/>
        </w:rPr>
        <w:t>摘要：本文首次探讨人工智能在战略决策和防止战略突袭方面的局限。利用著名案例，文章考察情报收集、分析与分发中反复出现的困难。鉴于收集挑战、数据污染、法律限制、保密壁垒以及对手AI系统的欺骗，避免突袭所需的充分数据常常不可得；AI也不会消除误解信息或情报政治化的危险。文章随后考虑任何算力水平的计算机预测未来的理论限制：未来是随机的，处于给定状态的系统可产生多种未来状态，即使在封闭实验室中预测也会出错并随时间迅速退化；不可避免的观测误差、不精确与不完整带来更多困难，在战略决策中这些困难更为复杂。AI将增强战略规划、在误差范围内改进短期政治预测，但不能依赖其进行判断，也不会消除战略突袭。</w:t>
      </w:r>
    </w:p>
    <w:p>
      <w:r>
        <w:rPr>
          <w:rFonts w:ascii="Times New Roman" w:hAnsi="Times New Roman" w:eastAsia="宋体"/>
          <w:b w:val="0"/>
          <w:i w:val="0"/>
          <w:sz w:val="20"/>
        </w:rPr>
        <w:t>This article is the first to explore the limitations of artificial intelligence in strategic decision-making and in preventing strategic surprise. Using well-known cases, it examines repeated difficulties involved in the collection, analysis, and dissemination of intelligence. Given collection challenges, corrupted data, legal limitations, classification barriers, and spoofing by adversarial AI systems, the article shows that adequate data to avoid surprise are often unavailable. Nor will AI eliminate the dangers of misapprehending information or the politicization of intelligence. The article then considers the theoretical limitations on the ability of computers of any level of power to predict the future. The future is random; any system in a given state can produce multiple future states. Consequently, even in a closed laboratory system, the ability to predict is subject to error and degrades rapidly over time. Unavoidable observational error, imprecision, and incompleteness create further difficulty. In strategic decision-making, these difficulties are compounded. AI will enhance strategic planning and improve short-term political forecasting within a margin of error, but it cannot be relied on for judgment, and it will not eliminate strategic surprises.</w:t>
      </w:r>
    </w:p>
    <w:p/>
    <w:p>
      <w:r>
        <w:rPr>
          <w:rFonts w:ascii="Times New Roman" w:hAnsi="Times New Roman" w:eastAsia="黑体"/>
          <w:b/>
          <w:i w:val="0"/>
          <w:sz w:val="24"/>
        </w:rPr>
        <w:t>海战中的技术、行为与效能：萨沃岛与圣乔治角海战</w:t>
      </w:r>
    </w:p>
    <w:p>
      <w:r>
        <w:rPr>
          <w:rFonts w:ascii="Times New Roman" w:hAnsi="Times New Roman" w:eastAsia="宋体"/>
          <w:b w:val="0"/>
          <w:i/>
          <w:color w:val="404040"/>
          <w:sz w:val="20"/>
        </w:rPr>
        <w:t>Technology, Behavior, and Effectiveness in Naval Warfare: The Battles of Savo Island and Cape Saint George</w:t>
      </w:r>
    </w:p>
    <w:p>
      <w:r>
        <w:rPr>
          <w:rFonts w:ascii="Times New Roman" w:hAnsi="Times New Roman" w:eastAsia="宋体"/>
          <w:b w:val="0"/>
          <w:i w:val="0"/>
          <w:color w:val="595959"/>
          <w:sz w:val="18"/>
        </w:rPr>
        <w:t>John Severini；Stephen Biddle</w:t>
      </w:r>
    </w:p>
    <w:p>
      <w:r>
        <w:rPr>
          <w:rFonts w:ascii="Times New Roman" w:hAnsi="Times New Roman" w:eastAsia="宋体"/>
          <w:b w:val="0"/>
          <w:i w:val="0"/>
          <w:sz w:val="22"/>
        </w:rPr>
        <w:t>摘要：什么解释了海战的成败？多数关于军事效能的政治学研究聚焦陆战，常忽视行为如何塑造海上结果。本文对二战中两场海战——萨沃岛海战和圣乔治角海战——进行配对比较，考察物质与非物质因素在海上冲突中的互动。两场战斗中美军均拥有显著物质与技术优势，却在前者惨败、后者大胜。作者认为决定性差异在于指挥官的行为选择、组织结构以及乘员在压力下使用技术的熟练程度。通过案例比较与反事实分析，作者表明相似的物质条件因非物质表现差异而产生截然不同的结果。随着中美在西太平洋竞争加剧，分析呼吁在评估中国物质实力增长的含义时更多关注训练、领导与条令。</w:t>
      </w:r>
    </w:p>
    <w:p>
      <w:r>
        <w:rPr>
          <w:rFonts w:ascii="Times New Roman" w:hAnsi="Times New Roman" w:eastAsia="宋体"/>
          <w:b w:val="0"/>
          <w:i w:val="0"/>
          <w:sz w:val="20"/>
        </w:rPr>
        <w:t>What explains success and failure in naval warfare? Most political science research on military effectiveness focuses on land combat, often overlooking how behavior shapes outcomes at sea. This article uses a paired comparison of two World War II naval battles—Savo Island and Cape Saint George—to examine how material and nonmaterial factors interact in maritime conflict. In both battles, U.S. forces held significant material and technological advantages, yet they suffered a catastrophic defeat in the former and achieved a lopsided victory in the latter. The decisive difference, we argue, lay in commanders’ behavioral choices, organizational structure, and crew proficiency in using technology under stress. Using case study comparison and counterfactual analysis, we demonstrate how similar material conditions produced dramatically different outcomes as a result of variation in nonmaterial performance. These findings suggest that naval combat is more sensitive to human factors than prevailing materialist assessments acknowledge. As U.S.-China competition intensifies in the Western Pacific, our analysis calls for greater attention to training, leadership, and doctrine when evaluating the implications of China's growing material power. Naval warfare is a deeply social process, and understanding its outcomes requires integrating human behavior with technological and material analysis.</w:t>
      </w:r>
    </w:p>
    <w:p/>
    <w:p>
      <w:r>
        <w:rPr>
          <w:rFonts w:ascii="Times New Roman" w:hAnsi="Times New Roman" w:eastAsia="宋体"/>
          <w:b/>
          <w:i w:val="0"/>
          <w:sz w:val="22"/>
        </w:rPr>
        <w:t>IS： Volume 50, Issue 2, Fall 2025</w:t>
      </w:r>
    </w:p>
    <w:p/>
    <w:p>
      <w:r>
        <w:rPr>
          <w:rFonts w:ascii="Times New Roman" w:hAnsi="Times New Roman" w:eastAsia="黑体"/>
          <w:b/>
          <w:i w:val="0"/>
          <w:sz w:val="24"/>
        </w:rPr>
        <w:t>基于规则的国际秩序：历史分析</w:t>
      </w:r>
    </w:p>
    <w:p>
      <w:r>
        <w:rPr>
          <w:rFonts w:ascii="Times New Roman" w:hAnsi="Times New Roman" w:eastAsia="宋体"/>
          <w:b w:val="0"/>
          <w:i/>
          <w:color w:val="404040"/>
          <w:sz w:val="20"/>
        </w:rPr>
        <w:t>The Rules-Based International Order: A Historical Analysis</w:t>
      </w:r>
    </w:p>
    <w:p>
      <w:r>
        <w:rPr>
          <w:rFonts w:ascii="Times New Roman" w:hAnsi="Times New Roman" w:eastAsia="宋体"/>
          <w:b w:val="0"/>
          <w:i w:val="0"/>
          <w:color w:val="595959"/>
          <w:sz w:val="18"/>
        </w:rPr>
        <w:t>Marc Trachtenberg</w:t>
      </w:r>
    </w:p>
    <w:p>
      <w:r>
        <w:rPr>
          <w:rFonts w:ascii="Times New Roman" w:hAnsi="Times New Roman" w:eastAsia="宋体"/>
          <w:b w:val="0"/>
          <w:i w:val="0"/>
          <w:sz w:val="22"/>
        </w:rPr>
        <w:t>摘要：近年来，关于"基于规则的国际秩序"的讨论甚嚣尘上——许多观察家认为，这套由法律、协议、原则和机构构成的体系，正是二战后国际体系的核心。人们常认为，维护基于规则的秩序——并在可能的情况下加以扩展——不仅应是美国的基本目标，更应是西方国家整体的根本追求。这些自由国际主义论点援引诸多历史论据支撑：既有关于规则体系形成过程的阐释，也有对北约组织、布雷顿森林货币体系等关键机构作用的论述。本文将对这些论点进行审视。基本结论是：该领域诸多常见论点缺乏历史证据支撑。这一发现成为思考的跳板——自由国际主义者倡导的政策是否存在可行替代方案？本文论证认为：确实存在可行替代方案——这些方案基于某些关于外交政策运作方式的传统理念。</w:t>
      </w:r>
    </w:p>
    <w:p>
      <w:r>
        <w:rPr>
          <w:rFonts w:ascii="Times New Roman" w:hAnsi="Times New Roman" w:eastAsia="宋体"/>
          <w:b w:val="0"/>
          <w:i w:val="0"/>
          <w:sz w:val="20"/>
        </w:rPr>
        <w:t>There has been a good deal of talk in recent years about the “rules-based international order”—the system of laws, agreements, principles, and institutions that, many observers say, lay at the heart of the international system that came into being after World War II. It is often argued that maintaining the rules-based order—and extending it if possible—should be a fundamental goal not just for the United States but for Western countries more generally. Those liberal internationalist arguments are supported by a number of historical claims: about how the rules-based order came into being and about the role played by key institutions, such as the North Atlantic Treaty Organization and the Bretton Woods monetary system. Those claims are examined here. The basic finding is that many common arguments in this area are not supported by the historical evidence. That finding serves as a kind of springboard for thinking about whether there are any viable alternatives to the sort of policy the liberal internationalists have called for. The argument here is that there are viable alternatives—alternatives based on certain traditional ideas about how foreign policy should be conducted.</w:t>
      </w:r>
    </w:p>
    <w:p/>
    <w:p>
      <w:r>
        <w:rPr>
          <w:rFonts w:ascii="Times New Roman" w:hAnsi="Times New Roman" w:eastAsia="黑体"/>
          <w:b/>
          <w:i w:val="0"/>
          <w:sz w:val="24"/>
        </w:rPr>
        <w:t>冷战时期美国太空力量与联盟动态</w:t>
      </w:r>
    </w:p>
    <w:p>
      <w:r>
        <w:rPr>
          <w:rFonts w:ascii="Times New Roman" w:hAnsi="Times New Roman" w:eastAsia="宋体"/>
          <w:b w:val="0"/>
          <w:i/>
          <w:color w:val="404040"/>
          <w:sz w:val="20"/>
        </w:rPr>
        <w:t>U.S. Space Power and Alliance Dynamics in the Cold War</w:t>
      </w:r>
    </w:p>
    <w:p>
      <w:r>
        <w:rPr>
          <w:rFonts w:ascii="Times New Roman" w:hAnsi="Times New Roman" w:eastAsia="宋体"/>
          <w:b w:val="0"/>
          <w:i w:val="0"/>
          <w:color w:val="595959"/>
          <w:sz w:val="18"/>
        </w:rPr>
        <w:t>Aaron Bateman</w:t>
      </w:r>
    </w:p>
    <w:p>
      <w:r>
        <w:rPr>
          <w:rFonts w:ascii="Times New Roman" w:hAnsi="Times New Roman" w:eastAsia="宋体"/>
          <w:b w:val="0"/>
          <w:i w:val="0"/>
          <w:sz w:val="22"/>
        </w:rPr>
        <w:t>摘要：美国太空力量长期以来都依赖于地球地理环境。冷战时期，美国依靠全球设施网络来追踪和联络军事、情报及民用卫星。但要确保卫星过境时既能覆盖视野范围，又具备政治可靠性的外国领土准入权，实属不易。本文援引澳大利亚、英国和美国解密的文件，详述盟友在美国太空力量中鲜为人知的角色。为缓解在非盟国建立太空设施引发的政治挑战，美国转向澳大利亚和英国寻求支持。但使用盟国领土并非毫无风险——后殖民时代的独立运动曾威胁到美国在印度洋英国属地关键太空追踪站的长期使用权。此外，澳大利亚担忧美方空间设施可能成为核打击目标并侵犯其主权，引发国内政治风暴，导致美澳同盟关系紧张。即便在盟国内部，政治动荡也成为美国空间能力的重要脆弱点。因此，缓解这些政治风险成为美国外交政策的首要任务。</w:t>
      </w:r>
    </w:p>
    <w:p>
      <w:r>
        <w:rPr>
          <w:rFonts w:ascii="Times New Roman" w:hAnsi="Times New Roman" w:eastAsia="宋体"/>
          <w:b w:val="0"/>
          <w:i w:val="0"/>
          <w:sz w:val="20"/>
        </w:rPr>
        <w:t>U.S. space power has long been anchored to terrestrial geography. In the Cold War, the United States depended on a global network of facilities to track and communicate with military, intelligence, and civilian satellites. But it was difficult to secure access to foreign territories that were both in view of satellites as they passed overhead and politically reliable. Drawing on declassified Australian, British, and U.S. documents, this article details the largely invisible role of allies in U.S. space power. To mitigate the political challenges associated with basing space facilities in non-allied countries, the United States turned to Australia and Britain. But using allied territories was not risk free. Postcolonial independence movements threatened the security of tenure at key U.S. space tracking stations located in British territories in the Indian Ocean. Moreover, Australian concerns that U.S. space facilities were nuclear targets and violated Australia’s sovereignty created a domestic political uproar that strained the U.S.-Australia alliance. Political upheaval, even in allied states, was a significant vulnerability for U.S. space capabilities. Mitigating these political risks thus became a top U.S. foreign policy priority.</w:t>
      </w:r>
    </w:p>
    <w:p/>
    <w:p>
      <w:r>
        <w:rPr>
          <w:rFonts w:ascii="Times New Roman" w:hAnsi="Times New Roman" w:eastAsia="黑体"/>
          <w:b/>
          <w:i w:val="0"/>
          <w:sz w:val="24"/>
        </w:rPr>
        <w:t>常规核威慑</w:t>
      </w:r>
    </w:p>
    <w:p>
      <w:r>
        <w:rPr>
          <w:rFonts w:ascii="Times New Roman" w:hAnsi="Times New Roman" w:eastAsia="宋体"/>
          <w:b w:val="0"/>
          <w:i/>
          <w:color w:val="404040"/>
          <w:sz w:val="20"/>
        </w:rPr>
        <w:t>Conventional Deterrence of Nuclear Use</w:t>
      </w:r>
    </w:p>
    <w:p>
      <w:r>
        <w:rPr>
          <w:rFonts w:ascii="Times New Roman" w:hAnsi="Times New Roman" w:eastAsia="宋体"/>
          <w:b w:val="0"/>
          <w:i w:val="0"/>
          <w:color w:val="595959"/>
          <w:sz w:val="18"/>
        </w:rPr>
        <w:t>Adam Mount</w:t>
      </w:r>
    </w:p>
    <w:p>
      <w:r>
        <w:rPr>
          <w:rFonts w:ascii="Times New Roman" w:hAnsi="Times New Roman" w:eastAsia="宋体"/>
          <w:b w:val="0"/>
          <w:i w:val="0"/>
          <w:sz w:val="22"/>
        </w:rPr>
        <w:t>摘要：部分学术文献和美国政策文件认为常规威慑力弱于核威慑。但美国政策的最新动向表明，常规部队在遏制有限核使用方面正发挥更大作用。本文探讨美国官员为何及如何可能转向常规武器来遏制核攻击。随着常规武器在应对核攻击时产生战略影响的能力日益增强，美国官员更可能将常规威慑视为遏制此类攻击的可信选项。在某些情况下，为规避核威胁带来的成本、风险与不确定性，美国官员更倾向于选择常规手段。为验证该理论，本文呈现了针对美国前高级官员的系列情景式"桌面访谈"结果——这些官员在决策如何遏制朝鲜核攻击时极可能被征询意见。结果表明，美国官员日益将常规威慑核武器使用视为可行且有价值的能力。</w:t>
      </w:r>
    </w:p>
    <w:p>
      <w:r>
        <w:rPr>
          <w:rFonts w:ascii="Times New Roman" w:hAnsi="Times New Roman" w:eastAsia="宋体"/>
          <w:b w:val="0"/>
          <w:i w:val="0"/>
          <w:sz w:val="20"/>
        </w:rPr>
        <w:t>Some academic literature and U.S. policy documents suggest that conventional deterrence is weaker than nuclear deterrence. But recent developments in U.S. policy suggest that conventional forces are assuming a larger role in deterring limited nuclear use. This article explores why and how U.S. officials may turn to conventional weapons to deter a nuclear attack. As conventional weapons are becoming increasingly capable of producing strategic effects in response to a nuclear attack, U.S. officials may be more likely to consider conventional deterrence as a credible option to deter those attacks. In some cases, U.S. officials are likely to prefer conventional options to avoid the costs, risks, and uncertainty of nuclear threats. To test the theory, the article presents the results of a series of individual, scenario-based “tabletop interviews” with former senior U.S. officials who might plausibly have been consulted on a decision about how to deter a North Korean nuclear attack. The results demonstrate that U.S. officials increasingly consider conventional deterrence of nuclear use to be a viable and valuable capability.</w:t>
      </w:r>
    </w:p>
    <w:p/>
    <w:p>
      <w:r>
        <w:rPr>
          <w:rFonts w:ascii="Times New Roman" w:hAnsi="Times New Roman" w:eastAsia="黑体"/>
          <w:b/>
          <w:i w:val="0"/>
          <w:sz w:val="24"/>
        </w:rPr>
        <w:t>进退两难：客户如何规避赞助方代价高昂的战略要求</w:t>
      </w:r>
    </w:p>
    <w:p>
      <w:r>
        <w:rPr>
          <w:rFonts w:ascii="Times New Roman" w:hAnsi="Times New Roman" w:eastAsia="宋体"/>
          <w:b w:val="0"/>
          <w:i/>
          <w:color w:val="404040"/>
          <w:sz w:val="20"/>
        </w:rPr>
        <w:t>Between a Rock and a Hard Place: How Clients Evade Patrons’ Costly Strategic Demands</w:t>
      </w:r>
    </w:p>
    <w:p>
      <w:r>
        <w:rPr>
          <w:rFonts w:ascii="Times New Roman" w:hAnsi="Times New Roman" w:eastAsia="宋体"/>
          <w:b w:val="0"/>
          <w:i w:val="0"/>
          <w:color w:val="595959"/>
          <w:sz w:val="18"/>
        </w:rPr>
        <w:t>Dong Jung Kim</w:t>
      </w:r>
    </w:p>
    <w:p>
      <w:r>
        <w:rPr>
          <w:rFonts w:ascii="Times New Roman" w:hAnsi="Times New Roman" w:eastAsia="宋体"/>
          <w:b w:val="0"/>
          <w:i w:val="0"/>
          <w:sz w:val="22"/>
        </w:rPr>
        <w:t>摘要：美国安全客户如何应对美国提出的、与其政治或经济利益相冲突的战略要求？关于联盟内部政治的大量文献解释了客户接受或拒绝其庇护者要求的决策。本文将需求规避理论化为美国安全客户面对庇护者提出的高成本战略要求时的一种选择。所谓需求规避，是指客户在不招致赞助者惩罚的前提下，回避回应其在战略议题上反复提出的要求。规避策略包含三种形式：拖延、推诿与缓慢推进。美国安全客户在应对赞助者战略要求时，会综合评估赞助者内部对该要求的立场一致性，以及相关议题所涉风险类型。本文通过剖析印太地区三大美国条约盟友（澳大利亚、日本、韩国）对历届美国政府要求的应对策略，阐释需求规避理论。对于寻求盟友即时支持的美国领导人而言，该理论具有重要参考价值——它揭示了美国客户可采取的全套应对策略（即接受、拒绝与规避）。理解盟友为何有时刻意回避战略决策，对美国应对对手、维护自身安全利益具有关键意义。</w:t>
      </w:r>
    </w:p>
    <w:p>
      <w:r>
        <w:rPr>
          <w:rFonts w:ascii="Times New Roman" w:hAnsi="Times New Roman" w:eastAsia="宋体"/>
          <w:b w:val="0"/>
          <w:i w:val="0"/>
          <w:sz w:val="20"/>
        </w:rPr>
        <w:t>How do U.S. security clients cope with the United States’ strategic demands to take actions that conflict with their political or economic interests? Much of the literature on intra-alliance politics explains clients’ decisions to accept or reject their patron’s demands. This article theorizes demand evasion as an option for a U.S. security client confronted with costly strategic requests from its patron. Demand evasion occurs when the client avoids answering the security patron’s repeated demand on a strategic issue without provoking the patron’s punishment. There are three methods of demand evasion: stalling, deferring, and slow-rolling. To decide how to respond to their patron’s strategic demand, U.S. security clients assess the patron’s internal coherence regarding the demand and the type of risks involved in the issue at stake. I illustrate the theory of demand evasion by examining how three U.S. treaty allies in the Indo-Pacific (Australia, Japan, and South Korea) responded to demands from different U.S. administrations. For U.S. leaders who seek immediate support from foreign allies, the theory is useful because it highlights the full range of options available to U.S. clients (i.e., acceptance, rejection, and evasion). Understanding why allies sometimes deliberately avoid making decisions on strategic issues is important for the United States as it seeks to confront its adversaries and protect its security interests.</w:t>
      </w:r>
    </w:p>
    <w:p/>
    <w:p>
      <w:r>
        <w:rPr>
          <w:rFonts w:ascii="Times New Roman" w:hAnsi="Times New Roman" w:eastAsia="黑体"/>
          <w:b/>
          <w:i w:val="0"/>
          <w:sz w:val="24"/>
        </w:rPr>
        <w:t>同意与否：鹰派、鸽派与政权类型在国际对抗与和解中的作用</w:t>
      </w:r>
    </w:p>
    <w:p>
      <w:r>
        <w:rPr>
          <w:rFonts w:ascii="Times New Roman" w:hAnsi="Times New Roman" w:eastAsia="宋体"/>
          <w:b w:val="0"/>
          <w:i/>
          <w:color w:val="404040"/>
          <w:sz w:val="20"/>
        </w:rPr>
        <w:t>To Agree or Not to Agree: Hawks, Doves, and Regime Type in International Rivalry and Rapprochement</w:t>
      </w:r>
    </w:p>
    <w:p>
      <w:r>
        <w:rPr>
          <w:rFonts w:ascii="Times New Roman" w:hAnsi="Times New Roman" w:eastAsia="宋体"/>
          <w:b w:val="0"/>
          <w:i w:val="0"/>
          <w:color w:val="595959"/>
          <w:sz w:val="18"/>
        </w:rPr>
        <w:t>Michael A. Goldfien</w:t>
      </w:r>
    </w:p>
    <w:p>
      <w:r>
        <w:rPr>
          <w:rFonts w:ascii="Times New Roman" w:hAnsi="Times New Roman" w:eastAsia="宋体"/>
          <w:b w:val="0"/>
          <w:i w:val="0"/>
          <w:sz w:val="22"/>
        </w:rPr>
        <w:t>摘要：现有学术研究强调鹰派在缔造和平方面的优势，但其焦点始终集中在需承担选举责任的领导人身上——尽管多数国际对抗中至少存在一位不受实质性选举制约的领导人。我认为选举责任制能缓和外交政策偏好与关系缓和之间的关联。在选举责任制薄弱的专制政体中，当公民难以惩戒领导人时，鸽派在国内推销和平方案时面临的公信力问题，其重要性便逊于其开展国际合作的动机。因此在专制体制中，和平主义者而非鹰派更可能成为成功的和平缔造者。我通过分析两起重大和解案例验证该理论：1980年代末罗纳德·里根与米哈伊尔·戈尔巴乔夫领导下的冷战终结；以及1970年代末梅纳赫姆·贝京与安瓦尔·萨达特推动的埃及-以色列对抗终结。</w:t>
      </w:r>
    </w:p>
    <w:p>
      <w:r>
        <w:rPr>
          <w:rFonts w:ascii="Times New Roman" w:hAnsi="Times New Roman" w:eastAsia="宋体"/>
          <w:b w:val="0"/>
          <w:i w:val="0"/>
          <w:sz w:val="20"/>
        </w:rPr>
        <w:t>Existing scholarship emphasizes hawks’ advantages in making peace, but it is squarely focused on electorally accountable leaders, even though most international rivalries feature at least one leader who faces no meaningful electoral check. I argue that electoral accountability moderates the relationship between foreign policy preferences and rapprochement. In low electoral accountability autocracies where citizens struggle to punish leaders, the credibility problem that doves face in selling peace at home becomes less important than their motivation to cooperate internationally. As a result, doves, not hawks, should be more successful peacemakers in autocracies. I test the theory by analyzing two prominent cases of rapprochement: the end of the Cold War under Ronald Reagan and Mikhail Gorbachev in the late 1980s; and the end of the Egypt-Israel rivalry in the late 1970s under Menachem Begin and Anwar Sadat.</w:t>
      </w:r>
    </w:p>
    <w:p/>
    <w:p>
      <w:r>
        <w:rPr>
          <w:rFonts w:ascii="Times New Roman" w:hAnsi="Times New Roman" w:eastAsia="宋体"/>
          <w:b/>
          <w:i w:val="0"/>
          <w:sz w:val="22"/>
        </w:rPr>
        <w:t>IS： Volume 50, Issue 1, Summer 2025</w:t>
      </w:r>
    </w:p>
    <w:p/>
    <w:p>
      <w:r>
        <w:rPr>
          <w:rFonts w:ascii="Times New Roman" w:hAnsi="Times New Roman" w:eastAsia="黑体"/>
          <w:b/>
          <w:i w:val="0"/>
          <w:sz w:val="24"/>
        </w:rPr>
        <w:t>知道什么不该知道：“伊斯兰国”、恐怖主义研究与公共保密</w:t>
      </w:r>
    </w:p>
    <w:p>
      <w:r>
        <w:rPr>
          <w:rFonts w:ascii="Times New Roman" w:hAnsi="Times New Roman" w:eastAsia="宋体"/>
          <w:b w:val="0"/>
          <w:i/>
          <w:color w:val="404040"/>
          <w:sz w:val="20"/>
        </w:rPr>
        <w:t>Knowing What Not to Know About Islamic State: Terrorism Studies and Public Secrecy</w:t>
      </w:r>
    </w:p>
    <w:p>
      <w:r>
        <w:rPr>
          <w:rFonts w:ascii="Times New Roman" w:hAnsi="Times New Roman" w:eastAsia="宋体"/>
          <w:b w:val="0"/>
          <w:i w:val="0"/>
          <w:color w:val="595959"/>
          <w:sz w:val="18"/>
        </w:rPr>
        <w:t>Sarah G. Phillips；Daniel J. Tower</w:t>
      </w:r>
    </w:p>
    <w:p>
      <w:r>
        <w:rPr>
          <w:rFonts w:ascii="Times New Roman" w:hAnsi="Times New Roman" w:eastAsia="宋体"/>
          <w:b w:val="0"/>
          <w:i w:val="0"/>
          <w:sz w:val="22"/>
        </w:rPr>
        <w:t>摘要：本文指出主流认识与伊拉克本土认识在理解“伊斯兰国”及其在伊拉克崛起方面的关键差异。英语话语中的传统观点聚焦该组织的组织能力，尤其是军事能力、意识形态、宣传和治理/国家建构机制。伊拉克的话语则认为，除这些能力外，“伊斯兰国”的国家对手因从其暴力中获益而促成了它的壮大。两种叙事的差异揭示了主流恐怖主义驱动因素话语中通常“不可言说”之处：恐怖组织可以通过国家权力并与之并行地再生产，而非仅与之对立。作者在伊拉克各地对伊拉克与西方安全分析人士、记者、人道工作者和外交官进行了六十多次深度半结构化访谈，受访者认为国家行为体至少有时为“伊斯兰国”提供了便利。作者认为这种便利是陶西格所说的“公共秘密”——专家广泛讨论但很少记录的事。</w:t>
      </w:r>
    </w:p>
    <w:p>
      <w:r>
        <w:rPr>
          <w:rFonts w:ascii="Times New Roman" w:hAnsi="Times New Roman" w:eastAsia="宋体"/>
          <w:b w:val="0"/>
          <w:i w:val="0"/>
          <w:sz w:val="20"/>
        </w:rPr>
        <w:t>This article identifies key differences between mainstream and Iraq-based understandings of Islamic State (ISIS) and how it rose to power in Iraq. The conventional wisdom in English-language discourses focuses on the group's organizational capabilities, particularly its military capacity, ideology, propaganda, and governance/state-building apparatus. Iraqi discourses suggest that in addition to these capabilities, the state opponents of ISIS enabled the group's growth because they benefited from its violence. The differences between these two broad narratives about ISIS matter because they reveal what is generally unsayable in mainstream discourses about the drivers of terrorism, which is that terrorist groups can reproduce through and alongside state power rather than in simple opposition to it. We conducted more than sixty in-depth, semi-structured interviews across Iraq with Iraqi and Western security analysts, journalists, humanitarian workers, and diplomats. Our interlocutors suggested that state actors had facilitated ISIS, at least at times. We argue that this facilitation is an example of what Michael Taussig refers to as a “public secret”—something that experts widely discuss but seldom document. The Iraq-based view that we detail suggests that states maintain power by enabling, and profiting from, unpredictable and plausibly deniable violence in the periphery—something that ISIS supplied in abundance. We argue that by obscuring how states can help make terrorist violence possible, mainstream understandings of terrorism create space for groups like ISIS to emerge in the future.</w:t>
      </w:r>
    </w:p>
    <w:p/>
    <w:p>
      <w:r>
        <w:rPr>
          <w:rFonts w:ascii="Times New Roman" w:hAnsi="Times New Roman" w:eastAsia="黑体"/>
          <w:b/>
          <w:i w:val="0"/>
          <w:sz w:val="24"/>
        </w:rPr>
        <w:t>中国想要什么？</w:t>
      </w:r>
    </w:p>
    <w:p>
      <w:r>
        <w:rPr>
          <w:rFonts w:ascii="Times New Roman" w:hAnsi="Times New Roman" w:eastAsia="宋体"/>
          <w:b w:val="0"/>
          <w:i/>
          <w:color w:val="404040"/>
          <w:sz w:val="20"/>
        </w:rPr>
        <w:t>What Does China Want?</w:t>
      </w:r>
    </w:p>
    <w:p>
      <w:r>
        <w:rPr>
          <w:rFonts w:ascii="Times New Roman" w:hAnsi="Times New Roman" w:eastAsia="宋体"/>
          <w:b w:val="0"/>
          <w:i w:val="0"/>
          <w:color w:val="595959"/>
          <w:sz w:val="18"/>
        </w:rPr>
        <w:t>David C. Kang；Jackie S. H. Wong；Zenobia T. Chan</w:t>
      </w:r>
    </w:p>
    <w:p>
      <w:r>
        <w:rPr>
          <w:rFonts w:ascii="Times New Roman" w:hAnsi="Times New Roman" w:eastAsia="宋体"/>
          <w:b w:val="0"/>
          <w:i w:val="0"/>
          <w:sz w:val="22"/>
        </w:rPr>
        <w:t>摘要：传统观点认为中国是一个渴望取代美国、主导国际机构、按自身形象重塑自由国际秩序的崛起霸权。作者利用1.2万篇文章和数百篇习近平讲话数据，通过分析中国话语中的三个术语或短语——“斗争”“东升西降”和“无意取代美国”——来辨析中国意图。研究发现，中国是一个关注政权稳定、更多内向而非外向的维持现状国家；其目标明确、持久且有限：关心边界、主权与对外经济关系；主要关切几乎都是区域性的，且涉及地区其他国家已认可属于中国的部分——香港、台湾、西藏和新疆。论点有三个含义：第一，中国并未构成传统观点所称的那类军事威胁，美国在太平洋的敌对军事态势不明智且可能制造不必要紧张；第二，两国可在若干被忽视的议题领域合作；第三，传统观点可能导致错误政策。</w:t>
      </w:r>
    </w:p>
    <w:p>
      <w:r>
        <w:rPr>
          <w:rFonts w:ascii="Times New Roman" w:hAnsi="Times New Roman" w:eastAsia="宋体"/>
          <w:b w:val="0"/>
          <w:i w:val="0"/>
          <w:sz w:val="20"/>
        </w:rPr>
        <w:t>The conventional wisdom is that China is a rising hegemon eager to replace the United States, dominate international institutions, and re-create the liberal international order in its own image. Drawing on data from 12,000 articles and hundreds of speeches by Xi Jinping, to discern China's intentions we analyze three terms or phrases from Chinese rhetoric: “struggle” (斗争), “rise of the East, decline of the West” (东升西降), and “no intention to replace the United States” ((无意取代美国). Our findings indicate that China is a status quo power concerned with regime stability and is more inwardly focused than externally oriented. China's aims are unambiguous, enduring, and limited: It cares about its borders, sovereignty, and foreign economic relations. China's main concerns are almost all regional and related to parts of China that the rest of the region has agreed are Chinese—Hong Kong, Taiwan, Tibet, and Xinjiang. Our argument has three main implications. First, China does not pose the type of military threat that the conventional wisdom claims it does. Thus, a hostile U.S. military posture in the Pacific is unwise and may unnecessarily create tensions. Second, the two countries could cooperate on several overlooked issue areas. Third, the conventional view of China plays down the economic and diplomatic arenas that a war-fighting approach is unsuited to address.</w:t>
      </w:r>
    </w:p>
    <w:p/>
    <w:p>
      <w:r>
        <w:rPr>
          <w:rFonts w:ascii="Times New Roman" w:hAnsi="Times New Roman" w:eastAsia="黑体"/>
          <w:b/>
          <w:i w:val="0"/>
          <w:sz w:val="24"/>
        </w:rPr>
        <w:t>与时俱进：中国的军控传统、新挑战与核学习</w:t>
      </w:r>
    </w:p>
    <w:p>
      <w:r>
        <w:rPr>
          <w:rFonts w:ascii="Times New Roman" w:hAnsi="Times New Roman" w:eastAsia="宋体"/>
          <w:b w:val="0"/>
          <w:i/>
          <w:color w:val="404040"/>
          <w:sz w:val="20"/>
        </w:rPr>
        <w:t>Keeping Pace with the Times: China's Arms Control Tradition, New Challenges, and Nuclear Learning</w:t>
      </w:r>
    </w:p>
    <w:p>
      <w:r>
        <w:rPr>
          <w:rFonts w:ascii="Times New Roman" w:hAnsi="Times New Roman" w:eastAsia="宋体"/>
          <w:b w:val="0"/>
          <w:i w:val="0"/>
          <w:color w:val="595959"/>
          <w:sz w:val="18"/>
        </w:rPr>
        <w:t>Wu Riqiang</w:t>
      </w:r>
    </w:p>
    <w:p>
      <w:r>
        <w:rPr>
          <w:rFonts w:ascii="Times New Roman" w:hAnsi="Times New Roman" w:eastAsia="宋体"/>
          <w:b w:val="0"/>
          <w:i w:val="0"/>
          <w:sz w:val="22"/>
        </w:rPr>
        <w:t>摘要：许多学者假定源自美苏经验的经典军控理论具有普遍性，但作为非对称核关系中较弱一方的中国发展出独特的军控传统：寻求保障国防现代化、优先发展军事能力而非安抚与降低风险、保持高度保密。随着中国核能力增长，这一路径面临新挑战。通过核学习，中国需要更新军控核心信念，从将其视为约束中国的手段，转向强调核大国的共同利益以及安抚在防止核战争和军备竞赛中的价值。在非对称核力量结构中维持战略稳定是中美两国的新挑战。为促进核学习，华盛顿应在战略能力上保持克制，北京应建立跨部门军控决策机制，双方应继续开展核对话。</w:t>
      </w:r>
    </w:p>
    <w:p>
      <w:r>
        <w:rPr>
          <w:rFonts w:ascii="Times New Roman" w:hAnsi="Times New Roman" w:eastAsia="宋体"/>
          <w:b w:val="0"/>
          <w:i w:val="0"/>
          <w:sz w:val="20"/>
        </w:rPr>
        <w:t>Many scholars assume that classical arms control theory, derived from U.S.-Soviet experiences, is universal. But China—being the weaker party in an asymmetric nuclear relationship—has developed its own distinct tradition. China's arms control tradition seeks to safeguard national defense modernization, prioritize developing military capabilities over reassurance and risk reduction, and maintain a high level of secrecy. This approach faces new challenges as China's nuclear capabilities increase. Through nuclear learning, China needs to update its core beliefs regarding arms control, shifting from seeing it as a means to restrain China to emphasizing the shared interest among nuclear powers and the value of reassurance in preventing nuclear war and arms races. Maintaining strategic stability within an asymmetric nuclear force structure is a new challenge for both China and the United States. To foster nuclear learning, Washington should exercise restraint in its strategic capabilities, Beijing should adopt an interagency arms control decision-making mechanism, and both sides should continue to engage in nuclear dialogues.</w:t>
      </w:r>
    </w:p>
    <w:p/>
    <w:p>
      <w:r>
        <w:rPr>
          <w:rFonts w:ascii="Times New Roman" w:hAnsi="Times New Roman" w:eastAsia="黑体"/>
          <w:b/>
          <w:i w:val="0"/>
          <w:sz w:val="24"/>
        </w:rPr>
        <w:t>拒止准入？中美在亚洲的军事主导权之争</w:t>
      </w:r>
    </w:p>
    <w:p>
      <w:r>
        <w:rPr>
          <w:rFonts w:ascii="Times New Roman" w:hAnsi="Times New Roman" w:eastAsia="宋体"/>
          <w:b w:val="0"/>
          <w:i/>
          <w:color w:val="404040"/>
          <w:sz w:val="20"/>
        </w:rPr>
        <w:t>Access Denied? The Sino-American Contest for Military Primacy in Asia</w:t>
      </w:r>
    </w:p>
    <w:p>
      <w:r>
        <w:rPr>
          <w:rFonts w:ascii="Times New Roman" w:hAnsi="Times New Roman" w:eastAsia="宋体"/>
          <w:b w:val="0"/>
          <w:i w:val="0"/>
          <w:color w:val="595959"/>
          <w:sz w:val="18"/>
        </w:rPr>
        <w:t>Nicholas D. Anderson；Daryl G. Press</w:t>
      </w:r>
    </w:p>
    <w:p>
      <w:r>
        <w:rPr>
          <w:rFonts w:ascii="Times New Roman" w:hAnsi="Times New Roman" w:eastAsia="宋体"/>
          <w:b w:val="0"/>
          <w:i w:val="0"/>
          <w:sz w:val="22"/>
        </w:rPr>
        <w:t>摘要：东亚海上力量对比如何变化？这一变化对中美在该地区的军事竞争意味着什么？作者聚焦美国军事力量的核心支柱——陆基空中力量——在台海冲突情境中的作用，构建了一个新的、非保密且透明的台海冲突模型，可探索多种情景、美国替代基地选项、解放军不同攻击策略以及美国多种防御增强措施对结果的影响。研究发现：（1）美国现行防台方式使美军面临灾难性失败的重大风险；（2）美国空军对此的方案不太可能奏效且具升级性；（3）加固空军基地并增强导弹防御与局部干扰是更好的选择。更广泛而言，美国对华国家安全政策接近拐点：可以加大投入提升东亚兵力韧性、可以更多依赖不易受中国区域防御体系影响的军事力量工具，也可以重新考虑更广泛的地缘政治目标。</w:t>
      </w:r>
    </w:p>
    <w:p>
      <w:r>
        <w:rPr>
          <w:rFonts w:ascii="Times New Roman" w:hAnsi="Times New Roman" w:eastAsia="宋体"/>
          <w:b w:val="0"/>
          <w:i w:val="0"/>
          <w:sz w:val="20"/>
        </w:rPr>
        <w:t>How has the balance of power shifted in maritime East Asia, and what does this change mean for the U.S.-China military competition in the region? We examine these questions by focusing on a central pillar of U.S. military might—land-based air power—in the context of a war over Taiwan. We create a new, unclassified, and transparent model of a Taiwan conflict, which allows users to explore multiple scenarios, alternative U.S. basing options, various People's Liberation Army attack strategies, and a range of potential U.S. defensive enhancements to see how those alternatives influence outcomes. We find that: (1) the United States' current approach to defend Taiwan exposes U.S. forces to significant risk of catastrophic defeat; (2) the U.S. Air Force's answer to this problem is both unlikely to work and escalatory; and (3) a combination of hardening air bases and enhancing missile defenses and local jamming at U.S. facilities is a better option. More broadly, U.S. national security policy toward China approaches an inflection point. The United States can lean in and significantly enhance the resilience of its forces in East Asia; lean back and rely more on instruments of military power that are less vulnerable to China's regional defense systems; or reconsider its broader geopolitical goals in the region. The current path, seeking to deter Chinese attacks with a vulnerable forward-based military posture, courts disaster.</w:t>
      </w:r>
    </w:p>
    <w:p/>
    <w:p>
      <w:r>
        <w:rPr>
          <w:rFonts w:ascii="Times New Roman" w:hAnsi="Times New Roman" w:eastAsia="黑体"/>
          <w:b/>
          <w:i w:val="0"/>
          <w:sz w:val="24"/>
        </w:rPr>
        <w:t>中美稳定—不稳定悖论：东亚的有限战争</w:t>
      </w:r>
    </w:p>
    <w:p>
      <w:r>
        <w:rPr>
          <w:rFonts w:ascii="Times New Roman" w:hAnsi="Times New Roman" w:eastAsia="宋体"/>
          <w:b w:val="0"/>
          <w:i/>
          <w:color w:val="404040"/>
          <w:sz w:val="20"/>
        </w:rPr>
        <w:t>The U.S.-China Stability-Instability Paradox: Limited War in East Asia</w:t>
      </w:r>
    </w:p>
    <w:p>
      <w:r>
        <w:rPr>
          <w:rFonts w:ascii="Times New Roman" w:hAnsi="Times New Roman" w:eastAsia="宋体"/>
          <w:b w:val="0"/>
          <w:i w:val="0"/>
          <w:color w:val="595959"/>
          <w:sz w:val="18"/>
        </w:rPr>
        <w:t>Henrik Stålhane Hiim；Øystein Tunsjø</w:t>
      </w:r>
    </w:p>
    <w:p>
      <w:r>
        <w:rPr>
          <w:rFonts w:ascii="Times New Roman" w:hAnsi="Times New Roman" w:eastAsia="宋体"/>
          <w:b w:val="0"/>
          <w:i w:val="0"/>
          <w:sz w:val="22"/>
        </w:rPr>
        <w:t>摘要：随着中美似乎陷入不断加剧和持久的竞争，许多分析人士将当今中美竞争与冷战时期美苏竞争相比较。本文借助“稳定—不稳定悖论”比较两种情景下有限战争的前景，识别出影响该悖论导致冲突可能性的两个因素：地理与技术。研究发现，东亚海上发生有限常规战争（可能升级为有限核战争）的可能性高于冷战时期欧洲发生陆战的可能性。战略核稳定提高还是降低有限冲突的可能性，可能取决于冲突双方如何看待限制冲突的前景。一些人认为美国应维持全面升级主导，另一些人则认为美国应收缩并以离中国大陆更远的据点和盟友制衡中国。最终选择取决于美国愿意承担多大风险。</w:t>
      </w:r>
    </w:p>
    <w:p>
      <w:r>
        <w:rPr>
          <w:rFonts w:ascii="Times New Roman" w:hAnsi="Times New Roman" w:eastAsia="宋体"/>
          <w:b w:val="0"/>
          <w:i w:val="0"/>
          <w:sz w:val="20"/>
        </w:rPr>
        <w:t>With China and the United States seemingly locked in intensifying and enduring competition, many analysts compare today's U.S.-China rivalry with the one between the Soviet Union and the United States during the Cold War. This article draws on the stability-instability paradox to compare the prospect for limited war in these scenarios. We identify two factors, geography and technology, that affect the likelihood of the paradox leading to conflict. We find that limited conventional war—which may escalate to a limited nuclear war—is more likely in maritime East Asia than a land war was in Cold War Europe. Whether strategic nuclear stability increases or decreases the likelihood of limited conflict likely depends on how each side in a conflict dyad regards the prospects for limiting a conflict. To some, the greater prospect of limited war implies that the United States should attempt to maintain full escalation dominance, including by deploying additional theater nuclear systems in East Asia and bolstering its security guarantees to Taiwan. Others may argue that the United States should consider abandoning Taiwan and retrench by balancing China's regional ambitions with strongpoints and allies farther from the Chinese mainland. Ultimately, the choice depends on how much the United States values Taiwan, how much abandoning the island would damage its credibility, and how much risk it is willing to incur to defend Taiwan.</w:t>
      </w:r>
    </w:p>
    <w:p/>
    <w:p>
      <w:r>
        <w:rPr>
          <w:rFonts w:ascii="Times New Roman" w:hAnsi="Times New Roman" w:eastAsia="宋体"/>
          <w:b/>
          <w:i w:val="0"/>
          <w:sz w:val="22"/>
        </w:rPr>
        <w:t>IS： Volume 49, Issue 4, Spring 2025</w:t>
      </w:r>
    </w:p>
    <w:p/>
    <w:p>
      <w:r>
        <w:rPr>
          <w:rFonts w:ascii="Times New Roman" w:hAnsi="Times New Roman" w:eastAsia="黑体"/>
          <w:b/>
          <w:i w:val="0"/>
          <w:sz w:val="24"/>
        </w:rPr>
        <w:t>战争与国际政治</w:t>
      </w:r>
    </w:p>
    <w:p>
      <w:r>
        <w:rPr>
          <w:rFonts w:ascii="Times New Roman" w:hAnsi="Times New Roman" w:eastAsia="宋体"/>
          <w:b w:val="0"/>
          <w:i/>
          <w:color w:val="404040"/>
          <w:sz w:val="20"/>
        </w:rPr>
        <w:t>War and International Politics</w:t>
      </w:r>
    </w:p>
    <w:p>
      <w:r>
        <w:rPr>
          <w:rFonts w:ascii="Times New Roman" w:hAnsi="Times New Roman" w:eastAsia="宋体"/>
          <w:b w:val="0"/>
          <w:i w:val="0"/>
          <w:color w:val="595959"/>
          <w:sz w:val="18"/>
        </w:rPr>
        <w:t>John J. Mearsheimer</w:t>
      </w:r>
    </w:p>
    <w:p>
      <w:r>
        <w:rPr>
          <w:rFonts w:ascii="Times New Roman" w:hAnsi="Times New Roman" w:eastAsia="宋体"/>
          <w:b w:val="0"/>
          <w:i w:val="0"/>
          <w:sz w:val="22"/>
        </w:rPr>
        <w:t>摘要：随着单极世界走向终结，中国、俄罗斯和美国等大国之间重新回归安全竞争态势。鉴于敌对大国之间爆发战争的可能性，本文旨在对大国战争进行分析。作者认为，由于政治的本质是一种冲突性活动，其背后始终存在着暴力的可能性，因此战争是国际体系中的主要特征。这一论点与卡尔·冯·克劳塞维茨（Carl von Clausewitz）的著名观点（战争是政治以其他方式的延伸）不同，在国际关系文献中很少被提及。作者探讨政治与战争之间的相互作用如何影响国家发动和进行武装冲突的方式。国家发动战争的限制是什么？政治和军事因素又是如何导致战争升级的？作者认为，几乎不可能对国家发动战争的时间进行有效限制，而且战争极有可能摆脱政治控制而升级。</w:t>
      </w:r>
    </w:p>
    <w:p>
      <w:r>
        <w:rPr>
          <w:rFonts w:ascii="Times New Roman" w:hAnsi="Times New Roman" w:eastAsia="宋体"/>
          <w:b w:val="0"/>
          <w:i w:val="0"/>
          <w:sz w:val="20"/>
        </w:rPr>
        <w:t>With the end of unipolarity, security competition among the great powers—China, Russia, and the United States—is back with a vengeance. Given the possibility of war between rival great powers, the purpose of this article is to analyze great power war. My central claim is that war is the dominant feature of life in the international system, mainly because of the nature of politics. In particular, politics is a fundamentally conflictual enterprise with the ever-present possibility of violence in the background. This argument, which differs from Carl von Clausewitz's famous claim that war is an extension of politics by other means, is rarely made in the international relations literature. I examine how the interplay between politics and war affects how states both initiate and conduct armed conflict. What are the limits on states starting wars, and how do political and military factors contribute to their escalation? I argue that it is almost impossible to put meaningful limits on when states can start wars, and that there is a powerful tendency for wars to escape political control and escalate.</w:t>
      </w:r>
    </w:p>
    <w:p/>
    <w:p>
      <w:r>
        <w:rPr>
          <w:rFonts w:ascii="Times New Roman" w:hAnsi="Times New Roman" w:eastAsia="黑体"/>
          <w:b/>
          <w:i w:val="0"/>
          <w:sz w:val="24"/>
        </w:rPr>
        <w:t>对霸权的对冲：现实主义关于如何应对中国的辩论</w:t>
      </w:r>
    </w:p>
    <w:p>
      <w:r>
        <w:rPr>
          <w:rFonts w:ascii="Times New Roman" w:hAnsi="Times New Roman" w:eastAsia="宋体"/>
          <w:b w:val="0"/>
          <w:i/>
          <w:color w:val="404040"/>
          <w:sz w:val="20"/>
        </w:rPr>
        <w:t>Hedging on Hegemony: The Realist Debate over How to Respond to China</w:t>
      </w:r>
    </w:p>
    <w:p>
      <w:r>
        <w:rPr>
          <w:rFonts w:ascii="Times New Roman" w:hAnsi="Times New Roman" w:eastAsia="宋体"/>
          <w:b w:val="0"/>
          <w:i w:val="0"/>
          <w:color w:val="595959"/>
          <w:sz w:val="18"/>
        </w:rPr>
        <w:t>Stephen M. Walt</w:t>
      </w:r>
    </w:p>
    <w:p>
      <w:r>
        <w:rPr>
          <w:rFonts w:ascii="Times New Roman" w:hAnsi="Times New Roman" w:eastAsia="宋体"/>
          <w:b w:val="0"/>
          <w:i w:val="0"/>
          <w:sz w:val="22"/>
        </w:rPr>
        <w:t>摘要：地区霸权是一个现实主义概念，旨在解释大国之间以及大国如何应对周边环境。现实主义的不同派别对地区霸权是否可行以及各国是否应该积极追求这一目标存在分歧。对于进攻性现实主义者而言，国际体系的无政府状态以及无法揣测他国意图的现状，迫使各国追求相对实力最大化，并试图成为其所在地区唯一的大国。他们预测大国战争更有可能爆发，因为中国将试图在亚洲建立霸权，而美国将试图阻止其这样做。相比之下，防御性现实主义者则认为，争夺霸权的行为通常会受到强大平衡联盟的阻挠。防御性现实主义者的观点更为有力：在现代，美国是唯一一个没有受到强大平衡联盟阻挠其霸权争夺的大国。美国之所以成功，是因为北美的条件异常有利；而中国则没有类似的优势。中国试图称霸亚洲的企图很可能会失败。因此，美国领导人可以采取审慎的策略来应对这一危险，在与中国合作建立更稳定的地区秩序的同时，促进美国亚洲盟友对中国的平衡作用。</w:t>
      </w:r>
    </w:p>
    <w:p>
      <w:r>
        <w:rPr>
          <w:rFonts w:ascii="Times New Roman" w:hAnsi="Times New Roman" w:eastAsia="宋体"/>
          <w:b w:val="0"/>
          <w:i w:val="0"/>
          <w:sz w:val="20"/>
        </w:rPr>
        <w:t>Regional hegemony is a realist concept explaining how great powers deal with each other and with their immediate surroundings. Realism's competing strands disagree on whether regional hegemony is a feasible objective, and on whether states should actively pursue this goal. For offensive realists, the international system's anarchic structure and the impossibility of gauging others' intentions compel states to maximize relative power and try to become the only great power in their region. They predict that a great power war is more likely because China will try to establish hegemony in Asia and the United States will try to prevent it from doing so. By contrast, defensive realists maintain that bids for hegemony are usually thwarted by powerful balancing coalitions. Defensive realists have the stronger case: In modern times, the United States is the only great power whose bid for hegemony was not thwarted by a powerful balancing coalition. The United States succeeded because conditions in North America were unusually favorable; China does not enjoy similar advantages. A Chinese bid for hegemony in Asia is likely to fail and Beijing would be unwise to attempt it. U.S. leaders can therefore adopt a measured approach to this danger, facilitating balancing behavior by the United States' Asian partners while working with China to create a more stable regional order.</w:t>
      </w:r>
    </w:p>
    <w:p/>
    <w:p>
      <w:r>
        <w:rPr>
          <w:rFonts w:ascii="Times New Roman" w:hAnsi="Times New Roman" w:eastAsia="黑体"/>
          <w:b/>
          <w:i w:val="0"/>
          <w:sz w:val="24"/>
        </w:rPr>
        <w:t>中美太空军事力量对比</w:t>
      </w:r>
    </w:p>
    <w:p>
      <w:r>
        <w:rPr>
          <w:rFonts w:ascii="Times New Roman" w:hAnsi="Times New Roman" w:eastAsia="宋体"/>
          <w:b w:val="0"/>
          <w:i/>
          <w:color w:val="404040"/>
          <w:sz w:val="20"/>
        </w:rPr>
        <w:t>The U.S.-China Military Balance in Space</w:t>
      </w:r>
    </w:p>
    <w:p>
      <w:r>
        <w:rPr>
          <w:rFonts w:ascii="Times New Roman" w:hAnsi="Times New Roman" w:eastAsia="宋体"/>
          <w:b w:val="0"/>
          <w:i w:val="0"/>
          <w:color w:val="595959"/>
          <w:sz w:val="18"/>
        </w:rPr>
        <w:t>Zachary Burdette</w:t>
      </w:r>
    </w:p>
    <w:p>
      <w:r>
        <w:rPr>
          <w:rFonts w:ascii="Times New Roman" w:hAnsi="Times New Roman" w:eastAsia="宋体"/>
          <w:b w:val="0"/>
          <w:i w:val="0"/>
          <w:sz w:val="22"/>
        </w:rPr>
        <w:t>摘要：美军日益加强对太空资源的利用以支持自身作战，对手也不断增强太空对抗能力，这种情况将如何影响力量平衡？本文构建了一个评估中美太空军事平衡的框架，并将其应用于台湾地区的局势。文章评估了美军对太空“保卫”台湾地区的依赖程度，以及美国卫星应对中国太空对抗行动的韧性。研究结果强调了中国军事现代化和扩张给美军带来的一些挑战，但也警告不应夸大威胁的严重程度。研究结果对未来态势持乐观态度，由于美军的韧性较强，太空仍然是美军的重要资产，而非主要负担。但中国军方的韧性也逐步上升，这将给美国在对抗中国利用太空支持自身军事行动方面带来新的挑战。</w:t>
      </w:r>
    </w:p>
    <w:p>
      <w:r>
        <w:rPr>
          <w:rFonts w:ascii="Times New Roman" w:hAnsi="Times New Roman" w:eastAsia="宋体"/>
          <w:b w:val="0"/>
          <w:i w:val="0"/>
          <w:sz w:val="20"/>
        </w:rPr>
        <w:t>How will the U.S. military's growing use of space to support its operations and the growing counterspace capabilities available to its rivals shape the balance of power? This article develops a framework to assess the U.S.-China military balance in space and applies that framework to a Taiwan scenario. It evaluates trends in both the U.S. military's dependence on space to defend Taiwan and the resilience of U.S. satellite constellations against a Chinese counterspace campaign. The findings highlight some of the challenges that China's military modernization and expansion have created for the U.S. military, but they caution against overstating the magnitude of the threat. The findings also support qualified optimism about the future: Encouraging trends in resilience will enable space to remain a major asset rather than a major liability for the U.S. military. But the Chinese military will also benefit from these positive trends in resilience, which will create new challenges for the United States in countering China's use of space to support its own military operations.</w:t>
      </w:r>
    </w:p>
    <w:p/>
    <w:p>
      <w:r>
        <w:rPr>
          <w:rFonts w:ascii="Times New Roman" w:hAnsi="Times New Roman" w:eastAsia="黑体"/>
          <w:b/>
          <w:i w:val="0"/>
          <w:sz w:val="24"/>
        </w:rPr>
        <w:t>行为不端的僧侣：解释亚洲的佛教暴力</w:t>
      </w:r>
    </w:p>
    <w:p>
      <w:r>
        <w:rPr>
          <w:rFonts w:ascii="Times New Roman" w:hAnsi="Times New Roman" w:eastAsia="宋体"/>
          <w:b w:val="0"/>
          <w:i/>
          <w:color w:val="404040"/>
          <w:sz w:val="20"/>
        </w:rPr>
        <w:t>Monks Behaving Badly: Explaining Buddhist Violence in Asia</w:t>
      </w:r>
    </w:p>
    <w:p>
      <w:r>
        <w:rPr>
          <w:rFonts w:ascii="Times New Roman" w:hAnsi="Times New Roman" w:eastAsia="宋体"/>
          <w:b w:val="0"/>
          <w:i w:val="0"/>
          <w:color w:val="595959"/>
          <w:sz w:val="18"/>
        </w:rPr>
        <w:t>Nilay Saiya；Stuti Manchanda</w:t>
      </w:r>
    </w:p>
    <w:p>
      <w:r>
        <w:rPr>
          <w:rFonts w:ascii="Times New Roman" w:hAnsi="Times New Roman" w:eastAsia="宋体"/>
          <w:b w:val="0"/>
          <w:i w:val="0"/>
          <w:sz w:val="22"/>
        </w:rPr>
        <w:t>摘要：冷战结束以来，全球宗教暴力事件频发，促使学者们试图解释与宗教相关的暴力极端主义。现代世界对宗教暴力的关注主要集中在伊斯兰教上。在世界主要宗教传统中，佛教普遍与和平、宽容和慈悲联系在一起。然而，佛教与其他所有伟大宗教一样，也有暴力的一面。虽然学者们承认佛教内部存在暴力，但很少有人探究为什么佛教在某些地方会变得暴力，而在其他地方却不会。作者对佛教暴力事件提出了一个结构性解释。文章认为，佛教暴力事件往往发生在政教结合的国家。我们通过对佛教占多数和佛教多元国家的佛教暴力事件进行统计分析，以及对缅甸、新加坡、斯里兰卡和泰国佛教暴力事件（及其反面）的案例研究，来检验这一理论。研究结果表明，政教融合会鼓励佛教治安维持者攻击宗教少数群体。各国可以采取具体措施来降低暴力宗教极端主义的风险。</w:t>
      </w:r>
    </w:p>
    <w:p>
      <w:r>
        <w:rPr>
          <w:rFonts w:ascii="Times New Roman" w:hAnsi="Times New Roman" w:eastAsia="宋体"/>
          <w:b w:val="0"/>
          <w:i w:val="0"/>
          <w:sz w:val="20"/>
        </w:rPr>
        <w:t>The dramatic rise in religious violence across the globe since the end of the Cold War has motivated scholars to try to explain violent religion-related extremism. Much of the attention to religious violence in the modern world focuses on Islam. Of the world's major faith traditions, Buddhism is most commonly and widely associated with peace, tolerance, and compassion. Yet Buddhism, like every other great religion, has a violent side. While scholars acknowledge violence within Buddhism, few have explored why Buddhism becomes violent in some places but not others. We develop a structural explanation for Buddhist violence. Our central claim is that Buddhist violence tends to occur in countries where Buddhism and the state are closely intertwined. We test this theory using both a statistical analysis of Buddhist violence in Buddhist-majority and Buddhist-plural countries and case studies of Buddhist violence (or lack thereof) in Myanmar, Singapore, Sri Lanka, and Thailand. Our findings show that religion-state integration emboldens Buddhist vigilantes to attack religious minorities. Our analysis suggests that states can take specific actions to mitigate the risk of violent religious extremism.</w:t>
      </w:r>
    </w:p>
    <w:p/>
    <w:p>
      <w:r>
        <w:rPr>
          <w:rFonts w:ascii="Times New Roman" w:hAnsi="Times New Roman" w:eastAsia="黑体"/>
          <w:b/>
          <w:i w:val="0"/>
          <w:sz w:val="24"/>
        </w:rPr>
        <w:t>传输中的失真：国际政治中的官僚机构、噪声与沟通</w:t>
      </w:r>
    </w:p>
    <w:p>
      <w:r>
        <w:rPr>
          <w:rFonts w:ascii="Times New Roman" w:hAnsi="Times New Roman" w:eastAsia="宋体"/>
          <w:b w:val="0"/>
          <w:i/>
          <w:color w:val="404040"/>
          <w:sz w:val="20"/>
        </w:rPr>
        <w:t>Lost in Transmission: Bureaucracy, Noise, and Communication in International Politics</w:t>
      </w:r>
    </w:p>
    <w:p>
      <w:r>
        <w:rPr>
          <w:rFonts w:ascii="Times New Roman" w:hAnsi="Times New Roman" w:eastAsia="宋体"/>
          <w:b w:val="0"/>
          <w:i w:val="0"/>
          <w:color w:val="595959"/>
          <w:sz w:val="18"/>
        </w:rPr>
        <w:t>Don Casler；Tyler Jost</w:t>
      </w:r>
    </w:p>
    <w:p>
      <w:r>
        <w:rPr>
          <w:rFonts w:ascii="Times New Roman" w:hAnsi="Times New Roman" w:eastAsia="宋体"/>
          <w:b w:val="0"/>
          <w:i w:val="0"/>
          <w:sz w:val="22"/>
        </w:rPr>
        <w:t>摘要：有效的沟通往往决定着国家是开战还是维持和平。然而，一个国家的决策者常常无法理解另一个国家决策者的意图。国际沟通在什么情况下会失效？作者认为，政府内部的分工可能会导致信息传播出现噪音，从而降低国际沟通的效率。传播噪音是指官僚机构向外国发出的信号偏离领导人的本意。官僚机构的结构是指领导人和官僚如何互动的正式和非正式规则及程序，其会影响传播噪音的严重程度。开放机构通过改善领导者和官僚之间的信息共享来减少这种模糊不清的情况，封闭机构通过阻碍信息共享和官僚监督来增加迷惑性。简而言之，国家内部的沟通模式塑造了国家之间的沟通效率。文章通过分析20世纪60年代中期印度体制改革前后的官僚信号传递过程来评估这一理论。针对1962年印度与中国以及1965年印度与巴基斯坦的谈判案例，文章利用来自六个国家的资料，阐明信息发送方的制度如何降低沟通质量。相关理论和研究结果强调了传播噪音和官僚体系在国际沟通中扮演的重要角色，尽管这些角色相对容易被忽视。</w:t>
      </w:r>
    </w:p>
    <w:p>
      <w:r>
        <w:rPr>
          <w:rFonts w:ascii="Times New Roman" w:hAnsi="Times New Roman" w:eastAsia="宋体"/>
          <w:b w:val="0"/>
          <w:i w:val="0"/>
          <w:sz w:val="20"/>
        </w:rPr>
        <w:t>Effective communications are often the difference between whether states go to war or remain at peace. Yet decision-makers in one state frequently fail to understand what decision-makers in another are trying to say. Under what conditions do international communications fail? We argue that division of labor within government can degrade international communication by introducing transmission noise, which occurs when bureaucracies dispatch signals to foreign countries that deviate from the leader's intended meaning. The structure of bureaucratic institutions—the formal and informal rules and procedures defining how leaders and bureaucrats interact—affects the severity of transmission noise. Open institutions reduce transmission noise by improving information-sharing between leaders and bureaucrats; closed institutions increase transmission noise by impeding information-sharing and bureaucratic oversight. In short, patterns of communication within states shape communication effectiveness between states. We evaluate the theory by analyzing bureaucratic signaling processes before and after institutional reforms in India in the mid-1960s. For the cases on India's negotiations with China in 1962 and with Pakistan in 1965, we leverage sources from six countries to illustrate how sender-side institutions can degrade communication. The theory and findings emphasize the important but relatively overlooked roles that transmission noise and bureaucracy play in international communication.</w:t>
      </w:r>
    </w:p>
    <w:p/>
    <w:p>
      <w:r>
        <w:rPr>
          <w:rFonts w:ascii="Times New Roman" w:hAnsi="Times New Roman" w:eastAsia="宋体"/>
          <w:b/>
          <w:i w:val="0"/>
          <w:sz w:val="22"/>
        </w:rPr>
        <w:t>IS： Volume 49, Issue 3, Winter 2024/2025</w:t>
      </w:r>
    </w:p>
    <w:p/>
    <w:p>
      <w:r>
        <w:rPr>
          <w:rFonts w:ascii="Times New Roman" w:hAnsi="Times New Roman" w:eastAsia="黑体"/>
          <w:b/>
          <w:i w:val="0"/>
          <w:sz w:val="24"/>
        </w:rPr>
        <w:t>普京的预防性战争：2022年入侵乌克兰</w:t>
      </w:r>
    </w:p>
    <w:p>
      <w:r>
        <w:rPr>
          <w:rFonts w:ascii="Times New Roman" w:hAnsi="Times New Roman" w:eastAsia="宋体"/>
          <w:b w:val="0"/>
          <w:i/>
          <w:color w:val="404040"/>
          <w:sz w:val="20"/>
        </w:rPr>
        <w:t>Putin's Preventive War: The 2022 Invasion of Ukraine</w:t>
      </w:r>
    </w:p>
    <w:p>
      <w:r>
        <w:rPr>
          <w:rFonts w:ascii="Times New Roman" w:hAnsi="Times New Roman" w:eastAsia="宋体"/>
          <w:b w:val="0"/>
          <w:i w:val="0"/>
          <w:color w:val="595959"/>
          <w:sz w:val="18"/>
        </w:rPr>
        <w:t>Barry R. Posen</w:t>
      </w:r>
    </w:p>
    <w:p>
      <w:r>
        <w:rPr>
          <w:rFonts w:ascii="Times New Roman" w:hAnsi="Times New Roman" w:eastAsia="宋体"/>
          <w:b w:val="0"/>
          <w:i w:val="0"/>
          <w:sz w:val="22"/>
        </w:rPr>
        <w:t>摘要：2022年爆发的俄乌战争符合预防性战争的逻辑。由于担忧军事力量平衡不断变化带来的后果，各国经常通过发动战争的方式以绝后患。他们担忧的是，一旦军事平衡发生改变，崛起国可能会试图对其进行胁迫，或在更有利的情况下发动战争。当衰落国同样认为自己有一个特殊的、稍纵即逝的时机来阻止这种变化时，就会更倾向于发动预防性战争。通过回顾一系列证据，本文认为弗拉基米尔·普京很可能以预防性战争的框架来看待俄罗斯的战略局势。乌克兰加入北约将使力量平衡朝着不利于俄罗斯的方向调转，而在乔·拜登执政期间，美国和北约加强了与乌克兰的军事合作。这一系列事态发展很可能使普京相信，俄罗斯并没有太多时间来阻止乌克兰加入北约。</w:t>
      </w:r>
    </w:p>
    <w:p>
      <w:r>
        <w:rPr>
          <w:rFonts w:ascii="Times New Roman" w:hAnsi="Times New Roman" w:eastAsia="宋体"/>
          <w:b w:val="0"/>
          <w:i w:val="0"/>
          <w:sz w:val="20"/>
        </w:rPr>
        <w:t>The 2022 Russian invasion of Ukraine is consistent with the logic of preventive war. States often initiate wars because they fear the consequences of a shifting balance of military power and thus strike to forestall it. They fear that, once the balance changes, the rising power may either attempt to coerce them, or initiate war later under much more favorable circumstances. The tendency to consider preventive war is exacerbated if the declining state also sees itself as having a special, and fleeting, window of opportunity to prevent the shift. This essay reviews a range of evidence to argue that Vladimir Putin likely viewed Russia's strategic situation through a preventive war frame. NATO membership for Ukraine would shift the balance of power against Russia, and U.S. and NATO military cooperation with Ukraine intensified during the Joe Biden administration. These developments likely convinced Putin that he did not have much time to forestall Ukraine's NATO membership.</w:t>
      </w:r>
    </w:p>
    <w:p/>
    <w:p>
      <w:r>
        <w:rPr>
          <w:rFonts w:ascii="Times New Roman" w:hAnsi="Times New Roman" w:eastAsia="黑体"/>
          <w:b/>
          <w:i w:val="0"/>
          <w:sz w:val="24"/>
        </w:rPr>
        <w:t>俄罗斯威慑何去何从？战略文化与强制创新</w:t>
      </w:r>
    </w:p>
    <w:p>
      <w:r>
        <w:rPr>
          <w:rFonts w:ascii="Times New Roman" w:hAnsi="Times New Roman" w:eastAsia="宋体"/>
          <w:b w:val="0"/>
          <w:i/>
          <w:color w:val="404040"/>
          <w:sz w:val="20"/>
        </w:rPr>
        <w:t>Quo Vadis, Russian Deterrence? Strategic Culture and Coercion Innovations</w:t>
      </w:r>
    </w:p>
    <w:p>
      <w:r>
        <w:rPr>
          <w:rFonts w:ascii="Times New Roman" w:hAnsi="Times New Roman" w:eastAsia="宋体"/>
          <w:b w:val="0"/>
          <w:i w:val="0"/>
          <w:color w:val="595959"/>
          <w:sz w:val="18"/>
        </w:rPr>
        <w:t>Dmitry (Dima) Adamsky</w:t>
      </w:r>
    </w:p>
    <w:p>
      <w:r>
        <w:rPr>
          <w:rFonts w:ascii="Times New Roman" w:hAnsi="Times New Roman" w:eastAsia="宋体"/>
          <w:b w:val="0"/>
          <w:i w:val="0"/>
          <w:sz w:val="22"/>
        </w:rPr>
        <w:t>摘要：本文追踪了俄乌战争对俄罗斯胁迫战略演变的影响。本文认为，在不同思想领域中，战略思维的演变方式各不相同。并且，威慑不是一个普遍的概念。文化因素决定了一个国家如何使用胁迫战略，并解释了不同案例间的差异。本文还为研究西方知识传统之外的胁迫战略和军事创新提供了框架。基于来自俄罗斯的原始资料的证据和俄罗斯战略文化的特质，本文对未来十年俄罗斯威慑战略的主要趋势做出假设，并展示了俄罗斯当局如何分析其在战争期间实施的胁迫手段带来的成败得失。俄罗斯的专家界从这些分析中得到的教训是，其2022年以前的威慑战略以及为支撑这些战略进行的部署均已过时。当前，俄罗斯的主要任务是恢复其胁迫政策的可信度，针对威胁俄罗斯重大利益的常规场景制定完善的核威慑政策，并为无核的周边竞争对手制定一种胁迫战略。</w:t>
      </w:r>
    </w:p>
    <w:p>
      <w:r>
        <w:rPr>
          <w:rFonts w:ascii="Times New Roman" w:hAnsi="Times New Roman" w:eastAsia="宋体"/>
          <w:b w:val="0"/>
          <w:i w:val="0"/>
          <w:sz w:val="20"/>
        </w:rPr>
        <w:t>This article traces the impact of the Russo-Ukrainian War on the evolution of the Russian approach to coercion strategy. The article argues that strategic thinking evolves differently in various ideational realms, and that deterrence is not a universal concept. Cultural factors condition how a state approaches coercion strategy and account for differences across cases. The article offers a framework for examining the strategy of coercion and military innovations outside the Western intellectual tradition. Building on evidence from Russian primary sources and the traits of Russian strategic culture, it hypothesizes about the major trends in Russian deterrence strategy for the next decade and shows how the Russian establishment analyzes the failures and successes of Russia's intra-war coercion. The main lesson that the Russian expert community has learned is that its pre-2022 deterrence strategy and the posture supporting it are obsolete. Russia's main priorities are to restore its coercive credibility, to refine nuclear coercion for conventional scenarios that threaten Russia's vital interests, and to develop a coercion strategy for a non-nuclear near-peer competitor.</w:t>
      </w:r>
    </w:p>
    <w:p/>
    <w:p>
      <w:r>
        <w:rPr>
          <w:rFonts w:ascii="Times New Roman" w:hAnsi="Times New Roman" w:eastAsia="黑体"/>
          <w:b/>
          <w:i w:val="0"/>
          <w:sz w:val="24"/>
        </w:rPr>
        <w:t>大国为何竞相控制国际制度</w:t>
      </w:r>
    </w:p>
    <w:p>
      <w:r>
        <w:rPr>
          <w:rFonts w:ascii="Times New Roman" w:hAnsi="Times New Roman" w:eastAsia="宋体"/>
          <w:b w:val="0"/>
          <w:i/>
          <w:color w:val="404040"/>
          <w:sz w:val="20"/>
        </w:rPr>
        <w:t>Why Great Powers Compete to Control International Institutions</w:t>
      </w:r>
    </w:p>
    <w:p>
      <w:r>
        <w:rPr>
          <w:rFonts w:ascii="Times New Roman" w:hAnsi="Times New Roman" w:eastAsia="宋体"/>
          <w:b w:val="0"/>
          <w:i w:val="0"/>
          <w:color w:val="595959"/>
          <w:sz w:val="18"/>
        </w:rPr>
        <w:t>John M. Owen</w:t>
      </w:r>
    </w:p>
    <w:p>
      <w:r>
        <w:rPr>
          <w:rFonts w:ascii="Times New Roman" w:hAnsi="Times New Roman" w:eastAsia="宋体"/>
          <w:b w:val="0"/>
          <w:i w:val="0"/>
          <w:sz w:val="22"/>
        </w:rPr>
        <w:t>摘要：中美两个世界强国正在争夺国际秩序，这些国际秩序包括调节国家和社会间关系的规则、规范以及制度。美国及其盟国在二战后建立起自由主义国际秩序，中国对这一秩序存在的若干特征感到不满。中美在制度上的竞争正是大国竞相控制国际制度的体现。在拥有不同政治体制的大国之间，这种竞争尤为激烈。由于不同类型的国际秩序能够为不同类型的国家带来物质与社会优势，权力格局与安全态势岌岌可危。本文有关国际制度竞争的生态理论提出了三点主张：（1）国际制度倾向于选择一种特定的政体类型而非其他类型；（2）典型的政府认为，维持其政体类型符合本国核心利益；（3）大国能够塑造国际制度，以使其与自己选择的政体类型相匹配。通过对战间期（1919-1939）大国关系的研究，本文展示了这些动态变化。</w:t>
      </w:r>
    </w:p>
    <w:p>
      <w:r>
        <w:rPr>
          <w:rFonts w:ascii="Times New Roman" w:hAnsi="Times New Roman" w:eastAsia="宋体"/>
          <w:b w:val="0"/>
          <w:i w:val="0"/>
          <w:sz w:val="20"/>
        </w:rPr>
        <w:t>The world's two great powers, China and the United States, are competing over international order—that is, the rules, norms, and institutions that regulate relations among states and societies. China's ruling party is discontented with several features of the liberal international order that the United States and its allies constructed after World War II. Sino-American struggles over the content of institutions suggest that great powers compete to control international institutions. Such competition is especially intense when great powers have different domestic regimes, such as democracy and autocracy. Power and security are at stake because different types of international orders can grant material and social advantages to different types of states. My ecological theory of competition over international institutions makes three claims: (1) international institutions select for one regime type over alternatives; (2) the typical government believes that it is in its core interest to preserve its regime type; and (3) great powers can shape international institutions to select for their own regime type. I demonstrate these dynamics in great power relations in the interwar period (1919–1939).</w:t>
      </w:r>
    </w:p>
    <w:p/>
    <w:p>
      <w:r>
        <w:rPr>
          <w:rFonts w:ascii="Times New Roman" w:hAnsi="Times New Roman" w:eastAsia="黑体"/>
          <w:b/>
          <w:i w:val="0"/>
          <w:sz w:val="24"/>
        </w:rPr>
        <w:t>非排他性的安全：中美竞争下的混合结盟</w:t>
      </w:r>
    </w:p>
    <w:p>
      <w:r>
        <w:rPr>
          <w:rFonts w:ascii="Times New Roman" w:hAnsi="Times New Roman" w:eastAsia="宋体"/>
          <w:b w:val="0"/>
          <w:i/>
          <w:color w:val="404040"/>
          <w:sz w:val="20"/>
        </w:rPr>
        <w:t>Security without Exclusivity: Hybrid Alignment under U.S.-China Competition</w:t>
      </w:r>
    </w:p>
    <w:p>
      <w:r>
        <w:rPr>
          <w:rFonts w:ascii="Times New Roman" w:hAnsi="Times New Roman" w:eastAsia="宋体"/>
          <w:b w:val="0"/>
          <w:i w:val="0"/>
          <w:color w:val="595959"/>
          <w:sz w:val="18"/>
        </w:rPr>
        <w:t>Sheena Chestnut Greitens；Isaac B. Kardon</w:t>
      </w:r>
    </w:p>
    <w:p>
      <w:r>
        <w:rPr>
          <w:rFonts w:ascii="Times New Roman" w:hAnsi="Times New Roman" w:eastAsia="宋体"/>
          <w:b w:val="0"/>
          <w:i w:val="0"/>
          <w:sz w:val="22"/>
        </w:rPr>
        <w:t>摘要：本文探讨了国际体系中出现的一种动态变化：世界各国都在与中国和美国展开安全合作。然而，中美两国提供的安全产品各不相同。美国主要向世界各国提供区域安全，即通过援助提高合作伙伴遏制或拒绝外部威胁的能力。中国主要向世界各国提供政权安全，即通过援助塑造合作伙伴控制其领土与人口的能力，这种援助往往是为了防止受援国政权受到威胁。许多国家都受益于这两种类型的援助，同时，无论中国还是美国，都不具备要求第三国与其保持排他性关系的强势立场。因此，越来越多的国家与这两个世界大国发展了非排他的、差异化的安全关系。本文将这种现象称之为“混合安全”，认为其无论在理论上还是实证中都有别于传统的制衡政策与全方位制衡政策。通过对越南和阿联酋两个国家的案例研究，本文阐明了这种动态现象。这两个国家在与美国进行国防合作的同时，还与中国保持了日渐强化的安全内部合作。混合安全将当前的大国竞争与冷战时期的大国竞争区分开来，并可能将在未来几年塑造国内与国际安全局势。</w:t>
      </w:r>
    </w:p>
    <w:p>
      <w:r>
        <w:rPr>
          <w:rFonts w:ascii="Times New Roman" w:hAnsi="Times New Roman" w:eastAsia="宋体"/>
          <w:b w:val="0"/>
          <w:i w:val="0"/>
          <w:sz w:val="20"/>
        </w:rPr>
        <w:t>This article explores an emerging dynamic in the international system: Countries across the world are engaged in simultaneous security cooperation with both China and the United States. China and the United States, however, do not provide the same types of security goods. The United States primarily offers regional security—assistance that improves partners’ capabilities to deter or deny external threats to their territory. China primarily offers regime security—assistance that builds partners’ capabilities to control their territory and populations, and often, to prevent threats to a regime's hold on power. Many countries benefit from both types of assistance, and neither China nor the United States is in a strong position to demand exclusivity from third countries. As a result, a growing number of countries are developing nonexclusive, differentiated security relationships with both great powers. We call this phenomenon “security hybridization” and demonstrate that it is theoretically and empirically distinct from traditional balancing and omnibalancing. We illustrate this dynamic with two case studies—Vietnam and the United Arab Emirates. Each country engages in defense cooperation with the United States and, simultaneously, pursues increasingly robust internal security cooperation with China. Security hybridization distinguishes today's great power competition from Cold War rivalry and will likely shape patterns of domestic and global security in the years ahead.</w:t>
      </w:r>
    </w:p>
    <w:p/>
    <w:p>
      <w:r>
        <w:rPr>
          <w:rFonts w:ascii="Times New Roman" w:hAnsi="Times New Roman" w:eastAsia="黑体"/>
          <w:b/>
          <w:i w:val="0"/>
          <w:sz w:val="24"/>
        </w:rPr>
        <w:t>繁荣、炫耀、支柱还是昙花一现？军售中的信号</w:t>
      </w:r>
    </w:p>
    <w:p>
      <w:r>
        <w:rPr>
          <w:rFonts w:ascii="Times New Roman" w:hAnsi="Times New Roman" w:eastAsia="宋体"/>
          <w:b w:val="0"/>
          <w:i/>
          <w:color w:val="404040"/>
          <w:sz w:val="20"/>
        </w:rPr>
        <w:t>Boom, Bling, Backbone, or Blip? The Signaling Inherent in Arms Transfers</w:t>
      </w:r>
    </w:p>
    <w:p>
      <w:r>
        <w:rPr>
          <w:rFonts w:ascii="Times New Roman" w:hAnsi="Times New Roman" w:eastAsia="宋体"/>
          <w:b w:val="0"/>
          <w:i w:val="0"/>
          <w:color w:val="595959"/>
          <w:sz w:val="18"/>
        </w:rPr>
        <w:t>Jennifer Spindel</w:t>
      </w:r>
    </w:p>
    <w:p>
      <w:r>
        <w:rPr>
          <w:rFonts w:ascii="Times New Roman" w:hAnsi="Times New Roman" w:eastAsia="宋体"/>
          <w:b w:val="0"/>
          <w:i w:val="0"/>
          <w:sz w:val="22"/>
        </w:rPr>
        <w:t>摘要：为什么国家会运输和寻求常规武器？在均势理论下，选择这种做法的原因似乎显而易见。然而，许多常规武器的转让并不符合均势理论的逻辑。本文的观点是，各国之所以寻求武器，是因为武器转让向他国发出了政治结盟的信号。在军备贸易相关文献中，对这一信号动态的误解是其在解释武器销售的原因和后果上得出不同结论的根源。为了解释信号动态如何与均势的因素相互作用，本文提出一种将武器转让视为象征性信号的理论。根据武器的军事用途与威力，本文对常规武器进行了分类。同时，本文还指出不同类型的常规武器转让代表不同的信号，这些信号表明了武器转让方与接收方之间在政治上的亲疏远近。通过研究1967年六日战争之前在中东的武器销售案例，本文展示了武器转让的这一信号功能。</w:t>
      </w:r>
    </w:p>
    <w:p>
      <w:r>
        <w:rPr>
          <w:rFonts w:ascii="Times New Roman" w:hAnsi="Times New Roman" w:eastAsia="宋体"/>
          <w:b w:val="0"/>
          <w:i w:val="0"/>
          <w:sz w:val="20"/>
        </w:rPr>
        <w:t>Why do states send and seek conventional weapons? Though it may seem obvious that the balance of power motivates states to do so, numerous conventional arms transfers do not conform to the balance of power logic. This article argues that states seek weapons because arms transfers send signals about political alignments. Misunderstanding this signaling dynamic is part of the reason why the arms trade literature reaches divergent findings about the causes and consequences of arms sales. To explain how signaling dynamics operate alongside balance of power considerations, this article proposes a theory of arms transfers as symbolic signals. The article presents a typology of conventional weapons based on the weapons’ military utility and prestige and shows that different types of conventional weapons transfers send different signals about the political closeness or distance between the sender and receiver. I examine the case of arms sales to the Middle East before the 1967 Six-Day War to show the signaling function of arms transfers.</w:t>
      </w:r>
    </w:p>
    <w:p/>
    <w:p>
      <w:r>
        <w:rPr>
          <w:rFonts w:ascii="Times New Roman" w:hAnsi="Times New Roman" w:eastAsia="宋体"/>
          <w:b/>
          <w:i w:val="0"/>
          <w:sz w:val="22"/>
        </w:rPr>
        <w:t>IS： Volume 49, Issue 2, Fall 2024</w:t>
      </w:r>
    </w:p>
    <w:p/>
    <w:p>
      <w:r>
        <w:rPr>
          <w:rFonts w:ascii="Times New Roman" w:hAnsi="Times New Roman" w:eastAsia="黑体"/>
          <w:b/>
          <w:i w:val="0"/>
          <w:sz w:val="24"/>
        </w:rPr>
        <w:t>回归两极：中国崛起如何改变力量对比</w:t>
      </w:r>
    </w:p>
    <w:p>
      <w:r>
        <w:rPr>
          <w:rFonts w:ascii="Times New Roman" w:hAnsi="Times New Roman" w:eastAsia="宋体"/>
          <w:b w:val="0"/>
          <w:i/>
          <w:color w:val="404040"/>
          <w:sz w:val="20"/>
        </w:rPr>
        <w:t>Back to Bipolarity: How China's Rise Transformed the Balance of Power</w:t>
      </w:r>
    </w:p>
    <w:p>
      <w:r>
        <w:rPr>
          <w:rFonts w:ascii="Times New Roman" w:hAnsi="Times New Roman" w:eastAsia="宋体"/>
          <w:b w:val="0"/>
          <w:i w:val="0"/>
          <w:color w:val="595959"/>
          <w:sz w:val="18"/>
        </w:rPr>
        <w:t>Jennifer Lind</w:t>
      </w:r>
    </w:p>
    <w:p>
      <w:r>
        <w:rPr>
          <w:rFonts w:ascii="Times New Roman" w:hAnsi="Times New Roman" w:eastAsia="宋体"/>
          <w:b w:val="0"/>
          <w:i w:val="0"/>
          <w:sz w:val="22"/>
        </w:rPr>
        <w:t>摘要：中国的崛起、俄罗斯的军事复兴和印度的经济增长引发了关于单极化终结和未来力量平衡的辩论。事实上，在20世纪末，许多观察家曾警告日本和苏联将超越美国。然而，学者和政策制定者在如何定义权力或衡量权力分配方面却鲜有共识。本文介绍了一种比较国家实力的归纳法.通过评估这些指标预测历史体系（1820-1990年）中已知力量对比的能力，以及区分大国和其他国家的能力，我对国家能力的通用指标——经济和军事——进行了实证验证。这种方法得出了三个重要发现。首先，大国甚至超级大国之间国家能力的巨大差距在历史上屡见不鲜。大国不一定要与领先国家实现均势才能参与危险的安全竞争。其次，这种方法表明，中国在大多数方面不仅是一个大国，而且是一个超级大国。第三，俄罗斯和印度都不是大国。这个体系是两极的。这些发现为有关国际政治的稳定性和国际秩序的未来的辩论提供了信息，并暗示了美国大战略和联盟发生转变的可能性。</w:t>
      </w:r>
    </w:p>
    <w:p>
      <w:r>
        <w:rPr>
          <w:rFonts w:ascii="Times New Roman" w:hAnsi="Times New Roman" w:eastAsia="宋体"/>
          <w:b w:val="0"/>
          <w:i w:val="0"/>
          <w:sz w:val="20"/>
        </w:rPr>
        <w:t>China's rise, Russia's military resurgence, and India's economic growth have prompted debates about the end of unipolarity and the future balance of power. Such debates are a staple of international politics; indeed, in the late twentieth century, many observers warned that Japan and the Soviet Union would overtake the United States. Yet scholars and policymakers evince little agreement on how to define power or measure the distribution of power. This article introduces an inductive method for comparing national power. I empirically validate common metrics of national capabilities—economic and military—by assessing their ability to both predict known balances of power across historical systems (1820–1990) and distinguish between great powers and other countries. This method yields three important findings. First, large gaps in national capabilities between great powers and even superpowers have been common throughout history. Great powers need not achieve parity with the leading state to engage in a dangerous security competition. Second, this method shows that China on most dimensions is not only a great power but a superpower. Third, neither Russia nor India is a great power. The system is bipolar. These findings inform debates about the stability of international politics and the future of international order and suggest the likelihood of shifts in U.S. grand strategy and alliances.</w:t>
      </w:r>
    </w:p>
    <w:p/>
    <w:p>
      <w:r>
        <w:rPr>
          <w:rFonts w:ascii="Times New Roman" w:hAnsi="Times New Roman" w:eastAsia="黑体"/>
          <w:b/>
          <w:i w:val="0"/>
          <w:sz w:val="24"/>
        </w:rPr>
        <w:t>中国的战略稳定观： 对中美关系的影响</w:t>
      </w:r>
    </w:p>
    <w:p>
      <w:r>
        <w:rPr>
          <w:rFonts w:ascii="Times New Roman" w:hAnsi="Times New Roman" w:eastAsia="宋体"/>
          <w:b w:val="0"/>
          <w:i/>
          <w:color w:val="404040"/>
          <w:sz w:val="20"/>
        </w:rPr>
        <w:t>Chinese Views of Strategic Stability: Implications for U.S.-China Relations</w:t>
      </w:r>
    </w:p>
    <w:p>
      <w:r>
        <w:rPr>
          <w:rFonts w:ascii="Times New Roman" w:hAnsi="Times New Roman" w:eastAsia="宋体"/>
          <w:b w:val="0"/>
          <w:i w:val="0"/>
          <w:color w:val="595959"/>
          <w:sz w:val="18"/>
        </w:rPr>
        <w:t>David C. Logan</w:t>
      </w:r>
    </w:p>
    <w:p>
      <w:r>
        <w:rPr>
          <w:rFonts w:ascii="Times New Roman" w:hAnsi="Times New Roman" w:eastAsia="宋体"/>
          <w:b w:val="0"/>
          <w:i w:val="0"/>
          <w:sz w:val="22"/>
        </w:rPr>
        <w:t>摘要：中国的核集结和中美战略竞争的加剧引发了人们对中美核动态未来的担忧。随着中美核竞争的升级，了解中国对战略稳定的看法对于处理这两个全球大国之间关系的这一层面非常重要。冷战期间，不同的战略稳定观影响了苏联和美国构建核力量和进行军备控制的方式。对于美国战略界来说，战略稳定包括危机稳定和军备竞赛稳定。本文分析了大量中文资料，发现中国的著作指出了战略稳定的四大支柱：核相互脆弱性、双边关系的总体状况、核禁忌以及对核升级可控性的信念。中国战略家认为这四大支柱中的每一个都在削弱，部分原因是美国的行动。研究结果对于理解中国的核力量发展、东亚的核动态以及美中关系都有重要意义。</w:t>
      </w:r>
    </w:p>
    <w:p>
      <w:r>
        <w:rPr>
          <w:rFonts w:ascii="Times New Roman" w:hAnsi="Times New Roman" w:eastAsia="宋体"/>
          <w:b w:val="0"/>
          <w:i w:val="0"/>
          <w:sz w:val="20"/>
        </w:rPr>
        <w:t>China's nuclear buildup and intensifying U.S.-China strategic competition have raised concerns about the future of nuclear dynamics between China and the United States. As U.S.-China nuclear competition escalates, understanding Chinese views of strategic stability will be important for managing this dimension of the relationship between these two global powers. During the Cold War, different conceptions of strategic stability influenced how the Soviet Union and the United States constructed their nuclear forces and approached arms control. For the U.S. strategic community, strategic stability consisted of crisis stability and arms race stability. This article analyzes extensive Chinese-language sources and finds that Chinese writings identify four pillars of strategic stability: nuclear mutual vulnerability, the overall state of bilateral relations, the nuclear taboo, and beliefs about the controllability of nuclear escalation. Chinese strategists perceive each of these four pillars as eroding, in part because of U.S. actions. The findings have important implications for understanding China's nuclear force development, nuclear dynamics in East Asia, and U.S.-China relations.</w:t>
      </w:r>
    </w:p>
    <w:p/>
    <w:p>
      <w:r>
        <w:rPr>
          <w:rFonts w:ascii="Times New Roman" w:hAnsi="Times New Roman" w:eastAsia="黑体"/>
          <w:b/>
          <w:i w:val="0"/>
          <w:sz w:val="24"/>
        </w:rPr>
        <w:t>美国外交政策两党黄金时代的神话：杜鲁门-艾森豪威尔共识依然存在</w:t>
      </w:r>
    </w:p>
    <w:p>
      <w:r>
        <w:rPr>
          <w:rFonts w:ascii="Times New Roman" w:hAnsi="Times New Roman" w:eastAsia="宋体"/>
          <w:b w:val="0"/>
          <w:i/>
          <w:color w:val="404040"/>
          <w:sz w:val="20"/>
        </w:rPr>
        <w:t>The Myth of a Bipartisan Golden Age for U.S. Foreign Policy: The Truman-Eisenhower Consensus Remains</w:t>
      </w:r>
    </w:p>
    <w:p>
      <w:r>
        <w:rPr>
          <w:rFonts w:ascii="Times New Roman" w:hAnsi="Times New Roman" w:eastAsia="宋体"/>
          <w:b w:val="0"/>
          <w:i w:val="0"/>
          <w:color w:val="595959"/>
          <w:sz w:val="18"/>
        </w:rPr>
        <w:t>Jeffrey A. Friedman</w:t>
      </w:r>
    </w:p>
    <w:p>
      <w:r>
        <w:rPr>
          <w:rFonts w:ascii="Times New Roman" w:hAnsi="Times New Roman" w:eastAsia="宋体"/>
          <w:b w:val="0"/>
          <w:i w:val="0"/>
          <w:sz w:val="22"/>
        </w:rPr>
        <w:t>摘要：研究美国外交政策的学者和实践者通常将冷战初期描述为两党达成共识的黄金时代。本文利用民意数据、国会投票模式和党纲声明驳斥了这一传统观点。事实上，杜鲁门和艾森豪威尔政府时期两党达成一致的核心国际主义原则如今仍得到民主党和共和党的广泛认可。对杜鲁门-艾森豪威尔共识的持久支持被以下事实所掩盖：近几任总统扩大了美国的外交政策议程，推行历史上并不产生两党共鸣的政策，如应对气候变化或开展长达数十年的武装建国项目。因此，美国外交政策中不断加剧的政治分歧主要是民主党和共和党以新的方式部署全球影响力的结果，而不是放弃传统的国际承诺。这些研究结果驳斥了关于政治两极化破坏了美国全球领导力的传统观念或削弱了华盛顿的可用力量的普遍说法。</w:t>
      </w:r>
    </w:p>
    <w:p>
      <w:r>
        <w:rPr>
          <w:rFonts w:ascii="Times New Roman" w:hAnsi="Times New Roman" w:eastAsia="宋体"/>
          <w:b w:val="0"/>
          <w:i w:val="0"/>
          <w:sz w:val="20"/>
        </w:rPr>
        <w:t>Scholars and practitioners of U.S. foreign policy commonly describe the early Cold War as a lost golden age of bipartisan consensus. This article uses public opinion data, congressional voting patterns, and party platform statements to refute this conventional wisdom. In fact, the core internationalist principles that enjoyed bipartisan agreement during the Truman and Eisenhower administrations retain widespread approval from Democrats and Republicans today. Enduring support for this Truman-Eisenhower consensus is concealed by the way that recent presidents have enlarged the United States’ foreign policy agenda to pursue policies that historically did not generate bipartisanship, such as fighting climate change or conducting decades-long projects in armed nation-building. Rising political divisions in U.S. foreign policy are thus primarily a result of Democrats and Republicans deploying global influence in new ways rather than renouncing traditional international commitments. These findings refute widespread claims that political polarization has undermined traditional conceptions of U.S. global leadership or depleted Washington's usable power.</w:t>
      </w:r>
    </w:p>
    <w:p/>
    <w:p>
      <w:r>
        <w:rPr>
          <w:rFonts w:ascii="Times New Roman" w:hAnsi="Times New Roman" w:eastAsia="黑体"/>
          <w:b/>
          <w:i w:val="0"/>
          <w:sz w:val="24"/>
        </w:rPr>
        <w:t>相互竞争的克制理念</w:t>
      </w:r>
    </w:p>
    <w:p>
      <w:r>
        <w:rPr>
          <w:rFonts w:ascii="Times New Roman" w:hAnsi="Times New Roman" w:eastAsia="宋体"/>
          <w:b w:val="0"/>
          <w:i/>
          <w:color w:val="404040"/>
          <w:sz w:val="20"/>
        </w:rPr>
        <w:t>Competing Visions of Restraint</w:t>
      </w:r>
    </w:p>
    <w:p>
      <w:r>
        <w:rPr>
          <w:rFonts w:ascii="Times New Roman" w:hAnsi="Times New Roman" w:eastAsia="宋体"/>
          <w:b w:val="0"/>
          <w:i w:val="0"/>
          <w:color w:val="595959"/>
          <w:sz w:val="18"/>
        </w:rPr>
        <w:t>Miranda Priebe；John Schuessler；Bryan Rooney；Jasen Castillo</w:t>
      </w:r>
    </w:p>
    <w:p>
      <w:r>
        <w:rPr>
          <w:rFonts w:ascii="Times New Roman" w:hAnsi="Times New Roman" w:eastAsia="宋体"/>
          <w:b w:val="0"/>
          <w:i w:val="0"/>
          <w:sz w:val="22"/>
        </w:rPr>
        <w:t>摘要：至少自 2003年美国入侵伊拉克以来，现实主义者、保守派和进步派中的一部分人一直呼吁美国在大战略上保持更大的克制。鉴于克制是大战略辩论中的一个关键立场，本文将更详细地探讨克制大帐篷中的各种变化。根据克制倡导者的著作和访谈，我们找出了导致这些不同群体趋同于克制的基本信念。我们发现，克制的愿景是相互竞争的。 现实主义者希望在不挑起大国战争的情况下防止地区霸权的出现；保守派寻求维护他们所认为的美国生活方式；而进步主义者则希望消除国内外的不平等和不公正。即使在每个群体内部，也存在着一系列基本信念和外交政策偏好，而且随着俄罗斯入侵乌克兰和中国的崛起，出现了更多的分歧。我们将探讨随着威胁环境的不断变化和新政策问题的出现，这些群体的立场在未来会如何演变。</w:t>
      </w:r>
    </w:p>
    <w:p>
      <w:r>
        <w:rPr>
          <w:rFonts w:ascii="Times New Roman" w:hAnsi="Times New Roman" w:eastAsia="宋体"/>
          <w:b w:val="0"/>
          <w:i w:val="0"/>
          <w:sz w:val="20"/>
        </w:rPr>
        <w:t>At least since the U.S. invasion of Iraq in 2003, a subset of realists, conservatives, and progressives have called for greater restraint in U.S. grand strategy. Given that restraint is a key position in the grand strategy debate, this article explores the variations within restraint's big tent in greater detail. Drawing on writings by and interviews with advocates of restraint, we identify the underlying beliefs that have led these disparate groups to converge on restraint. We find that there are competing visions of restraint. Realists want to prevent the emergence of regional hegemons without provoking great power war; conservatives seek to preserve what they identify as the American way of life; and progressives are motivated by the desire to combat inequality and injustice at home and abroad. Even within each group, there are a range of underlying beliefs and foreign policy preferences, and more divisions have emerged in response to the Russian invasion of Ukraine and China's rise. We explore how these groups’ positions may evolve in the future as the threat environment continues to change and new policy questions emerge.</w:t>
      </w:r>
    </w:p>
    <w:p/>
    <w:p>
      <w:r>
        <w:rPr>
          <w:rFonts w:ascii="Times New Roman" w:hAnsi="Times New Roman" w:eastAsia="宋体"/>
          <w:b/>
          <w:i w:val="0"/>
          <w:sz w:val="22"/>
        </w:rPr>
        <w:t>IS： Volume 49, Issue 1, Summer 2024</w:t>
      </w:r>
    </w:p>
    <w:p/>
    <w:p>
      <w:r>
        <w:rPr>
          <w:rFonts w:ascii="Times New Roman" w:hAnsi="Times New Roman" w:eastAsia="黑体"/>
          <w:b/>
          <w:i w:val="0"/>
          <w:sz w:val="24"/>
        </w:rPr>
        <w:t>专制者需要外敌吗？要塞俄罗斯的证据</w:t>
      </w:r>
    </w:p>
    <w:p>
      <w:r>
        <w:rPr>
          <w:rFonts w:ascii="Times New Roman" w:hAnsi="Times New Roman" w:eastAsia="宋体"/>
          <w:b w:val="0"/>
          <w:i/>
          <w:color w:val="404040"/>
          <w:sz w:val="20"/>
        </w:rPr>
        <w:t>Do Autocrats Need a Foreign Enemy? Evidence from Fortress Russia</w:t>
      </w:r>
    </w:p>
    <w:p>
      <w:r>
        <w:rPr>
          <w:rFonts w:ascii="Times New Roman" w:hAnsi="Times New Roman" w:eastAsia="宋体"/>
          <w:b w:val="0"/>
          <w:i w:val="0"/>
          <w:color w:val="595959"/>
          <w:sz w:val="18"/>
        </w:rPr>
        <w:t>Henry E. Hale；Adam C. Lenton</w:t>
      </w:r>
    </w:p>
    <w:p>
      <w:r>
        <w:rPr>
          <w:rFonts w:ascii="Times New Roman" w:hAnsi="Times New Roman" w:eastAsia="宋体"/>
          <w:b w:val="0"/>
          <w:i w:val="0"/>
          <w:sz w:val="22"/>
        </w:rPr>
        <w:t>摘要：传统思维认为，专制者需要敌人，因此有动机制造敌人。俄罗斯的弗拉基米尔·普京（Vladimir Putin）通常被认为从好战中获得了国内合法性。我们研究了普京担任总统期间在俄罗斯收集的多个民意数据集，证实他从西方威胁感中获得了民望。但研究结果表明，在 2021年之前，普京的民望主要来自于他在国内精心培育的以温和而非好战应对威胁的声誉。我们的调查实验进一步表明，普京在谨慎和合作时赢得的支持与他在敌对和侵略时赢得的支持一样多。这些发现进一步证明，俄罗斯 2022 年对乌克兰的全面入侵并不是一场出于国内政治需要的战争。这些发现还有助于解释为什么普京认为他必须在国内宣传入侵乌克兰是一场谨慎、有限的防御性行动，而不是俄罗斯民众应该充分动员起来的光荣之举。即使是最咄咄逼人的独裁者，也可能会迎合公众对温和外交政策的偏好。</w:t>
      </w:r>
    </w:p>
    <w:p>
      <w:r>
        <w:rPr>
          <w:rFonts w:ascii="Times New Roman" w:hAnsi="Times New Roman" w:eastAsia="宋体"/>
          <w:b w:val="0"/>
          <w:i w:val="0"/>
          <w:sz w:val="20"/>
        </w:rPr>
        <w:t>Conventional thinking suggests that autocrats need enemies and thus have incentives to create them. Russia's Vladimir Putin is often thought to reap domestic legitimacy from belligerence. We examine multiple public opinion datasets collected in Russia that span Putin's presidency to confirm that he gains popularity from a sense of Western threat. But findings indicate that until 2021, these gains came primarily from a carefully cultivated domestic reputation for responding to threats with moderation instead of bellicosity. Our survey experiment further suggests that Putin wins as much support when he is prudent and cooperative as when he is hostile and aggressive. These findings add to evidence that Russia's full-scale 2022 invasion of Ukraine was not a war of domestic political necessity. They also help explain why Putin felt that he had to promote the invasion at home as a careful, limited, defensive act rather than something glorious for which the Russian population should fully mobilize. Even the most aggressive autocrats may still cater to public preferences for moderate foreign policy.</w:t>
      </w:r>
    </w:p>
    <w:p/>
    <w:p>
      <w:r>
        <w:rPr>
          <w:rFonts w:ascii="Times New Roman" w:hAnsi="Times New Roman" w:eastAsia="黑体"/>
          <w:b/>
          <w:i w:val="0"/>
          <w:sz w:val="24"/>
        </w:rPr>
        <w:t>铁骰子：宿命论与战争</w:t>
      </w:r>
    </w:p>
    <w:p>
      <w:r>
        <w:rPr>
          <w:rFonts w:ascii="Times New Roman" w:hAnsi="Times New Roman" w:eastAsia="宋体"/>
          <w:b w:val="0"/>
          <w:i/>
          <w:color w:val="404040"/>
          <w:sz w:val="20"/>
        </w:rPr>
        <w:t>The Iron Dice: Fatalism and War</w:t>
      </w:r>
    </w:p>
    <w:p>
      <w:r>
        <w:rPr>
          <w:rFonts w:ascii="Times New Roman" w:hAnsi="Times New Roman" w:eastAsia="宋体"/>
          <w:b w:val="0"/>
          <w:i w:val="0"/>
          <w:color w:val="595959"/>
          <w:sz w:val="18"/>
        </w:rPr>
        <w:t>Dominic Tierney</w:t>
      </w:r>
    </w:p>
    <w:p>
      <w:r>
        <w:rPr>
          <w:rFonts w:ascii="Times New Roman" w:hAnsi="Times New Roman" w:eastAsia="宋体"/>
          <w:b w:val="0"/>
          <w:i w:val="0"/>
          <w:sz w:val="22"/>
        </w:rPr>
        <w:t>摘要：国际关系中的领导人经常表现出宿命论，或者认为一些事件是由他们难以控制的力量所驱使。在某些情况下，宿命论可能反映了现实，又或是一种提高支持的修辞。但是也有一种重要的心理学解释：宿命论可以帮助领导人避免为代价高昂的结果负责、并保护他们的自我形象。宿命论更像在如下情景中出现：（1）关于好结果和坏结果的选择；（2）当战争被视为迫在眉睫和遥远时的判断；（3）非民主政权和民主政权之间的关系。宿命论的概念对哲学、宗教、医学、社会学和心理学至关重要，但它一直被国际关系学者所忽视。宿命论可能是战争的一个重要原因，尤其当它与被感知到的机会窗口相结合时。这项研究通过帮助解释代议制政权之间缺少战争来为民主和平论做出贡献。如果民选领导人不太容易对战争产生极端宿命论，民主国家在一个危机中可能有更多的回旋余地。本文使用第一次世界大战和第二次世界大战起源的案例研究来探讨这一论点。</w:t>
      </w:r>
    </w:p>
    <w:p>
      <w:r>
        <w:rPr>
          <w:rFonts w:ascii="Times New Roman" w:hAnsi="Times New Roman" w:eastAsia="宋体"/>
          <w:b w:val="0"/>
          <w:i w:val="0"/>
          <w:sz w:val="20"/>
        </w:rPr>
        <w:t>Leaders in international relations often exhibit fatalism, or the belief that events are guided by forces beyond their control. In some cases, fatalism may reflect reality, or be rhetoric to boost support. But there is also an important psychological explanation: fatalism can help leaders avoid responsibility for costly outcomes and protect their self-image. Fatalism is more likely: (1) in regard to bad outcomes versus good outcomes; (2) when war is seen as imminent versus far-off; and (3) in nondemocratic regimes versus democratic regimes. The concept of fatalism is central to philosophy, religion, medicine, sociology, and psychology, but has been neglected by scholars in international relations. Fatalism may be an important cause of war, especially when combined with a perceived window of opportunity. This research contributes to democratic peace theory by helping explain the lack of war between representative regimes. If elected leaders are less prone to extreme fatalism about war, democracies may have more room to maneuver in a crisis. I use case studies of the origins of World War I and World War II to probe the argument.</w:t>
      </w:r>
    </w:p>
    <w:p/>
    <w:p>
      <w:r>
        <w:rPr>
          <w:rFonts w:ascii="Times New Roman" w:hAnsi="Times New Roman" w:eastAsia="黑体"/>
          <w:b/>
          <w:i w:val="0"/>
          <w:sz w:val="24"/>
        </w:rPr>
        <w:t>做与不做都会变得糟糕：国际胁迫中的保证困境</w:t>
      </w:r>
    </w:p>
    <w:p>
      <w:r>
        <w:rPr>
          <w:rFonts w:ascii="Times New Roman" w:hAnsi="Times New Roman" w:eastAsia="宋体"/>
          <w:b w:val="0"/>
          <w:i/>
          <w:color w:val="404040"/>
          <w:sz w:val="20"/>
        </w:rPr>
        <w:t>Damned If They Do, Damned If They Don't: The Assurance Dilemma in International Coercion</w:t>
      </w:r>
    </w:p>
    <w:p>
      <w:r>
        <w:rPr>
          <w:rFonts w:ascii="Times New Roman" w:hAnsi="Times New Roman" w:eastAsia="宋体"/>
          <w:b w:val="0"/>
          <w:i w:val="0"/>
          <w:color w:val="595959"/>
          <w:sz w:val="18"/>
        </w:rPr>
        <w:t>Reid B. C. Pauly</w:t>
      </w:r>
    </w:p>
    <w:p>
      <w:r>
        <w:rPr>
          <w:rFonts w:ascii="Times New Roman" w:hAnsi="Times New Roman" w:eastAsia="宋体"/>
          <w:b w:val="0"/>
          <w:i w:val="0"/>
          <w:sz w:val="22"/>
        </w:rPr>
        <w:t>摘要：为什么有些胁迫性要求成功了，而其他的一些却失败了？一个主导范式通过指出威胁的可信度和严重性来解释胁迫性结果。胁迫保证（coercive assurance）这一概念在关于胁迫的文献中是一种缺乏研究的承诺问题。它表明胁迫者必须向胁迫目标保证，它的威胁是以目标的行为为条件的。许多学者忽略了胁迫保证，部分原因是因为他们认为这是自动的。但是保证是任何胁迫过程中的一个关键性要素。当胁迫者的保证不再可信时，即使是高度可信和严重的威胁也可能会失败。一种新的理论，即保证困境（assurance dilemma），有助于回答以下问题：为什么胁迫目标害怕无条件的痛苦？为什么胁迫者在得到服从后会进行惩罚？胁迫中的威胁和保证之间有什么关系？胁迫者为提高其威胁可信度而采取的行动会破坏其保证不会惩罚目标的可信度。胁迫对象担心惩罚可能无法避免，因此在屈服于胁迫者的要求之前会寻找保证信号。关于伊朗核计划的胁迫性讨价还价的案例证明了运用这一保证的逻辑和有效性。</w:t>
      </w:r>
    </w:p>
    <w:p>
      <w:r>
        <w:rPr>
          <w:rFonts w:ascii="Times New Roman" w:hAnsi="Times New Roman" w:eastAsia="宋体"/>
          <w:b w:val="0"/>
          <w:i w:val="0"/>
          <w:sz w:val="20"/>
        </w:rPr>
        <w:t>Why do some coercive demands succeed but others fail? A dominant paradigm explains coercive outcomes by pointing to the credibility and severity of threats. The concept of coercive assurance is an understudied type of commitment problem in the coercion literature. It suggests that a coercer must assure its target that its threats are conditional on the target's behavior. Many scholars overlook coercive assurance, in part because they assume it is automatic. But assurance is a crucial component of any coercive process. Even highly credible and severe threats can fail when the coercer's assurance is not credible. A novel theory, the assurance dilemma, helps to answer the following questions: Why do targets of coercion fear unconditional pain? Why do coercers punish after receiving compliance? What is the relationship between threats and assurances in coercion? The actions that a coercer can take to bolster the credibility of a threat undermine the credibility of its assurance that it will not punish the target. Targets fear that punishment may be unavoidable and thus look for assuring signals before ceding to the coercer's demands. The case of coercive bargaining over the Iranian nuclear program demonstrates the logic and effectiveness of the use of assurance.</w:t>
      </w:r>
    </w:p>
    <w:p/>
    <w:p>
      <w:r>
        <w:rPr>
          <w:rFonts w:ascii="Times New Roman" w:hAnsi="Times New Roman" w:eastAsia="黑体"/>
          <w:b/>
          <w:i w:val="0"/>
          <w:sz w:val="24"/>
        </w:rPr>
        <w:t>在没有维和的干预下稳定内战：来自南亚的证据</w:t>
      </w:r>
    </w:p>
    <w:p>
      <w:r>
        <w:rPr>
          <w:rFonts w:ascii="Times New Roman" w:hAnsi="Times New Roman" w:eastAsia="宋体"/>
          <w:b w:val="0"/>
          <w:i/>
          <w:color w:val="404040"/>
          <w:sz w:val="20"/>
        </w:rPr>
        <w:t>Stabilizing Civil Wars without Peacekeeping: Evidence from South Asia</w:t>
      </w:r>
    </w:p>
    <w:p>
      <w:r>
        <w:rPr>
          <w:rFonts w:ascii="Times New Roman" w:hAnsi="Times New Roman" w:eastAsia="宋体"/>
          <w:b w:val="0"/>
          <w:i w:val="0"/>
          <w:color w:val="595959"/>
          <w:sz w:val="18"/>
        </w:rPr>
        <w:t>Basil Bastaki；Paul Staniland；Bryan Popoola</w:t>
      </w:r>
    </w:p>
    <w:p>
      <w:r>
        <w:rPr>
          <w:rFonts w:ascii="Times New Roman" w:hAnsi="Times New Roman" w:eastAsia="宋体"/>
          <w:b w:val="0"/>
          <w:i w:val="0"/>
          <w:sz w:val="22"/>
        </w:rPr>
        <w:t>摘要：维和有助于解决内战，但对于许多冲突来说，维和行动或其他国际和平建设干预的机会很小。在缺乏有意义的国际力量介入下，内战局面是如何通向稳定的？政府的政治性讨价还价空间和武装团体的相对实力这两个关键因素有助于解释国家和武装团体之间在何时有可能达成稳定的合作、或通过谈判达成和解。本文分析了三种冲突轨迹—“长期有限合作”措施、国家合并或裁军，以及持续冲突—来表明通往稳定的道路往往在道德上充满挑战和经验复杂性，但即使国际介入不在考虑范围内，也一样会存在。本文使用定量和定性数据来研究后殖民时期南亚大部分地区在较少或没有冲突时期中的武装团体和政府之间的关系。了解这些轨迹为政策制定者、分析人士和学者提供了有用的工具，用于在寻求减少战争的人员成本时确定政策选择和政治权衡。</w:t>
      </w:r>
    </w:p>
    <w:p>
      <w:r>
        <w:rPr>
          <w:rFonts w:ascii="Times New Roman" w:hAnsi="Times New Roman" w:eastAsia="宋体"/>
          <w:b w:val="0"/>
          <w:i w:val="0"/>
          <w:sz w:val="20"/>
        </w:rPr>
        <w:t>Peacekeeping is helpful in resolving civil wars, but there is little chance of peacekeeping operations or other international peace-building interventions for many conflicts. How do internal wars stabilize in the absence of meaningful international involvement? Two key factors, the government's political space for bargaining and the relative power of armed groups, help to explain when it is possible to reach either stable cooperation between states and armed groups or negotiated settlements. We analyze three conflict trajectories—“long-term limited cooperation” arrangements, state incorporation or disarmament, and ongoing conflict—to show that the paths to stabilization are often ethically fraught and empirically complicated but exist even when international involvement is off the table. We use quantitative and qualitative data to study the relationships between armed groups and governments in much of post-colonial South Asia, including during periods of little or no violence. Understanding these trajectories provides policymakers, analysts, and scholars with useful tools for identifying policy options and political trade-offs as they seek to reduce the human costs of war.</w:t>
      </w:r>
    </w:p>
    <w:p/>
    <w:p>
      <w:r>
        <w:rPr>
          <w:rFonts w:ascii="Times New Roman" w:hAnsi="Times New Roman" w:eastAsia="宋体"/>
          <w:b/>
          <w:i w:val="0"/>
          <w:sz w:val="22"/>
        </w:rPr>
        <w:t>IS： Volume 48, Issue 4, Spring 2024</w:t>
      </w:r>
    </w:p>
    <w:p/>
    <w:p>
      <w:r>
        <w:rPr>
          <w:rFonts w:ascii="Times New Roman" w:hAnsi="Times New Roman" w:eastAsia="黑体"/>
          <w:b/>
          <w:i w:val="0"/>
          <w:sz w:val="24"/>
        </w:rPr>
        <w:t>当行动胜于雄辩：对手对不首先使用核武器承诺的看法</w:t>
      </w:r>
    </w:p>
    <w:p>
      <w:r>
        <w:rPr>
          <w:rFonts w:ascii="Times New Roman" w:hAnsi="Times New Roman" w:eastAsia="宋体"/>
          <w:b w:val="0"/>
          <w:i/>
          <w:color w:val="404040"/>
          <w:sz w:val="20"/>
        </w:rPr>
        <w:t>When Actions Speak Louder Than Words: Adversary Perceptions of Nuclear No-First-Use Pledges</w:t>
      </w:r>
    </w:p>
    <w:p>
      <w:r>
        <w:rPr>
          <w:rFonts w:ascii="Times New Roman" w:hAnsi="Times New Roman" w:eastAsia="宋体"/>
          <w:b w:val="0"/>
          <w:i w:val="0"/>
          <w:color w:val="595959"/>
          <w:sz w:val="18"/>
        </w:rPr>
        <w:t>Caitlin Talmadge；Lisa Michelini；Vipin Narang</w:t>
      </w:r>
    </w:p>
    <w:p>
      <w:r>
        <w:rPr>
          <w:rFonts w:ascii="Times New Roman" w:hAnsi="Times New Roman" w:eastAsia="宋体"/>
          <w:b w:val="0"/>
          <w:i w:val="0"/>
          <w:sz w:val="22"/>
        </w:rPr>
        <w:t>摘要：美国多次就是否通过不首先使用核武器的承诺进行争论。此承诺的倡议者强调其潜在的优势，包括加强危机稳定、减少敌意以及增强不扩散和军控。但是这些好处很大程度上取决于拥核对手对美国不首先使用核武器这一承诺的信任。一种基于高昂代价的信号逻辑的新理论，以及根据苏联、中国和印度的不首先使用核武器承诺的证据进行检验表明，对手只有在以下情况下才会认为这种承诺是可信的：（1）一国与其对手之间的政治关系已经相对良性。（2）或是一国的军队没有能力对对手首先使用核武器。根据经验，这些条件很少出现。更典型的是，敌对的政治关系与甚至是潜在的首次使用能力相结合，会导致对手不相信不首先使用核武器的承诺并假设遭到首先使用的持续可能。这意味着，在没有改变这些国家的政治关系或美国核力量态势的情况下，仅仅改变美国的宣示性政策不太可能说服对手无视美国首先使用核武器的前景。因此，不首先使用核武器承诺的有益影响可能比倡导者经常声称的要小得多。</w:t>
      </w:r>
    </w:p>
    <w:p>
      <w:r>
        <w:rPr>
          <w:rFonts w:ascii="Times New Roman" w:hAnsi="Times New Roman" w:eastAsia="宋体"/>
          <w:b w:val="0"/>
          <w:i w:val="0"/>
          <w:sz w:val="20"/>
        </w:rPr>
        <w:t>The United States has repeatedly debated whether to adopt a nuclear no-first-use (NFU) pledge. Advocates for such a pledge emphasize its potential advantages, including strengthening crisis stability, decreasing hostility, and bolstering nonproliferation and arms control. But these benefits depend heavily on nuclear-armed adversaries finding a U.S. NFU pledge credible. A new theory based on the logic of costly signals and tested on evidence from NFU pledges by the Soviet Union, China, and India suggests that adversaries perceive such pledges as credible only when: (1) the political relationship between a state and its adversary is already relatively benign, or (2) the state's military has no ability to engage in nuclear first use against the adversary. Empirically, these conditions rarely arise. More typically, hostile political relations combined with even latent first-use capabilities lead adversaries to distrust NFU pledges and to assume the continued possibility of being subject to first use. The implication is that changes to U.S. declaratory policy alone are unlikely to convince adversaries to disregard the prospect of U.S. nuclear first use without changes in these countries’ political relationships or U.S. nuclear force posture. The beneficial effects of an NFU pledge are therefore likely to be more minimal than advocates often claim.</w:t>
      </w:r>
    </w:p>
    <w:p/>
    <w:p>
      <w:r>
        <w:rPr>
          <w:rFonts w:ascii="Times New Roman" w:hAnsi="Times New Roman" w:eastAsia="黑体"/>
          <w:b/>
          <w:i w:val="0"/>
          <w:sz w:val="24"/>
        </w:rPr>
        <w:t>当外国按下（核）按钮时</w:t>
      </w:r>
    </w:p>
    <w:p>
      <w:r>
        <w:rPr>
          <w:rFonts w:ascii="Times New Roman" w:hAnsi="Times New Roman" w:eastAsia="宋体"/>
          <w:b w:val="0"/>
          <w:i/>
          <w:color w:val="404040"/>
          <w:sz w:val="20"/>
        </w:rPr>
        <w:t>When Foreign Countries Push the Button</w:t>
      </w:r>
    </w:p>
    <w:p>
      <w:r>
        <w:rPr>
          <w:rFonts w:ascii="Times New Roman" w:hAnsi="Times New Roman" w:eastAsia="宋体"/>
          <w:b w:val="0"/>
          <w:i w:val="0"/>
          <w:color w:val="595959"/>
          <w:sz w:val="18"/>
        </w:rPr>
        <w:t>Joshua A. Schwartz</w:t>
      </w:r>
    </w:p>
    <w:p>
      <w:r>
        <w:rPr>
          <w:rFonts w:ascii="Times New Roman" w:hAnsi="Times New Roman" w:eastAsia="宋体"/>
          <w:b w:val="0"/>
          <w:i w:val="0"/>
          <w:sz w:val="22"/>
        </w:rPr>
        <w:t>摘要：对核使用的限制到底有多强？实验研究发现，多个大国中的大多数或几乎大多数公民认为只要它们能创造军事优势或者保护本国士兵时，赞成他们本国政府的核打击。但是，如果当个人评估一个外国政府使用核武器时，核禁止只是在边缘阶段开始呢？许多政策制定者认为，国际社会对核使用的反应将会是严重的，特别是在盟国之间。然而先前的研究尚未验证这一假设。一个基于身份的支持使用核武器的理论提出，这一论点是错误的。公众将会表现出对盟国和伙伴国的偏袒，因为人们将它们视为集团内的成员。美国和印度的四次调查实验为这一理论提供了证据。与许多政策制定者的预期相反，公众对盟国或战略伙伴核使用的认可度并没有比本国政府低多少。然而，正如预期所料，公众对集团外成员的认可度则较低，例如非同盟国以及非伙伴国。对核打击的绝对支持也相当高，即使是外国按下了按钮。总体而言，这些发现与核禁止或严格的不使用规定的存在并不一致。</w:t>
      </w:r>
    </w:p>
    <w:p>
      <w:r>
        <w:rPr>
          <w:rFonts w:ascii="Times New Roman" w:hAnsi="Times New Roman" w:eastAsia="宋体"/>
          <w:b w:val="0"/>
          <w:i w:val="0"/>
          <w:sz w:val="20"/>
        </w:rPr>
        <w:t>How strong are the constraints against nuclear use? Experimental studies find that a majority or near majority of citizens in multiple major powers approve of their own governments’ nuclear strikes if they create military advantages or protect co-national soldiers. But what if the nuclear taboo only begins at the water's edge when individuals evaluate the use of nuclear weapons by a foreign government? Many policymakers believe that the international reaction to nuclear use would be severe, especially among allies. Yet prior studies have not tested this assumption. An identity-based theory of support for nuclear weapons use proposes that this argument is incorrect. The public will display favoritism toward allied and partner countries because it views them as members of the in-group. Four survey experiments in the United States and India provide evidence for this theory. In contrast to many policymakers’ expectations, public approval of nuclear use is not significantly lower for allies or strategic partners than for one's own government. As expected, however, approval is lower for out-groups, such as non-allied and non-partner countries. Absolute support for nuclear attacks is also high, even when it is foreign countries pushing the button. On balance, these findings are inconsistent with the existence of a nuclear taboo or strong non-use norm.</w:t>
      </w:r>
    </w:p>
    <w:p/>
    <w:p>
      <w:r>
        <w:rPr>
          <w:rFonts w:ascii="Times New Roman" w:hAnsi="Times New Roman" w:eastAsia="黑体"/>
          <w:b/>
          <w:i w:val="0"/>
          <w:sz w:val="24"/>
        </w:rPr>
        <w:t>不那么无辜：神职人员，君主和西欧的民族宗教清洗</w:t>
      </w:r>
    </w:p>
    <w:p>
      <w:r>
        <w:rPr>
          <w:rFonts w:ascii="Times New Roman" w:hAnsi="Times New Roman" w:eastAsia="宋体"/>
          <w:b w:val="0"/>
          <w:i/>
          <w:color w:val="404040"/>
          <w:sz w:val="20"/>
        </w:rPr>
        <w:t>Not So Innocent: Clerics, Monarchs, and the Ethnoreligious Cleansing of Western Europe</w:t>
      </w:r>
    </w:p>
    <w:p>
      <w:r>
        <w:rPr>
          <w:rFonts w:ascii="Times New Roman" w:hAnsi="Times New Roman" w:eastAsia="宋体"/>
          <w:b w:val="0"/>
          <w:i w:val="0"/>
          <w:color w:val="595959"/>
          <w:sz w:val="18"/>
        </w:rPr>
        <w:t>Şener Aktürk</w:t>
      </w:r>
    </w:p>
    <w:p>
      <w:r>
        <w:rPr>
          <w:rFonts w:ascii="Times New Roman" w:hAnsi="Times New Roman" w:eastAsia="宋体"/>
          <w:b w:val="0"/>
          <w:i w:val="0"/>
          <w:sz w:val="22"/>
        </w:rPr>
        <w:t>摘要：有相当大的犹太人和穆斯林群体生活在中世纪西欧的大片地区。但是，在1064年至1526年间，与今天的英格兰、法国、匈牙利、意大利、葡萄牙和西班牙地区相对应政体中的所有穆斯林群体和几乎所有犹太人群体都被消灭了。大多数关于欧洲民族宗教暴力的研究都集中在群体、区域以及国家的政治动态上，来解释它的爆发以及变化。最近的学术研究表明了中世纪欧洲的天主教会如何为长期的政治发展和“西方崛起”做出贡献。但教会也同样要为消灭少数的非基督徒群体所负责。有三个因素可以解释中世纪西欧对非基督徒的民族宗教清洗：（1）教皇作为超越国家的宗教权威，权力越来越大；（2）非基督徒的非人化以及他们被归类为君主财产；（3）信奉天主教的西欧君主们间激烈的地缘政治竞争使他们特别容易受到来自教皇神职人员提出的消灭非基督徒的要求。现有的学术研究认为民族宗教清洗是一种现代现象，它通常是民族主义者为了世俗目的而实施的。相比之下，一种新颖的解释强调了超国家等级制度行为者在民族宗教清洗中发挥的核心作用。这些发现也有助于理解最近和当前在柬埔寨、伊拉克、缅甸、苏联和叙利亚等地的种族清洗。</w:t>
      </w:r>
    </w:p>
    <w:p>
      <w:r>
        <w:rPr>
          <w:rFonts w:ascii="Times New Roman" w:hAnsi="Times New Roman" w:eastAsia="宋体"/>
          <w:b w:val="0"/>
          <w:i w:val="0"/>
          <w:sz w:val="20"/>
        </w:rPr>
        <w:t>Sizeable Jewish and Muslim communities lived across large swathes of medieval Western Europe. But all the Muslim communities and almost all the Jewish communities in polities that correspond to present-day England, France, Hungary, Italy, Portugal, and Spain were eradicated between 1064 and 1526. Most studies of ethnoreligious violence in Europe focus on communal, regional, and national political dynamics to explain its outbreak and variation. Recent scholarship shows how the Catholic Church in medieval Europe contributed to the long-term political development and the “rise of the West.” But the Church was also responsible for eradicating non-Christian minorities. Three factors explain ethnoreligious cleansing of non-Christians in medieval Western Europe: (1) the papacy as a supranational religious authority with increasing powers; (2) the dehumanization of non-Christians and their classification as monarchical property; and (3) fierce geopolitical competition among Catholic Western European monarchs that made them particularly vulnerable to papal-clerical demands to eradicate non-Christians. The extant scholarship maintains that ethnoreligious cleansing is a modern phenomenon that is often committed by nationalist actors for secular purposes. In contrast, a novel explanation highlights the central role that the supranational hierocratic actors played in ethnoreligious cleansing. These findings also contribute to understanding recent and current ethnic cleansing in places like Cambodia, Iraq, Myanmar, the Soviet Union, and Syria.</w:t>
      </w:r>
    </w:p>
    <w:p/>
    <w:p>
      <w:r>
        <w:rPr>
          <w:rFonts w:ascii="Times New Roman" w:hAnsi="Times New Roman" w:eastAsia="黑体"/>
          <w:b/>
          <w:i w:val="0"/>
          <w:sz w:val="24"/>
        </w:rPr>
        <w:t>学术期刊的政策建议撰写：给困惑者的指南</w:t>
      </w:r>
    </w:p>
    <w:p>
      <w:r>
        <w:rPr>
          <w:rFonts w:ascii="Times New Roman" w:hAnsi="Times New Roman" w:eastAsia="宋体"/>
          <w:b w:val="0"/>
          <w:i/>
          <w:color w:val="404040"/>
          <w:sz w:val="20"/>
        </w:rPr>
        <w:t>Writing Policy Recommendations for Academic Journals: A Guide for the Perplexed</w:t>
      </w:r>
    </w:p>
    <w:p>
      <w:r>
        <w:rPr>
          <w:rFonts w:ascii="Times New Roman" w:hAnsi="Times New Roman" w:eastAsia="宋体"/>
          <w:b w:val="0"/>
          <w:i w:val="0"/>
          <w:color w:val="595959"/>
          <w:sz w:val="18"/>
        </w:rPr>
        <w:t>Daniel Byman</w:t>
      </w:r>
    </w:p>
    <w:p>
      <w:r>
        <w:rPr>
          <w:rFonts w:ascii="Times New Roman" w:hAnsi="Times New Roman" w:eastAsia="宋体"/>
          <w:b w:val="0"/>
          <w:i w:val="0"/>
          <w:sz w:val="22"/>
        </w:rPr>
        <w:t>摘要：学术研究可以为决策者提供信息来让他们知道应该采取或避免哪些行动，使世界更加的安全、和平和公平。有许多关于弥合政策制定者和学者之间差距的好文章，但关于学者如何在学术期刊写作影响政策进程的文章却很少。与大多数以政策为重点的研究相比，学术期刊的保质期很长并为学者提供了空间来展示大量研究的实证证据、理论和分析。长期下来，经充分研究的文章可以形成如何思考复杂议题的更广泛的叙述。与政策制定者相比，学者们也往往更客观以及有着更少的党派偏见。尽管学术工作对政策辩论有着潜在的重要性，但许多学者在为什么以及如何提出政策建议方面几乎没受过培训。为了解决这个问题，我们提供了一些步骤来指导学者们开始为文章制定政策建议。这些步骤包括认识政策制定者自己面临的困境、在写作之前考虑受众、识别和使用政策选项清单等。在指定建议时，学者们应该考虑到他们的研究对当前政策的长期影响以及可能导致更有效方案的建议。同时，学者们应该考虑其建议的成本和局限性。</w:t>
      </w:r>
    </w:p>
    <w:p>
      <w:r>
        <w:rPr>
          <w:rFonts w:ascii="Times New Roman" w:hAnsi="Times New Roman" w:eastAsia="宋体"/>
          <w:b w:val="0"/>
          <w:i w:val="0"/>
          <w:sz w:val="20"/>
        </w:rPr>
        <w:t>Academic research can inform decision-makers on what actions to take or to avoid to make the world safer, more peaceful, and more equitable. There are many good works on bridging the gap between policymakers and academics but few on how scholars writing in academic journals can influence the policy process. In contrast to most policy-focused research, academic journals have long shelf lives and provide space for scholars to present heavily researched empirical evidence, theories, and analyses. Long, well-researched articles can, over time, shape the broader narrative for how to think about complex issues. Scholars also tend to be more objective and less partisan than policymakers. Despite the potential importance of academic work to the policy debate, many scholars receive little training on why and how to make policy recommendations. To remedy this problem, steps are offered to guide scholars as they begin developing policy recommendations for their articles. These include recognizing the dilemmas that policymakers themselves face, considering the audience before starting to write, identifying and using policy option menus, among others. When crafting recommendations, scholars should consider the long-term implications of their research on current policy as well as recommendations that might lead to more effective approaches. At the same time, scholars should consider the costs and limits of their recommendations.</w:t>
      </w:r>
    </w:p>
    <w:p/>
    <w:p>
      <w:r>
        <w:rPr>
          <w:rFonts w:ascii="Times New Roman" w:hAnsi="Times New Roman" w:eastAsia="宋体"/>
          <w:b/>
          <w:i w:val="0"/>
          <w:sz w:val="22"/>
        </w:rPr>
        <w:t>IS： Volume 48, Issue 3, Winter 2023/2024</w:t>
      </w:r>
    </w:p>
    <w:p/>
    <w:p>
      <w:r>
        <w:rPr>
          <w:rFonts w:ascii="Times New Roman" w:hAnsi="Times New Roman" w:eastAsia="黑体"/>
          <w:b/>
          <w:i w:val="0"/>
          <w:sz w:val="24"/>
        </w:rPr>
        <w:t>给乌克兰的“核保护伞”？战后欧洲安全的前例与可能性</w:t>
      </w:r>
    </w:p>
    <w:p>
      <w:r>
        <w:rPr>
          <w:rFonts w:ascii="Times New Roman" w:hAnsi="Times New Roman" w:eastAsia="宋体"/>
          <w:b w:val="0"/>
          <w:i/>
          <w:color w:val="404040"/>
          <w:sz w:val="20"/>
        </w:rPr>
        <w:t>A “Nuclear Umbrella” for Ukraine? Precedents and Possibilities for Postwar European Security</w:t>
      </w:r>
    </w:p>
    <w:p>
      <w:r>
        <w:rPr>
          <w:rFonts w:ascii="Times New Roman" w:hAnsi="Times New Roman" w:eastAsia="宋体"/>
          <w:b w:val="0"/>
          <w:i w:val="0"/>
          <w:color w:val="595959"/>
          <w:sz w:val="18"/>
        </w:rPr>
        <w:t>Matthew Evangelista</w:t>
      </w:r>
    </w:p>
    <w:p>
      <w:r>
        <w:rPr>
          <w:rFonts w:ascii="Times New Roman" w:hAnsi="Times New Roman" w:eastAsia="宋体"/>
          <w:b w:val="0"/>
          <w:i w:val="0"/>
          <w:sz w:val="22"/>
        </w:rPr>
        <w:t>摘要：无论俄乌战争的结果如何，战后乌克兰将需要选择一种安全政策，以保护其主权免受未来的威胁。其选择对整个欧洲的安全具有影响。一些观察家建议乌克兰加入北大西洋公约组织（NATO），从而获得美国“核保护伞”的保护。其他人则对“延伸核威慑”——即美国为其盟国领土遭受攻击（包括常规武器攻击）时作出核报复的威胁——的有效性表示怀疑。然而，在冷战时期的欧洲，核威慑从未被真正检验过，今天，延伸核威慑在面对俄罗斯入侵时是一种不可靠且有风险的方式。1961年柏林危机期间核威慑的作用显示，苏联的军事战略对抗美国的核武器可能引发局势升级。而在脆弱的北约领土，如爱沙尼亚的纳尔瓦市，这种风险仍然存在。冷战时期的一种核威慑替代方案为乌克兰提供了非核防御的可能性。诸如基于安全困境和非进攻性、信任建设的防御理念“蜘蛛网”策略等提议，能够在处于俄罗斯扩张威胁中的欧洲为乌克兰提供安全保障，而不依赖于核战争的威胁。</w:t>
      </w:r>
    </w:p>
    <w:p>
      <w:r>
        <w:rPr>
          <w:rFonts w:ascii="Times New Roman" w:hAnsi="Times New Roman" w:eastAsia="宋体"/>
          <w:b w:val="0"/>
          <w:i w:val="0"/>
          <w:sz w:val="20"/>
        </w:rPr>
        <w:t>Whatever the outcome of the Russo-Ukrainian War, in its wake Ukraine will need to choose a security policy to defend its sovereignty from future threats. Its choice holds implications for broader European security. Some observers advocate Ukraine becoming a member in the North Atlantic Treaty Organization (NATO), thereby gaining protection from the U.S. “nuclear umbrella.” Others doubt the effectiveness of “extended nuclear deterrence”—the threat of U.S. nuclear retaliation for attacks, including those carried out with conventional armed forces, on an ally's territory. But nuclear deterrence was never put to the test in Cold War Europe, and today extended nuclear deterrence is an unreliable and risky approach to Russian aggression. An examination of the role of nuclear deterrence during the 1961 Berlin Crisis demonstrates that Soviet military strategy against U.S. nuclear weapons posed the risk of escalation. In vulnerable NATO territories, such as the Estonian city of Narva, such a risk still exists. A Cold War–era alternative to nuclear deterrence offers the possibility of a non-nuclear defense for Ukraine. Proposals such as the “spider in the web” strategy draw on concepts of the security dilemma and non-offensive, confidence-building defense to provide for Ukrainian security in a Europe threatened by Russian expansion, without relying on the threat of nuclear war.</w:t>
      </w:r>
    </w:p>
    <w:p/>
    <w:p>
      <w:r>
        <w:rPr>
          <w:rFonts w:ascii="Times New Roman" w:hAnsi="Times New Roman" w:eastAsia="黑体"/>
          <w:b/>
          <w:i w:val="0"/>
          <w:sz w:val="24"/>
        </w:rPr>
        <w:t>我们都会倒下：华沙条约组织的解体与东欧冷战的终结</w:t>
      </w:r>
    </w:p>
    <w:p>
      <w:r>
        <w:rPr>
          <w:rFonts w:ascii="Times New Roman" w:hAnsi="Times New Roman" w:eastAsia="宋体"/>
          <w:b w:val="0"/>
          <w:i/>
          <w:color w:val="404040"/>
          <w:sz w:val="20"/>
        </w:rPr>
        <w:t>We All Fall Down: The Dismantling of the Warsaw Pact and the End of the Cold War in Eastern Europe</w:t>
      </w:r>
    </w:p>
    <w:p>
      <w:r>
        <w:rPr>
          <w:rFonts w:ascii="Times New Roman" w:hAnsi="Times New Roman" w:eastAsia="宋体"/>
          <w:b w:val="0"/>
          <w:i w:val="0"/>
          <w:color w:val="595959"/>
          <w:sz w:val="18"/>
        </w:rPr>
        <w:t>Simon Miles</w:t>
      </w:r>
    </w:p>
    <w:p>
      <w:r>
        <w:rPr>
          <w:rFonts w:ascii="Times New Roman" w:hAnsi="Times New Roman" w:eastAsia="宋体"/>
          <w:b w:val="0"/>
          <w:i w:val="0"/>
          <w:sz w:val="22"/>
        </w:rPr>
        <w:t>摘要：利用捷克、德国、匈牙利、波兰和罗马尼亚的档案资料，本文重建了冷战结束时东欧外交的情况。这些档案显示，推动这一关键时期事件发展的不仅仅是超级大国，华沙条约组织的非苏联成员国也发挥了作用。1989年至1991年间，这些国家意识到世界正在变化，与苏联的关系（通过华沙条约组织政治-军事联盟加以明确）会妨碍它们在后冷战世界中的成功。东欧决策者决定摧毁束缚它们与苏联关系的华沙条约，并决定与西欧结盟。他们还试图将苏联排除在欧洲安全架构之外，包括欧洲安全与合作会议。他们不仅寻求安全保障，还希望防范苏联发生强硬派政变；但其主要目标是获取西方的经济利益。</w:t>
      </w:r>
    </w:p>
    <w:p>
      <w:r>
        <w:rPr>
          <w:rFonts w:ascii="Times New Roman" w:hAnsi="Times New Roman" w:eastAsia="宋体"/>
          <w:b w:val="0"/>
          <w:i w:val="0"/>
          <w:sz w:val="20"/>
        </w:rPr>
        <w:t>Using new evidence from Czech, German, Hungarian, Polish, and Romanian archives, a reconstruction of Eastern European diplomacy at the end of the Cold War shows that it was not just the superpowers that shaped events during this pivotal period: the non-Soviet members of the Warsaw Pact also had agency. From 1989 to 1991, these states recognized that the world was changing and that their relationship with the Soviet Union, codified in the Warsaw Pact politico-military alliance, would impede their success in the post–Cold War world. Eastern European policymakers resolved to destroy the Warsaw Pact that bound them to the Soviet Union, and they decided to align with Western Europe. They also sought to exclude the Soviet Union from the European security architecture, including the Conference on Security and Co-operation in Europe. They sought security and wanted to hedge against a hard-line takeover in the Soviet Union; but their primary aim was to reap the West's economic benefits.</w:t>
      </w:r>
    </w:p>
    <w:p/>
    <w:p>
      <w:r>
        <w:rPr>
          <w:rFonts w:ascii="Times New Roman" w:hAnsi="Times New Roman" w:eastAsia="黑体"/>
          <w:b/>
          <w:i w:val="0"/>
          <w:sz w:val="24"/>
        </w:rPr>
        <w:t>外来干涉与国内流离失所：战后贝鲁特的城市政治</w:t>
      </w:r>
    </w:p>
    <w:p>
      <w:r>
        <w:rPr>
          <w:rFonts w:ascii="Times New Roman" w:hAnsi="Times New Roman" w:eastAsia="宋体"/>
          <w:b w:val="0"/>
          <w:i/>
          <w:color w:val="404040"/>
          <w:sz w:val="20"/>
        </w:rPr>
        <w:t>Foreign Intervention and Internal Displacement: Urban Politics in Postwar Beirut</w:t>
      </w:r>
    </w:p>
    <w:p>
      <w:r>
        <w:rPr>
          <w:rFonts w:ascii="Times New Roman" w:hAnsi="Times New Roman" w:eastAsia="宋体"/>
          <w:b w:val="0"/>
          <w:i w:val="0"/>
          <w:color w:val="595959"/>
          <w:sz w:val="18"/>
        </w:rPr>
        <w:t>Amanda Rizkallah</w:t>
      </w:r>
    </w:p>
    <w:p>
      <w:r>
        <w:rPr>
          <w:rFonts w:ascii="Times New Roman" w:hAnsi="Times New Roman" w:eastAsia="宋体"/>
          <w:b w:val="0"/>
          <w:i w:val="0"/>
          <w:sz w:val="22"/>
        </w:rPr>
        <w:t>摘要：不均衡的民主化是内战遗留的一个常见但不太为人所知的现象。黎巴嫩内战（1975-1990）结束后，战争中的流离失所过程与叙利亚的干预结合在一起，改变了战后地方政治秩序。在贝鲁特郊区，武装分子与流离失所人口之间的联系为这些弱势群体从地方机构中获得回应性创造了机会。然而，流离失所人口在其寄居社区的权力取决于当地主导武装分子的命运。如果武装分子是干预力量的盟友，他们可以继续控制其据点，边缘化传统的地方精英，同时赋权于其核心支持者——流离失所者。相反，如果武装分子受到干预力量的打压，随之而来的权力真空为多元化政党政治的兴起提供了机会。传统的战前精英重新在地方政治生活中发挥作用，赋权于其核心支持者——战前居民。通过数十次对战后贝鲁特郊区关键信息提供者的深入访谈，这些研究发现表明，流离失所如何以超越宗教认同的方式改变地方。自2023年10月7日以来，南黎巴嫩已有超过8万人因战斗而流离失所。如果真主党为这些流离失所者提供服务和安全保障，当前的冲突将加强真主党对南黎巴嫩的控制，或者在流离失所者定居的南黎巴嫩地区进一步巩固其影响力。</w:t>
      </w:r>
    </w:p>
    <w:p>
      <w:r>
        <w:rPr>
          <w:rFonts w:ascii="Times New Roman" w:hAnsi="Times New Roman" w:eastAsia="宋体"/>
          <w:b w:val="0"/>
          <w:i w:val="0"/>
          <w:sz w:val="20"/>
        </w:rPr>
        <w:t>Uneven democratization is a common yet poorly understood legacy of civil war. In the aftermath of the Lebanese Civil War (1975–1990), wartime processes of displacement interacted with Syria's intervention to transform local postwar political orders. In Beirut's suburbs, the bonds built between armed actors and displaced populations created opportunities for displaced people to extract responsiveness from local institutions, despite their vulnerability. But the power of displaced populations in their host community hinges on the fate of the locally dominant armed actor. If the armed actor is an ally of the intervening power, it can maintain political control over its strongholds, marginalizing traditional local elites while empowering its core constituents, displaced people. By contrast, if an armed actor is repressed by the intervening power, the ensuing power vacuum creates an opportunity for pluralistic party politics to emerge. Traditional prewar elites reassert their role in local political life, empowering their core constituents, the prewar residents. Drawing on dozens of in-depth interviews with key informants in the suburbs of postwar Beirut, the findings show how displacement transformed localities in ways that transcend religious identity. Over 80,000 people have been displaced from southern Lebanon because of fighting since October 7, 2023. If Hezbollah provides services and security to these displaced persons, the current conflict will strengthen Hezbollah's grip on the south of Lebanon when the displaced populations return, or further consolidate its influence in those localities in south Lebanon where displaced populations settle.</w:t>
      </w:r>
    </w:p>
    <w:p/>
    <w:p>
      <w:r>
        <w:rPr>
          <w:rFonts w:ascii="Times New Roman" w:hAnsi="Times New Roman" w:eastAsia="黑体"/>
          <w:b/>
          <w:i w:val="0"/>
          <w:sz w:val="24"/>
        </w:rPr>
        <w:t>驯服叛乱：1830-1929年南美政治暴力的下降</w:t>
      </w:r>
    </w:p>
    <w:p>
      <w:r>
        <w:rPr>
          <w:rFonts w:ascii="Times New Roman" w:hAnsi="Times New Roman" w:eastAsia="宋体"/>
          <w:b w:val="0"/>
          <w:i/>
          <w:color w:val="404040"/>
          <w:sz w:val="20"/>
        </w:rPr>
        <w:t>Reining in Rebellion: The Decline of Political Violence in South America, 1830–1929</w:t>
      </w:r>
    </w:p>
    <w:p>
      <w:r>
        <w:rPr>
          <w:rFonts w:ascii="Times New Roman" w:hAnsi="Times New Roman" w:eastAsia="宋体"/>
          <w:b w:val="0"/>
          <w:i w:val="0"/>
          <w:color w:val="595959"/>
          <w:sz w:val="18"/>
        </w:rPr>
        <w:t>Raúl L. Madrid；Luis L. Schenoni</w:t>
      </w:r>
    </w:p>
    <w:p>
      <w:r>
        <w:rPr>
          <w:rFonts w:ascii="Times New Roman" w:hAnsi="Times New Roman" w:eastAsia="宋体"/>
          <w:b w:val="0"/>
          <w:i w:val="0"/>
          <w:sz w:val="22"/>
        </w:rPr>
        <w:t>摘要：在19世纪，南美洲饱受内部叛乱的困扰，这些叛乱动摇了该地区的经济和政治体系。然而，进入20世纪初，整个地区的政治暴力水平显著下降。现有的研究对此历史性转变关注甚少，部分原因是缺乏叛乱的全面数据。通过对1830年至1929年间南美所有叛乱的综合新数据集的分析显示，这一时期叛乱的减少在很大程度上源于该地区军队的扩张和职业化，而这又是由出口繁荣和跨国冲突威胁所推动的。然而，正如一项对叛乱的原创性分类所示，并非所有类型的叛乱在此期间都急剧减少。虽然该地区武装部队的加强抑制了非国家行为者的叛乱，但并没有显著减少来自国家内部的叛乱，如军事政变。</w:t>
      </w:r>
    </w:p>
    <w:p>
      <w:r>
        <w:rPr>
          <w:rFonts w:ascii="Times New Roman" w:hAnsi="Times New Roman" w:eastAsia="宋体"/>
          <w:b w:val="0"/>
          <w:i w:val="0"/>
          <w:sz w:val="20"/>
        </w:rPr>
        <w:t>During the nineteenth century, South America was plagued by internal rebellions that destabilized the region's economies and political systems. At the beginning of the twentieth century, however, levels of political violence throughout the region declined dramatically. Existing scholarship has paid surprisingly little attention to this historic transformation, in part because comprehensive data on revolts have been lacking. Historical narratives and an analysis of a comprehensive new dataset on all revolts in South America from 1830 to 1929 show that the decline in revolts stemmed in large part from the expansion and professionalization of the region's militaries, which were driven by the export boom and the threat of interstate conflict. Nevertheless, not all types of rebellions declined precipitously during this period, as an original typology of revolts shows. Although the strengthening of the region's armed forces discouraged revolts by non-state actors, it did not significantly reduce rebellions from within the state apparatus, such as military coups.</w:t>
      </w:r>
    </w:p>
    <w:p/>
    <w:p>
      <w:r>
        <w:rPr>
          <w:rFonts w:ascii="Times New Roman" w:hAnsi="Times New Roman" w:eastAsia="黑体"/>
          <w:b/>
          <w:i w:val="0"/>
          <w:sz w:val="24"/>
        </w:rPr>
        <w:t>《国际政治经济评论》</w:t>
      </w:r>
    </w:p>
    <w:p>
      <w:r>
        <w:rPr>
          <w:rFonts w:ascii="Times New Roman" w:hAnsi="Times New Roman" w:eastAsia="宋体"/>
          <w:b/>
          <w:i w:val="0"/>
          <w:sz w:val="22"/>
        </w:rPr>
        <w:t>RIPE： Vol. 33, No. 5, 2026</w:t>
      </w:r>
    </w:p>
    <w:p/>
    <w:p>
      <w:r>
        <w:rPr>
          <w:rFonts w:ascii="Times New Roman" w:hAnsi="Times New Roman" w:eastAsia="黑体"/>
          <w:b/>
          <w:i w:val="0"/>
          <w:sz w:val="24"/>
        </w:rPr>
        <w:t>你站在哪一边？中美竞争中的地缘经济胁迫与德国企业网络</w:t>
      </w:r>
    </w:p>
    <w:p>
      <w:r>
        <w:rPr>
          <w:rFonts w:ascii="Times New Roman" w:hAnsi="Times New Roman" w:eastAsia="宋体"/>
          <w:b w:val="0"/>
          <w:i/>
          <w:color w:val="404040"/>
          <w:sz w:val="20"/>
        </w:rPr>
        <w:t>Which side are you on? Geoeconomic coercion and German corporate networks in the US–China rivalry</w:t>
      </w:r>
    </w:p>
    <w:p>
      <w:r>
        <w:rPr>
          <w:rFonts w:ascii="Times New Roman" w:hAnsi="Times New Roman" w:eastAsia="宋体"/>
          <w:b w:val="0"/>
          <w:i w:val="0"/>
          <w:color w:val="595959"/>
          <w:sz w:val="18"/>
        </w:rPr>
        <w:t>Joseph Baines（School of Politics and Economics, King’s College London）；Julian Germann（School of Global Studies, University of Sussex）；Steve Rolf（Business School, University of Sussex）；Sean Starrs（School of Global Affairs, King’s College London）</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反对通胀：酷儿—女性主义货币（与价格）理论</w:t>
      </w:r>
    </w:p>
    <w:p>
      <w:r>
        <w:rPr>
          <w:rFonts w:ascii="Times New Roman" w:hAnsi="Times New Roman" w:eastAsia="宋体"/>
          <w:b w:val="0"/>
          <w:i/>
          <w:color w:val="404040"/>
          <w:sz w:val="20"/>
        </w:rPr>
        <w:t>Against inflation: queer-feminist monetary (and price) theory</w:t>
      </w:r>
    </w:p>
    <w:p>
      <w:r>
        <w:rPr>
          <w:rFonts w:ascii="Times New Roman" w:hAnsi="Times New Roman" w:eastAsia="宋体"/>
          <w:b w:val="0"/>
          <w:i w:val="0"/>
          <w:color w:val="595959"/>
          <w:sz w:val="18"/>
        </w:rPr>
        <w:t>L. E. Steininger（Economics Department, University of Leeds; London School of Economics and Political Science, European Institute; Vienna University of Economics and Business, INEQ）</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塑料霸权之争：石化历史集团与联合国全球塑料条约</w:t>
      </w:r>
    </w:p>
    <w:p>
      <w:r>
        <w:rPr>
          <w:rFonts w:ascii="Times New Roman" w:hAnsi="Times New Roman" w:eastAsia="宋体"/>
          <w:b w:val="0"/>
          <w:i/>
          <w:color w:val="404040"/>
          <w:sz w:val="20"/>
        </w:rPr>
        <w:t>The battle for plastic hegemony: the petrochemical historical bloc and the UN Global Plastics Treaty</w:t>
      </w:r>
    </w:p>
    <w:p>
      <w:r>
        <w:rPr>
          <w:rFonts w:ascii="Times New Roman" w:hAnsi="Times New Roman" w:eastAsia="宋体"/>
          <w:b w:val="0"/>
          <w:i w:val="0"/>
          <w:color w:val="595959"/>
          <w:sz w:val="18"/>
        </w:rPr>
        <w:t>Jack Taggart（School of History, Anthropology, Philosophy and Politics, Queen’s University）；Rob Ralston（School of Social and Political Science, University of Edinburgh）；Joachim Peter Tilsted（Department of Food and Resource Economics, University of Copenhagen）</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劳动体制、全球形势与英国和罗马尼亚煤炭业重组</w:t>
      </w:r>
    </w:p>
    <w:p>
      <w:r>
        <w:rPr>
          <w:rFonts w:ascii="Times New Roman" w:hAnsi="Times New Roman" w:eastAsia="宋体"/>
          <w:b w:val="0"/>
          <w:i/>
          <w:color w:val="404040"/>
          <w:sz w:val="20"/>
        </w:rPr>
        <w:t>Labor regimes, global conjunctures, and the restructuring of coal in Britain and Romania</w:t>
      </w:r>
    </w:p>
    <w:p>
      <w:r>
        <w:rPr>
          <w:rFonts w:ascii="Times New Roman" w:hAnsi="Times New Roman" w:eastAsia="宋体"/>
          <w:b w:val="0"/>
          <w:i w:val="0"/>
          <w:color w:val="595959"/>
          <w:sz w:val="18"/>
        </w:rPr>
        <w:t>Ioana Jipa-Muşat（Business School, Royal Holloway, University of London）；Martha Prevezer（School of Business and Management, Queen Mary University of London）；Liam Campling（School of Business and Management, Queen Mary University of London）</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当蚂蚁变成害虫：武器化相互依赖时代的独裁者困境</w:t>
      </w:r>
    </w:p>
    <w:p>
      <w:r>
        <w:rPr>
          <w:rFonts w:ascii="Times New Roman" w:hAnsi="Times New Roman" w:eastAsia="宋体"/>
          <w:b w:val="0"/>
          <w:i/>
          <w:color w:val="404040"/>
          <w:sz w:val="20"/>
        </w:rPr>
        <w:t>When an ant becomes a pest: the autocrat’s dilemma in an age of weaponized interdependence</w:t>
      </w:r>
    </w:p>
    <w:p>
      <w:r>
        <w:rPr>
          <w:rFonts w:ascii="Times New Roman" w:hAnsi="Times New Roman" w:eastAsia="宋体"/>
          <w:b w:val="0"/>
          <w:i w:val="0"/>
          <w:color w:val="595959"/>
          <w:sz w:val="18"/>
        </w:rPr>
        <w:t>Abraham L. Newman（School of Foreign Service and Government Department, Georgetown University）；Yiying (Gloria) Xiong（Department of Government, Colby College）</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加剧版的“视野悲剧”：绿色转型与信用评级</w:t>
      </w:r>
    </w:p>
    <w:p>
      <w:r>
        <w:rPr>
          <w:rFonts w:ascii="Times New Roman" w:hAnsi="Times New Roman" w:eastAsia="宋体"/>
          <w:b w:val="0"/>
          <w:i/>
          <w:color w:val="404040"/>
          <w:sz w:val="20"/>
        </w:rPr>
        <w:t>Tragedy of the horizon on steroids: the green transition and credit ratings</w:t>
      </w:r>
    </w:p>
    <w:p>
      <w:r>
        <w:rPr>
          <w:rFonts w:ascii="Times New Roman" w:hAnsi="Times New Roman" w:eastAsia="宋体"/>
          <w:b w:val="0"/>
          <w:i w:val="0"/>
          <w:color w:val="595959"/>
          <w:sz w:val="18"/>
        </w:rPr>
        <w:t>Zsófia Barta（Center for European Studies and Comparative Politics, Sciences Po）</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加勒比大分流：殖民经济结构与“英属西印度群岛”避税天堂的兴起</w:t>
      </w:r>
    </w:p>
    <w:p>
      <w:r>
        <w:rPr>
          <w:rFonts w:ascii="Times New Roman" w:hAnsi="Times New Roman" w:eastAsia="宋体"/>
          <w:b w:val="0"/>
          <w:i/>
          <w:color w:val="404040"/>
          <w:sz w:val="20"/>
        </w:rPr>
        <w:t>The great Caribbean divergence: colonial economic structure and the emergence of tax havens in the ‘British West Indies’</w:t>
      </w:r>
    </w:p>
    <w:p>
      <w:r>
        <w:rPr>
          <w:rFonts w:ascii="Times New Roman" w:hAnsi="Times New Roman" w:eastAsia="宋体"/>
          <w:b w:val="0"/>
          <w:i w:val="0"/>
          <w:color w:val="595959"/>
          <w:sz w:val="18"/>
        </w:rPr>
        <w:t>Lukas Hakelberg（Institute of Political Science, Leuphana University Lüneburg）；Leo Ahrens（Emmy Noether Group, Cluster The Politics of Inequality, University of Konstanz）；Loriana Crasnic（Department of Political Science, University of Zurich）</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贸易协定中联合机构的制度设计：监督承诺、促进谈判、规避批准</w:t>
      </w:r>
    </w:p>
    <w:p>
      <w:r>
        <w:rPr>
          <w:rFonts w:ascii="Times New Roman" w:hAnsi="Times New Roman" w:eastAsia="宋体"/>
          <w:b w:val="0"/>
          <w:i/>
          <w:color w:val="404040"/>
          <w:sz w:val="20"/>
        </w:rPr>
        <w:t>The institutional design of joint bodies in trade agreements: monitoring commitments, facilitating negotiations, avoiding ratification</w:t>
      </w:r>
    </w:p>
    <w:p>
      <w:r>
        <w:rPr>
          <w:rFonts w:ascii="Times New Roman" w:hAnsi="Times New Roman" w:eastAsia="宋体"/>
          <w:b w:val="0"/>
          <w:i w:val="0"/>
          <w:color w:val="595959"/>
          <w:sz w:val="18"/>
        </w:rPr>
        <w:t>Markus Gastinger（Department of Political Science, University of Salzburg）；Andreas Dür（Department of Political Science, University of Salzburg）</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高路还是低路？欧洲电动车电池布局与地缘经济世界中绿色产业政策的权衡</w:t>
      </w:r>
    </w:p>
    <w:p>
      <w:r>
        <w:rPr>
          <w:rFonts w:ascii="Times New Roman" w:hAnsi="Times New Roman" w:eastAsia="宋体"/>
          <w:b w:val="0"/>
          <w:i/>
          <w:color w:val="404040"/>
          <w:sz w:val="20"/>
        </w:rPr>
        <w:t>High-road or low-road? Europe’s EV battery rollout and the tradeoffs of green industrial policy in a geoeconomic world</w:t>
      </w:r>
    </w:p>
    <w:p>
      <w:r>
        <w:rPr>
          <w:rFonts w:ascii="Times New Roman" w:hAnsi="Times New Roman" w:eastAsia="宋体"/>
          <w:b w:val="0"/>
          <w:i w:val="0"/>
          <w:color w:val="595959"/>
          <w:sz w:val="18"/>
        </w:rPr>
        <w:t>Pálma Polyák（Max Planck Institute for the Study of Societies）</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金融从属下的绿色能源转型：全球南方的气候融资、结构与能动性</w:t>
      </w:r>
    </w:p>
    <w:p>
      <w:r>
        <w:rPr>
          <w:rFonts w:ascii="Times New Roman" w:hAnsi="Times New Roman" w:eastAsia="宋体"/>
          <w:b w:val="0"/>
          <w:i/>
          <w:color w:val="404040"/>
          <w:sz w:val="20"/>
        </w:rPr>
        <w:t>Green energy transitions under financial subordination: climate finance, structure, and agency in the Global South</w:t>
      </w:r>
    </w:p>
    <w:p>
      <w:r>
        <w:rPr>
          <w:rFonts w:ascii="Times New Roman" w:hAnsi="Times New Roman" w:eastAsia="宋体"/>
          <w:b w:val="0"/>
          <w:i w:val="0"/>
          <w:color w:val="595959"/>
          <w:sz w:val="18"/>
        </w:rPr>
        <w:t>Stefan Zylinski（Department of Sociology, Politics &amp; International Studies, University of Bristol）</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热空气：二十一世纪玻利维亚的油气、世界货币与发展</w:t>
      </w:r>
    </w:p>
    <w:p>
      <w:r>
        <w:rPr>
          <w:rFonts w:ascii="Times New Roman" w:hAnsi="Times New Roman" w:eastAsia="宋体"/>
          <w:b w:val="0"/>
          <w:i/>
          <w:color w:val="404040"/>
          <w:sz w:val="20"/>
        </w:rPr>
        <w:t>Hot air: hydrocarbons, world money and development in twenty-first century Bolivia</w:t>
      </w:r>
    </w:p>
    <w:p>
      <w:r>
        <w:rPr>
          <w:rFonts w:ascii="Times New Roman" w:hAnsi="Times New Roman" w:eastAsia="宋体"/>
          <w:b w:val="0"/>
          <w:i w:val="0"/>
          <w:color w:val="595959"/>
          <w:sz w:val="18"/>
        </w:rPr>
        <w:t>Angus McNelly（Department of International Development, King’s College London）</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编织国家与市场：中国对非主权基础设施贷款中的官僚评估、金融审查与政治背书</w:t>
      </w:r>
    </w:p>
    <w:p>
      <w:r>
        <w:rPr>
          <w:rFonts w:ascii="Times New Roman" w:hAnsi="Times New Roman" w:eastAsia="宋体"/>
          <w:b w:val="0"/>
          <w:i/>
          <w:color w:val="404040"/>
          <w:sz w:val="20"/>
        </w:rPr>
        <w:t>Braiding state and market: bureaucratic appraisal, financial review, and political endorsement in Chinese sovereign infrastructure lending in Africa</w:t>
      </w:r>
    </w:p>
    <w:p>
      <w:r>
        <w:rPr>
          <w:rFonts w:ascii="Times New Roman" w:hAnsi="Times New Roman" w:eastAsia="宋体"/>
          <w:b w:val="0"/>
          <w:i w:val="0"/>
          <w:color w:val="595959"/>
          <w:sz w:val="18"/>
        </w:rPr>
        <w:t>Tianyi Wu（Blavatnik School of Government, University of Oxford; Global Policy Development Center, Boston University）</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新自由主义/极右翼交织中的非自由劳动：瑞典劳务移民的国家规制与不稳定性</w:t>
      </w:r>
    </w:p>
    <w:p>
      <w:r>
        <w:rPr>
          <w:rFonts w:ascii="Times New Roman" w:hAnsi="Times New Roman" w:eastAsia="宋体"/>
          <w:b w:val="0"/>
          <w:i/>
          <w:color w:val="404040"/>
          <w:sz w:val="20"/>
        </w:rPr>
        <w:t>Unfree labor in the neoliberal/far-right nexus: state regulation and precarity among labor migrants in Sweden</w:t>
      </w:r>
    </w:p>
    <w:p>
      <w:r>
        <w:rPr>
          <w:rFonts w:ascii="Times New Roman" w:hAnsi="Times New Roman" w:eastAsia="宋体"/>
          <w:b w:val="0"/>
          <w:i w:val="0"/>
          <w:color w:val="595959"/>
          <w:sz w:val="18"/>
        </w:rPr>
        <w:t>Sofie Tornhill（School of Global Studies, University of Gothenburg）</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金融市场与大众政治态度：来自2022年巴西大选的证据</w:t>
      </w:r>
    </w:p>
    <w:p>
      <w:r>
        <w:rPr>
          <w:rFonts w:ascii="Times New Roman" w:hAnsi="Times New Roman" w:eastAsia="宋体"/>
          <w:b w:val="0"/>
          <w:i/>
          <w:color w:val="404040"/>
          <w:sz w:val="20"/>
        </w:rPr>
        <w:t>Financial markets and mass political attitudes: evidence from the 2022 Brazilian election</w:t>
      </w:r>
    </w:p>
    <w:p>
      <w:r>
        <w:rPr>
          <w:rFonts w:ascii="Times New Roman" w:hAnsi="Times New Roman" w:eastAsia="宋体"/>
          <w:b w:val="0"/>
          <w:i w:val="0"/>
          <w:color w:val="595959"/>
          <w:sz w:val="18"/>
        </w:rPr>
        <w:t>Sarah M. Brooks（Department of Political Science, Ohio State University）；Raphael Cunha（Department of Political Economy, King’s College London）；Layna Mosley（Department of Politics and School of Public and International Affairs, Princeton University）</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破除制裁的购物者：作为防御性经济方略的消费者“支持性购买”</w:t>
      </w:r>
    </w:p>
    <w:p>
      <w:r>
        <w:rPr>
          <w:rFonts w:ascii="Times New Roman" w:hAnsi="Times New Roman" w:eastAsia="宋体"/>
          <w:b w:val="0"/>
          <w:i/>
          <w:color w:val="404040"/>
          <w:sz w:val="20"/>
        </w:rPr>
        <w:t>Sanction-busting shoppers: consumer ‘buycotts’ as defensive economic statecraft</w:t>
      </w:r>
    </w:p>
    <w:p>
      <w:r>
        <w:rPr>
          <w:rFonts w:ascii="Times New Roman" w:hAnsi="Times New Roman" w:eastAsia="宋体"/>
          <w:b w:val="0"/>
          <w:i w:val="0"/>
          <w:color w:val="595959"/>
          <w:sz w:val="18"/>
        </w:rPr>
        <w:t>Victor A. Ferguson（Graduate School of Law, Hitotsubashi University）；Christina Lai（Institute of Political Science, Academia Sinica）</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新国家资本主义的局限：卢旺达的养老基金行动主义</w:t>
      </w:r>
    </w:p>
    <w:p>
      <w:r>
        <w:rPr>
          <w:rFonts w:ascii="Times New Roman" w:hAnsi="Times New Roman" w:eastAsia="宋体"/>
          <w:b w:val="0"/>
          <w:i/>
          <w:color w:val="404040"/>
          <w:sz w:val="20"/>
        </w:rPr>
        <w:t>The limits of the new state capitalism: pension fund activism in Rwanda</w:t>
      </w:r>
    </w:p>
    <w:p>
      <w:r>
        <w:rPr>
          <w:rFonts w:ascii="Times New Roman" w:hAnsi="Times New Roman" w:eastAsia="宋体"/>
          <w:b w:val="0"/>
          <w:i w:val="0"/>
          <w:color w:val="595959"/>
          <w:sz w:val="18"/>
        </w:rPr>
        <w:t>Pritish Behuria（Global Development Institute, University of Manchester; College of Business and Economics, University of Johannesburg）</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地缘技术竞争时代数字跨国公司的政治权力</w:t>
      </w:r>
    </w:p>
    <w:p>
      <w:r>
        <w:rPr>
          <w:rFonts w:ascii="Times New Roman" w:hAnsi="Times New Roman" w:eastAsia="宋体"/>
          <w:b w:val="0"/>
          <w:i/>
          <w:color w:val="404040"/>
          <w:sz w:val="20"/>
        </w:rPr>
        <w:t>The political power of digital multinational companies in an era of geo-technological competition</w:t>
      </w:r>
    </w:p>
    <w:p>
      <w:r>
        <w:rPr>
          <w:rFonts w:ascii="Times New Roman" w:hAnsi="Times New Roman" w:eastAsia="宋体"/>
          <w:b w:val="0"/>
          <w:i w:val="0"/>
          <w:color w:val="595959"/>
          <w:sz w:val="18"/>
        </w:rPr>
        <w:t>Florence Dafe（Munich School of Politics and Public Policy, Technical University of Munich）；Eugénia C. Heldt（Munich School of Politics and Public Policy, Technical University of Munich）</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央行数字货币与全球货币体系</w:t>
      </w:r>
    </w:p>
    <w:p>
      <w:r>
        <w:rPr>
          <w:rFonts w:ascii="Times New Roman" w:hAnsi="Times New Roman" w:eastAsia="宋体"/>
          <w:b w:val="0"/>
          <w:i/>
          <w:color w:val="404040"/>
          <w:sz w:val="20"/>
        </w:rPr>
        <w:t>Central bank digital currencies and the global monetary system</w:t>
      </w:r>
    </w:p>
    <w:p>
      <w:r>
        <w:rPr>
          <w:rFonts w:ascii="Times New Roman" w:hAnsi="Times New Roman" w:eastAsia="宋体"/>
          <w:b w:val="0"/>
          <w:i w:val="0"/>
          <w:color w:val="595959"/>
          <w:sz w:val="18"/>
        </w:rPr>
        <w:t>Hyoung-kyu Chey（National Graduate Institute for Policy Studies (GRIPS)）</w:t>
      </w:r>
    </w:p>
    <w:p>
      <w:r>
        <w:rPr>
          <w:rFonts w:ascii="Times New Roman" w:hAnsi="Times New Roman" w:eastAsia="宋体"/>
          <w:b w:val="0"/>
          <w:i w:val="0"/>
          <w:sz w:val="22"/>
        </w:rPr>
        <w:t>摘要：（摘要暂缺：出版商尚未开放，数据库未收录）</w:t>
      </w:r>
    </w:p>
    <w:p/>
    <w:p>
      <w:r>
        <w:rPr>
          <w:rFonts w:ascii="Times New Roman" w:hAnsi="Times New Roman" w:eastAsia="宋体"/>
          <w:b/>
          <w:i w:val="0"/>
          <w:sz w:val="22"/>
        </w:rPr>
        <w:t>RIPE： Vol. 33, No. 4, 2026</w:t>
      </w:r>
    </w:p>
    <w:p/>
    <w:p>
      <w:r>
        <w:rPr>
          <w:rFonts w:ascii="Times New Roman" w:hAnsi="Times New Roman" w:eastAsia="黑体"/>
          <w:b/>
          <w:i w:val="0"/>
          <w:sz w:val="24"/>
        </w:rPr>
        <w:t>迈向种族化金融的国际政治经济学</w:t>
      </w:r>
    </w:p>
    <w:p>
      <w:r>
        <w:rPr>
          <w:rFonts w:ascii="Times New Roman" w:hAnsi="Times New Roman" w:eastAsia="宋体"/>
          <w:b w:val="0"/>
          <w:i/>
          <w:color w:val="404040"/>
          <w:sz w:val="20"/>
        </w:rPr>
        <w:t>Toward an IPE of raced finance</w:t>
      </w:r>
    </w:p>
    <w:p>
      <w:r>
        <w:rPr>
          <w:rFonts w:ascii="Times New Roman" w:hAnsi="Times New Roman" w:eastAsia="宋体"/>
          <w:b w:val="0"/>
          <w:i w:val="0"/>
          <w:color w:val="595959"/>
          <w:sz w:val="18"/>
        </w:rPr>
        <w:t>Ilias Alami（Centre of Development Studies, Department of Politics and International Studies, University of Cambridge）；Ali Bhagat（School of Public Policy, Simon Fraser University）；Vincent Guermond（School of Business and Management, Queen Mary University of London）</w:t>
      </w:r>
    </w:p>
    <w:p>
      <w:r>
        <w:rPr>
          <w:rFonts w:ascii="Times New Roman" w:hAnsi="Times New Roman" w:eastAsia="宋体"/>
          <w:b w:val="0"/>
          <w:i w:val="0"/>
          <w:sz w:val="22"/>
        </w:rPr>
        <w:t>摘要：国际政治经济学学科日益承认种族压迫与不平等的重要性，但这些常被视为与金融等级和权力结构分离或仅仅并存。学界对种族可能影响金融运作有所认识，但这并未纳入所谓金融的结构性权力。作者则认为种族等级与金融等级可能比这种立场所设想的更为亲密、内在并相互构成，并将这一概念假设称为“种族化金融”。它促使我们追问：金融究竟如何被“种族化”，为何如此？对我们理解种族、金融与资本主义有何影响？在给出概念定义后，作者按三个主题梳理国际政治经济学内外关于种族化金融的历史与当代论述：（1）种族、帝国与通过金融手段的原始积累；（2）种族化的全球货币秩序；（3）金融风险与种族化焦虑。作者进一步将种族化金融分析发展为特刊框架，认为可从三组构成性张力理解：包容/排斥、总体化/差异化、稳定化/去稳定化。最后讨论在国际政治经济学中讲授种族与金融的反思。</w:t>
      </w:r>
    </w:p>
    <w:p>
      <w:r>
        <w:rPr>
          <w:rFonts w:ascii="Times New Roman" w:hAnsi="Times New Roman" w:eastAsia="宋体"/>
          <w:b w:val="0"/>
          <w:i w:val="0"/>
          <w:sz w:val="20"/>
        </w:rPr>
        <w:t>International Political Economy (IPE) as a discipline increasingly acknowledges the significance of racial oppression and inequalities. Yet, these are often seen as separate from, or coinciding with, financial hierarchies and power structures. There is some understanding that race may shape how finance works, but this does not factor into what IPE scholars called the structural power of finance. By contrast, we suggest that hierarchies of race and finance may be more intimate, integral, and co-constitutive than this position suggested. We call this conceptual hypothesis ‘raced finance’. Raced finance encourages us to ask: How, exactly, is finance ‘raced’, and why is this the case? With what consequences for our understandings of race, finance, and capitalism? After offering a conceptual definition, we map out historical and contemporary arguments on raced finance in IPE and beyond, across three thematic categories: (1) race, empire, and primitive accumulation via financial means; (2) raced global monetary orders; (3) financial risks and racialized anxieties. We then further develop our raced finance analytic as a frame for the special issue and future IPE research. We submit that raced finance can be productively grasped in terms of three constitutive tensions: inclusion/exclusion, totalization/differentiation, and stabilization/destabilization. The combination of these three dialectical tensions is what makes raced finance such a potent force. We conclude by offering reflections on teaching race and finance in IPE. Giving due attention to race in the IPE of finance may require rethinking pedagogical priorities, shifting empirical angles, adopting new geographical foci, mobilizing new theories, and reconstructing periodizations.</w:t>
      </w:r>
    </w:p>
    <w:p/>
    <w:p>
      <w:r>
        <w:rPr>
          <w:rFonts w:ascii="Times New Roman" w:hAnsi="Times New Roman" w:eastAsia="黑体"/>
          <w:b/>
          <w:i w:val="0"/>
          <w:sz w:val="24"/>
        </w:rPr>
        <w:t>帝国的看不见的手：黑人激进传统与种族金融资本主义的长时段</w:t>
      </w:r>
    </w:p>
    <w:p>
      <w:r>
        <w:rPr>
          <w:rFonts w:ascii="Times New Roman" w:hAnsi="Times New Roman" w:eastAsia="宋体"/>
          <w:b w:val="0"/>
          <w:i/>
          <w:color w:val="404040"/>
          <w:sz w:val="20"/>
        </w:rPr>
        <w:t>Invisible hands of empire: the black radical tradition and the longue durée of racial finance capitalism</w:t>
      </w:r>
    </w:p>
    <w:p>
      <w:r>
        <w:rPr>
          <w:rFonts w:ascii="Times New Roman" w:hAnsi="Times New Roman" w:eastAsia="宋体"/>
          <w:b w:val="0"/>
          <w:i w:val="0"/>
          <w:color w:val="595959"/>
          <w:sz w:val="18"/>
        </w:rPr>
        <w:t>Ida Danewid（Department of International Relations, University of Sussex）</w:t>
      </w:r>
    </w:p>
    <w:p>
      <w:r>
        <w:rPr>
          <w:rFonts w:ascii="Times New Roman" w:hAnsi="Times New Roman" w:eastAsia="宋体"/>
          <w:b w:val="0"/>
          <w:i w:val="0"/>
          <w:sz w:val="22"/>
        </w:rPr>
        <w:t>摘要：本文通过世界体系视角与黑人激进传统之间的“对话”，探讨金融资本与种族化的相互构成。世界体系理论虽诞生于去殖民化与黑人解放斗争的全球背景下，其关于金融扩张的长时段叙事却相对缺乏对种族与殖民主义的分析。为此，本文借助考克斯、罗德尼和罗宾逊发展的种族资本主义批判，重读阿瑞吉关于金融化的论述。聚焦热那亚、荷兰、英国和美国积累周期，作者认为种族化的剥夺、侵占与奴役为金融创新提供了基础，同时金融资本又作为帝国的引擎运作。近期的新自由主义金融化不过是这段更长的金融驱动的种族化、剥夺与从属历史的最新阶段。</w:t>
      </w:r>
    </w:p>
    <w:p>
      <w:r>
        <w:rPr>
          <w:rFonts w:ascii="Times New Roman" w:hAnsi="Times New Roman" w:eastAsia="宋体"/>
          <w:b w:val="0"/>
          <w:i w:val="0"/>
          <w:sz w:val="20"/>
        </w:rPr>
        <w:t>This article explores the co-constitution of finance capital and racialisation through a staged conversation between world-systems perspectives and the black radical tradition. While world-systems theory emerged in a global context of decolonisation and black liberation struggles, analyses of race and colonialism have been relatively absent from its longue durée accounts of financial expansion. To rectify this, the article re-reads Giovanni Arrighi’s work on financialisation through the critiques of racial capitalism developed by Oliver Cromwell Cox, Walter Rodney, and Cedric Robinson. Focusing on Genoese, Dutch, British, and American cycles of accumulation, it argues that racialised dispossession, appropriation, and enslavement provided the grounds for financial innovation, while finance capital simultaneously operated as an engine of empire. The recent wave of neoliberal financialisation is but the latest phase of this much longer history of finance-driven racialisation, dispossession, and subordination.</w:t>
      </w:r>
    </w:p>
    <w:p/>
    <w:p>
      <w:r>
        <w:rPr>
          <w:rFonts w:ascii="Times New Roman" w:hAnsi="Times New Roman" w:eastAsia="黑体"/>
          <w:b/>
          <w:i w:val="0"/>
          <w:sz w:val="24"/>
        </w:rPr>
        <w:t>“在国家中拥有真正利害关系”：危机中的种族金融方略与殖民资本主义</w:t>
      </w:r>
    </w:p>
    <w:p>
      <w:r>
        <w:rPr>
          <w:rFonts w:ascii="Times New Roman" w:hAnsi="Times New Roman" w:eastAsia="宋体"/>
          <w:b w:val="0"/>
          <w:i/>
          <w:color w:val="404040"/>
          <w:sz w:val="20"/>
        </w:rPr>
        <w:t>‘Some real stake in their country’: racial financial statecraft and colonial capitalism in crisis</w:t>
      </w:r>
    </w:p>
    <w:p>
      <w:r>
        <w:rPr>
          <w:rFonts w:ascii="Times New Roman" w:hAnsi="Times New Roman" w:eastAsia="宋体"/>
          <w:b w:val="0"/>
          <w:i w:val="0"/>
          <w:color w:val="595959"/>
          <w:sz w:val="18"/>
        </w:rPr>
        <w:t>Nick Bernards（Global Sustainable Development, School for Cross-faculty Studies, University of Warwick）</w:t>
      </w:r>
    </w:p>
    <w:p>
      <w:r>
        <w:rPr>
          <w:rFonts w:ascii="Times New Roman" w:hAnsi="Times New Roman" w:eastAsia="宋体"/>
          <w:b w:val="0"/>
          <w:i w:val="0"/>
          <w:sz w:val="22"/>
        </w:rPr>
        <w:t>摘要：本文考察当今“日常生活金融化”与更长殖民干预历史之间的连续性。培养负责任金融行为的努力常被分析为反映近期金融化趋势，这类分析既掩盖了类似干预的更长历史，也忽略了种族在塑造它们中的构成性作用。本文指出一种易失败但持久的“种族金融方略”模式，并通过追踪20世纪上半叶英帝国的三个片段加以说明：关于农业负债的争论、建立邮政储蓄银行的努力、战后推动本地购买殖民地政府债券的努力。在这些举措中，英国官员将各种社会、经济与货币问题归咎于被殖民者所谓有缺陷的金融行为，并试图通过鼓励节俭、储蓄习惯或负责任投资加以解决。</w:t>
      </w:r>
    </w:p>
    <w:p>
      <w:r>
        <w:rPr>
          <w:rFonts w:ascii="Times New Roman" w:hAnsi="Times New Roman" w:eastAsia="宋体"/>
          <w:b w:val="0"/>
          <w:i w:val="0"/>
          <w:sz w:val="20"/>
        </w:rPr>
        <w:t>This paper examines continuities between the present-day ‘financialization of daily life’ and a longer history of colonial interventions. Efforts to cultivate responsible financial behaviors are often analyzed as reflecting recent trends of financialization. These kinds of analyses tend both to obscure the longer history of similar interventions, and to miss out the constitutive role of race in shaping them. In pointing to these longer continuities, the paper highlights a failure-prone, yet durable, modality of ‘racial financial statecraft’. Empirically, these arguments are fleshed out by tracing out three episodes from the British Empire across the first half of the twentieth century – debates about agrarian indebtedness, efforts to build post-office savings banks, and postwar efforts to promote local purchases of colonial government bonds. Across these initiatives, British officials attributed various social, economic, and monetary problems to the supposedly deficient financial behaviors of colonized subjects, and sought to address them by encouraging greater thrift, saving habits, or responsible investment. The history traced here suggests both a need to analyze such efforts, past and present, to inculcate particular kinds of financial behavior as forms of capitalist statecraft, and a need to grapple with the constitutive role of race in shaping these interventions.</w:t>
      </w:r>
    </w:p>
    <w:p/>
    <w:p>
      <w:r>
        <w:rPr>
          <w:rFonts w:ascii="Times New Roman" w:hAnsi="Times New Roman" w:eastAsia="黑体"/>
          <w:b/>
          <w:i w:val="0"/>
          <w:sz w:val="24"/>
        </w:rPr>
        <w:t>从殖民经济学到结构调整：种族、新自由主义意识形态与有害的金融包容</w:t>
      </w:r>
    </w:p>
    <w:p>
      <w:r>
        <w:rPr>
          <w:rFonts w:ascii="Times New Roman" w:hAnsi="Times New Roman" w:eastAsia="宋体"/>
          <w:b w:val="0"/>
          <w:i/>
          <w:color w:val="404040"/>
          <w:sz w:val="20"/>
        </w:rPr>
        <w:t>From colonial economics to structural adjustment: race, neoliberal ideology, and pernicious financial inclusion</w:t>
      </w:r>
    </w:p>
    <w:p>
      <w:r>
        <w:rPr>
          <w:rFonts w:ascii="Times New Roman" w:hAnsi="Times New Roman" w:eastAsia="宋体"/>
          <w:b w:val="0"/>
          <w:i w:val="0"/>
          <w:color w:val="595959"/>
          <w:sz w:val="18"/>
        </w:rPr>
        <w:t>Lars Cornelissen（Independent Social Research Foundation and Department of History, Politics and Philosophy, Manchester Metropolitan University）</w:t>
      </w:r>
    </w:p>
    <w:p>
      <w:r>
        <w:rPr>
          <w:rFonts w:ascii="Times New Roman" w:hAnsi="Times New Roman" w:eastAsia="宋体"/>
          <w:b w:val="0"/>
          <w:i w:val="0"/>
          <w:sz w:val="22"/>
        </w:rPr>
        <w:t>摘要：本文将新自由主义思想史研究与新兴的“种族化金融”研究议程结合，作出方法与经验两方面贡献：第一，意识形态批判可提供揭示编码化种族建构的工具；第二，种族化金融的一项持久技术——结构调整计划——最初是基于早期新自由主义发展理论家阐述的种族化观念被正当化的。作者通过种族与殖民主义视角重访新自由主义思想史，认为新自由主义在构成上是种族化的：早期新自由主义扎根于理想化“西方”文化、将其他文化描绘为有缺陷的欧洲中心神话，其发展理论将多数发展中国家构想为无法凭自身主动实现物质增长。1980年代初，与世界银行和IMF相关的一小群新自由主义者将这一视角应用于发展融资，形成结构调整贷款。文章最后将结构调整理论化为一种“有害的包容”，导致世界许多发展中国家被有组织地去稳定化。</w:t>
      </w:r>
    </w:p>
    <w:p>
      <w:r>
        <w:rPr>
          <w:rFonts w:ascii="Times New Roman" w:hAnsi="Times New Roman" w:eastAsia="宋体"/>
          <w:b w:val="0"/>
          <w:i w:val="0"/>
          <w:sz w:val="20"/>
        </w:rPr>
        <w:t>This paper brings together scholarship on the history of neoliberal thought with the emerging ‘raced finance’ research agenda. The paper makes a methodological and an empirical contribution. First, it argues that ideology critique can make a valuable contribution to the study of raced finance by providing the tools to demystify coded racial constructs. Second, it argues that an enduring technology of raced finance, Structural Adjustment Programs (SAPs), were originally justified on the basis of racialized ideas articulated by early neoliberal development theorists. The paper supports this argument by revisiting the history of neoliberal ideas through the lens of race and colonialism, contending that neoliberalism is constitutively racialized. Grounded in a Eurocentric mythos that idealizes ‘Western’ culture while portraying other cultures as deficient, early neoliberalism contained a theory of development that configured most developing countries as unable to achieve material growth on their own initiative. In the early 1980s, a small group of neoliberals associated with the World Bank and International Monetary Fund applied this perspective to development finance, resulting in structural adjustment lending. The paper concludes by theorizing structural adjustment as a form of pernicious inclusion that resulted in the organized destabilization of many developing countries worldwide.</w:t>
      </w:r>
    </w:p>
    <w:p/>
    <w:p>
      <w:r>
        <w:rPr>
          <w:rFonts w:ascii="Times New Roman" w:hAnsi="Times New Roman" w:eastAsia="黑体"/>
          <w:b/>
          <w:i w:val="0"/>
          <w:sz w:val="24"/>
        </w:rPr>
        <w:t>印度尼西亚镍主权与全球种族化金融：“转型”时代第28号元素的价值</w:t>
      </w:r>
    </w:p>
    <w:p>
      <w:r>
        <w:rPr>
          <w:rFonts w:ascii="Times New Roman" w:hAnsi="Times New Roman" w:eastAsia="宋体"/>
          <w:b w:val="0"/>
          <w:i/>
          <w:color w:val="404040"/>
          <w:sz w:val="20"/>
        </w:rPr>
        <w:t>Indonesian nickel sovereignty and global raced finance: the value of Element 28 in an age of ‘transition’</w:t>
      </w:r>
    </w:p>
    <w:p>
      <w:r>
        <w:rPr>
          <w:rFonts w:ascii="Times New Roman" w:hAnsi="Times New Roman" w:eastAsia="宋体"/>
          <w:b w:val="0"/>
          <w:i w:val="0"/>
          <w:color w:val="595959"/>
          <w:sz w:val="18"/>
        </w:rPr>
        <w:t>Lisa Tilley（Department of Development Studies, SOAS University of London）</w:t>
      </w:r>
    </w:p>
    <w:p>
      <w:r>
        <w:rPr>
          <w:rFonts w:ascii="Times New Roman" w:hAnsi="Times New Roman" w:eastAsia="宋体"/>
          <w:b w:val="0"/>
          <w:i w:val="0"/>
          <w:sz w:val="22"/>
        </w:rPr>
        <w:t>摘要：在全球电动汽车市场电气化热潮中，镍被重塑为“关键矿产”，印度尼西亚寻求建立对其矿产资源的主权，重振一项至少可追溯至独立与万隆时代的价值计划。借鉴萨米尔·阿明关于世界价值规律的分析，全球南方国家能从其资源中获得的收入与其最终受制的支配与金融从属结构密不可分。本文结合全球价值结构核心的这一资源收入/从属关系，探讨印尼最大化其丰富镍储量所获租金的努力，并将资源开采视为世界体系中种族化金融的实际物质基础。作者认为镍或许是理想的国家商品，可服务于印尼通过攫取下游加工与生产增加值来打破世界价值规律与种族化金融从属的长期追求；但这一矿产主权计划的内在组成部分是牺牲印尼镍矿前沿的社会生态生活，采矿与加工给受影响社区带来征用、污染与剥削。</w:t>
      </w:r>
    </w:p>
    <w:p>
      <w:r>
        <w:rPr>
          <w:rFonts w:ascii="Times New Roman" w:hAnsi="Times New Roman" w:eastAsia="宋体"/>
          <w:b w:val="0"/>
          <w:i w:val="0"/>
          <w:sz w:val="20"/>
        </w:rPr>
        <w:t>In the context of a global rush to electrify vehicle markets, for which nickel is recast as a ‘critical mineral’, Indonesia has sought to build sovereignty over its mineral resources and reinvigorated a value project which stretches back at least to independence and the Bandung era. Recalling Samir Amin’s analysis of the worldwide law of value, the income countries of the global South are able to derive from their resources is indelibly related to the structures of domination and financial subordination they are ultimately subject to. This article explores Indonesia’s efforts to maximize the rent extracted from its abundant nickel reserves in light of this resource income/subordination relation at the heart of global value structures, extending the analysis to consider resource extraction to be the actual material base of raced finance in the world system. Nickel, I argue here, might be the perfect national commodity, serving Indonesia’s long-time quest to break with the law of worldwide value and raced financial subordination by capturing downstream value-added processing and production. However, integral to this mineral sovereignty project is the sacrifice of socioecological life along Indonesia’s nickel frontiers where mining and processing inflict expropriation, contamination, and exploitation upon affected communities.</w:t>
      </w:r>
    </w:p>
    <w:p/>
    <w:p>
      <w:r>
        <w:rPr>
          <w:rFonts w:ascii="Times New Roman" w:hAnsi="Times New Roman" w:eastAsia="黑体"/>
          <w:b/>
          <w:i w:val="0"/>
          <w:sz w:val="24"/>
        </w:rPr>
        <w:t>为边境融资：种族资本主义、移民与加拿大国家的实践</w:t>
      </w:r>
    </w:p>
    <w:p>
      <w:r>
        <w:rPr>
          <w:rFonts w:ascii="Times New Roman" w:hAnsi="Times New Roman" w:eastAsia="宋体"/>
          <w:b w:val="0"/>
          <w:i/>
          <w:color w:val="404040"/>
          <w:sz w:val="20"/>
        </w:rPr>
        <w:t>Financing the border: racial capitalism, migration, and the practices of the Canadian state</w:t>
      </w:r>
    </w:p>
    <w:p>
      <w:r>
        <w:rPr>
          <w:rFonts w:ascii="Times New Roman" w:hAnsi="Times New Roman" w:eastAsia="宋体"/>
          <w:b w:val="0"/>
          <w:i w:val="0"/>
          <w:color w:val="595959"/>
          <w:sz w:val="18"/>
        </w:rPr>
        <w:t>Ali Bhagat（School of Public Policy, Simon Fraser University）；Rachel Phillips（Department of Geography, University of British Columbia）</w:t>
      </w:r>
    </w:p>
    <w:p>
      <w:r>
        <w:rPr>
          <w:rFonts w:ascii="Times New Roman" w:hAnsi="Times New Roman" w:eastAsia="宋体"/>
          <w:b w:val="0"/>
          <w:i w:val="0"/>
          <w:sz w:val="22"/>
        </w:rPr>
        <w:t>摘要：加拿大在接纳难民与将多元文化作为国家政策方面常被视为世界上最进步的国家之一，但其基于种族的边境管理的更长历史不容忽视。聚焦当代加拿大边境体制，作者追问：加拿大边境如何被融资与维持？边境实践如何实质性地影响被允许入境的种族化人群的生活？作者首先考察边境的公共资金基础设施，即对边境保护及对被视为非法或不规范者执法的国家预算；其次考察加拿大国家如何允许和便利对获准入境的种族化移民劳工的剥削，使企业和信贷发行方获益。作者认为加拿大边境与移民体制体现了一个种族资本主义国家，其功能在于：（1）将不受欢迎者排除在国家之外；（2）便利低工资劳动剥削；（3）将种族化移民纳入更广泛的信贷与债务体系。</w:t>
      </w:r>
    </w:p>
    <w:p>
      <w:r>
        <w:rPr>
          <w:rFonts w:ascii="Times New Roman" w:hAnsi="Times New Roman" w:eastAsia="宋体"/>
          <w:b w:val="0"/>
          <w:i w:val="0"/>
          <w:sz w:val="20"/>
        </w:rPr>
        <w:t>Canada is often recognised as one of the most progressive nations in the world when it comes to the acceptance of refugees and multiculturalism as national policy. However, the longer history of border management on the grounds of race cannot be ignored. Focusing on the contemporary Canadian border regime, we ask: How is the Canadian border financed and maintained, and how do the practices of the border materially impact the lives of racialised people who are allowed to enter Canada? We answer these questions as follows: First, we examine the public funding infrastructure of the border, by which we mean the national budgeting for border protection and the policing of those deemed illegal or irregular. Second, we interrogate how the Canadian state permits and facilitates the exploitation of the racialised migrant labourers who are allowed into the nation, to the benefit of businesses and credit issuers. Through this two-pronged analysis, we argue that the Canadian border and immigration regime is illustrative of a racial capitalist state which functions to (1) exclude unwanted people from the nation, (2) facilitate low-wage labour exploitation, and (3) incorporate racialised migrants into wider systems of credit and debt.</w:t>
      </w:r>
    </w:p>
    <w:p/>
    <w:p>
      <w:r>
        <w:rPr>
          <w:rFonts w:ascii="Times New Roman" w:hAnsi="Times New Roman" w:eastAsia="黑体"/>
          <w:b/>
          <w:i w:val="0"/>
          <w:sz w:val="24"/>
        </w:rPr>
        <w:t>作为投资策略的不平等流动：企业家精神、遏制与种族资本主义的空间重构</w:t>
      </w:r>
    </w:p>
    <w:p>
      <w:r>
        <w:rPr>
          <w:rFonts w:ascii="Times New Roman" w:hAnsi="Times New Roman" w:eastAsia="宋体"/>
          <w:b w:val="0"/>
          <w:i/>
          <w:color w:val="404040"/>
          <w:sz w:val="20"/>
        </w:rPr>
        <w:t>Unequal mobilities as an investment strategy: esprit entrepreneurial , containment, and the spatial reconfigurations of racial capitalism</w:t>
      </w:r>
    </w:p>
    <w:p>
      <w:r>
        <w:rPr>
          <w:rFonts w:ascii="Times New Roman" w:hAnsi="Times New Roman" w:eastAsia="宋体"/>
          <w:b w:val="0"/>
          <w:i w:val="0"/>
          <w:color w:val="595959"/>
          <w:sz w:val="18"/>
        </w:rPr>
        <w:t>Alexander Jung（Department of Political Science and Public Administration, Vrije Universiteit Amsterdam）</w:t>
      </w:r>
    </w:p>
    <w:p>
      <w:r>
        <w:rPr>
          <w:rFonts w:ascii="Times New Roman" w:hAnsi="Times New Roman" w:eastAsia="宋体"/>
          <w:b w:val="0"/>
          <w:i w:val="0"/>
          <w:sz w:val="22"/>
        </w:rPr>
        <w:t>摘要：呼应近期对种族在金融运作中核心地位的问题化，本文考察移民控制在扩展种族资本主义前沿中的作用。移民长期是欧洲干预非洲的优先事项，但直到最近研究才揭示这些干预服务于全球北方行为体物质利益的意义。借鉴法农关于（非）流动性、种族与资本互动的理解以及种族资本主义理论，本文聚焦欧洲应对突尼斯“非正规”移民的一个关键方面：促进自立的创业项目。对参与此类项目资助与实施的行为体的访谈及各类文件分析，揭示了不平等流动的种族化结构在“种族化金融”运作中的核心地位：创业项目塑造了“合格经济主体”的种族化形象，空间重构与不平等流动在其中发挥关键作用。</w:t>
      </w:r>
    </w:p>
    <w:p>
      <w:r>
        <w:rPr>
          <w:rFonts w:ascii="Times New Roman" w:hAnsi="Times New Roman" w:eastAsia="宋体"/>
          <w:b w:val="0"/>
          <w:i w:val="0"/>
          <w:sz w:val="20"/>
        </w:rPr>
        <w:t>Echoing recent calls to problematize the centrality of race in the operations of finance, this article examines the role of migration control in expanding the frontiers of racial capitalism. While migration has long been a priority of European interventions in Africa, only recently has research unpacked the significance of these interventions in serving the material interests of actors in the Global North. Drawing on a Fanonian understanding of the interplay between (im)mobilities, race and capital, and theorizations of racial capitalism, this article further contributes to these debates by zooming into a key aspect of European responses to Tunisian ‘irregular’ migration, namely entrepreneurship projects that promote self-reliance. The analysis of interviews with actors involved in the funding and implementation of such projects and of various documents reveals the centrality of racialized structures of unequal mobilities in the operations of ‘raced finance’. More specifically, this article illustrates the significance of entrepreneurship projects in creating racialized images of the adequate economic subject, and the critical role of spatial reconfigurations and unequal mobilities therein. This article thereby offers critical insights into how the production of racialized differences benefits finance, yet also how financial practices are beneficial for operationalizing racialized demands for less migration.</w:t>
      </w:r>
    </w:p>
    <w:p/>
    <w:p>
      <w:r>
        <w:rPr>
          <w:rFonts w:ascii="Times New Roman" w:hAnsi="Times New Roman" w:eastAsia="黑体"/>
          <w:b/>
          <w:i w:val="0"/>
          <w:sz w:val="24"/>
        </w:rPr>
        <w:t>稳定/动摇中东资本主义？约旦与黎巴嫩的基础设施、不平衡发展与人道—发展联结</w:t>
      </w:r>
    </w:p>
    <w:p>
      <w:r>
        <w:rPr>
          <w:rFonts w:ascii="Times New Roman" w:hAnsi="Times New Roman" w:eastAsia="宋体"/>
          <w:b w:val="0"/>
          <w:i/>
          <w:color w:val="404040"/>
          <w:sz w:val="20"/>
        </w:rPr>
        <w:t>De/stabilizing capitalism in the Middle East? Infrastructure, uneven development and the humanitarian-development nexus in Jordan and Lebanon</w:t>
      </w:r>
    </w:p>
    <w:p>
      <w:r>
        <w:rPr>
          <w:rFonts w:ascii="Times New Roman" w:hAnsi="Times New Roman" w:eastAsia="宋体"/>
          <w:b w:val="0"/>
          <w:i w:val="0"/>
          <w:color w:val="595959"/>
          <w:sz w:val="18"/>
        </w:rPr>
        <w:t>Lama Tawakkol（Department of European and International Studies, King’s College London）</w:t>
      </w:r>
    </w:p>
    <w:p>
      <w:r>
        <w:rPr>
          <w:rFonts w:ascii="Times New Roman" w:hAnsi="Times New Roman" w:eastAsia="宋体"/>
          <w:b w:val="0"/>
          <w:i w:val="0"/>
          <w:sz w:val="22"/>
        </w:rPr>
        <w:t>摘要：为应对叙利亚难民涌入约旦和黎巴嫩，西方捐助方已从紧急响应转向纳入发展捐助方与发展活动的“人道—发展联结”，旨在通过改善东道国基础设施与服务满足难民与东道国民众需求。尽管其为全球强迫流离失所提供可持续解决方案的承诺引人注目，作者通过历史考察质疑其发展主导方法的政治经济含义。将人道—发展联结置于应对中东资本主义挑战的努力中，作者认为它再生产了资本主义关系与全球不平衡发展，具有双重的稳定/去稳定含义：一方面，联结中的基础设施项目与融资机制便利了积累、服务捐助方与东道国的关键政治利益，同时再生产东道国对西方利益的从属；另一方面，这些项目虽暂时维持现状，却也加深了东道国内部的新自由主义改革与不平等，可能加剧对其统治阶级和西方资本主义利益的挑战。</w:t>
      </w:r>
    </w:p>
    <w:p>
      <w:r>
        <w:rPr>
          <w:rFonts w:ascii="Times New Roman" w:hAnsi="Times New Roman" w:eastAsia="宋体"/>
          <w:b w:val="0"/>
          <w:i w:val="0"/>
          <w:sz w:val="20"/>
        </w:rPr>
        <w:t>Responding to the Syrian refugee influx into Jordan and Lebanon, Western donors have shifted from an emergency response to a humanitarian-development nexus (HDN) that incorporates development donors and activities. The HDN aims to meet the needs of refugees and host populations by improving hosts’ infrastructure and services. While its promises for sustainable solutions to global forced displacement are compelling, I historically examine the HDN to question the political economic implications of its development-led approach. Situating the HDN within attempts to address challenges to capitalism in the Middle East, I argue that it reproduces capitalist relations and global uneven development with dually de/stabilizing implications. On the one hand, HDN infrastructure projects and financing mechanisms facilitate accumulation and serve key political interests for donors and host states, while reproducing hosts’ subordination to western interests. On the other hand, though they temporarily reproduce the status quo, these projects also deepen neoliberal reforms and inequalities within host states, potentially aggravating challenges to their ruling classes and western capitalist interests.</w:t>
      </w:r>
    </w:p>
    <w:p/>
    <w:p>
      <w:r>
        <w:rPr>
          <w:rFonts w:ascii="Times New Roman" w:hAnsi="Times New Roman" w:eastAsia="黑体"/>
          <w:b/>
          <w:i w:val="0"/>
          <w:sz w:val="24"/>
        </w:rPr>
        <w:t>在资本主义运动规律中定位种族：以次贷为例</w:t>
      </w:r>
    </w:p>
    <w:p>
      <w:r>
        <w:rPr>
          <w:rFonts w:ascii="Times New Roman" w:hAnsi="Times New Roman" w:eastAsia="宋体"/>
          <w:b w:val="0"/>
          <w:i/>
          <w:color w:val="404040"/>
          <w:sz w:val="20"/>
        </w:rPr>
        <w:t>Locating race in capitalism’s laws of motion: the case of subprime</w:t>
      </w:r>
    </w:p>
    <w:p>
      <w:r>
        <w:rPr>
          <w:rFonts w:ascii="Times New Roman" w:hAnsi="Times New Roman" w:eastAsia="宋体"/>
          <w:b w:val="0"/>
          <w:i w:val="0"/>
          <w:color w:val="595959"/>
          <w:sz w:val="18"/>
        </w:rPr>
        <w:t>Robert Knox（School of Law and Social Justice, University of Liverpool）；Mary Robertson（School of Business and Management, Queen Mary University of London）</w:t>
      </w:r>
    </w:p>
    <w:p>
      <w:r>
        <w:rPr>
          <w:rFonts w:ascii="Times New Roman" w:hAnsi="Times New Roman" w:eastAsia="宋体"/>
          <w:b w:val="0"/>
          <w:i w:val="0"/>
          <w:sz w:val="22"/>
        </w:rPr>
        <w:t>摘要：通过批判性地对话种族资本主义文献，本文质疑那些突出剥夺与种族主义历史连续性的次贷危机解释，认为它们最终将种族与金融视为偶然相关，未能把握支撑次贷危机的独特资本主义动态。基于以资本主义抽象化驱动解释种族的研究，作者提出一种次贷解释：种族是通过资本主义剥削及其更广泛运动规律运作的资本主义权力形式。就次贷而言，种族化的住房消费规范是劳动力价值不均衡分配的一个维度；生息资本对这些规范的改造使全球金融得以将种族化地租转化为虚拟资本。因此，种族的抽象既创造了积累机会，也帮助管理积累的不均衡形式。</w:t>
      </w:r>
    </w:p>
    <w:p>
      <w:r>
        <w:rPr>
          <w:rFonts w:ascii="Times New Roman" w:hAnsi="Times New Roman" w:eastAsia="宋体"/>
          <w:b w:val="0"/>
          <w:i w:val="0"/>
          <w:sz w:val="20"/>
        </w:rPr>
        <w:t>Through a critical engagement with the racial capitalism literature, this article problematizes interpretations of the subprime crisis that foreground expropriation and the historical continuity of racism on the grounds that they end up treating race and finance as contingently related and fail to capture the distinctly capitalist dynamics underpinning the subprime crisis. Building on scholarship that explains race in terms of capitalism’s abstractive drive, we advance an account of subprime in which race is a form of capitalist power that operates through capitalist exploitation and capitalism’s wider laws of motion. In the case of subprime specifically, racialized norms of housing consumption are a dimension of the uneven distribution of the value of labor power. The transformation of these norms by interest-bearing capital allowed global finance to convert racialized ground rents into fictitious capital. Abstractions of race therefore both created opportunities for accumulation and helped manage its uneven forms.</w:t>
      </w:r>
    </w:p>
    <w:p/>
    <w:p>
      <w:r>
        <w:rPr>
          <w:rFonts w:ascii="Times New Roman" w:hAnsi="Times New Roman" w:eastAsia="黑体"/>
          <w:b/>
          <w:i w:val="0"/>
          <w:sz w:val="24"/>
        </w:rPr>
        <w:t>公民对经济方略的反应：来自澳大利亚的证据</w:t>
      </w:r>
    </w:p>
    <w:p>
      <w:r>
        <w:rPr>
          <w:rFonts w:ascii="Times New Roman" w:hAnsi="Times New Roman" w:eastAsia="宋体"/>
          <w:b w:val="0"/>
          <w:i/>
          <w:color w:val="404040"/>
          <w:sz w:val="20"/>
        </w:rPr>
        <w:t>Citizen responses to economic statecraft: evidence from Australia</w:t>
      </w:r>
    </w:p>
    <w:p>
      <w:r>
        <w:rPr>
          <w:rFonts w:ascii="Times New Roman" w:hAnsi="Times New Roman" w:eastAsia="宋体"/>
          <w:b w:val="0"/>
          <w:i w:val="0"/>
          <w:color w:val="595959"/>
          <w:sz w:val="18"/>
        </w:rPr>
        <w:t>Benjamin Toettoe（Department of Political Science, University of Montreal）；Diya Jiang（Department of Political Science, McGill University）</w:t>
      </w:r>
    </w:p>
    <w:p>
      <w:r>
        <w:rPr>
          <w:rFonts w:ascii="Times New Roman" w:hAnsi="Times New Roman" w:eastAsia="宋体"/>
          <w:b w:val="0"/>
          <w:i w:val="0"/>
          <w:sz w:val="22"/>
        </w:rPr>
        <w:t>摘要：经济胁迫在世界舞台上日益常见，但目标国民众在态度层面如何回应仍研究不足。鉴于公众舆论对外交政策的约束作用，这一问题很重要。本文考察公民对胁迫发起国的立场如何受（1）对其经济后果的物质暴露和（2）关于该后果的信息影响。聚焦近期遭受中国胁迫性贸易措施的澳大利亚，作者将澳大利亚选举研究的观察性民调数据与2024年对2002名澳大利亚居民的原创实验结合，发现宽泛定义的本地贸易暴露几乎不会产生不同的胁迫后态度；相比之下，居住在高度暴露于被胁迫措施直接针对产业的社区的受访者，其威胁感知变化更明显。实验证据显示，强调经济后果的信息对威胁感知和对贸易多元化的支持有更强且更一致的影响。这表明评估各国对经济胁迫的反应时，国内媒体与政治叙事应与物质经济影响同样受到重视。</w:t>
      </w:r>
    </w:p>
    <w:p>
      <w:r>
        <w:rPr>
          <w:rFonts w:ascii="Times New Roman" w:hAnsi="Times New Roman" w:eastAsia="宋体"/>
          <w:b w:val="0"/>
          <w:i w:val="0"/>
          <w:sz w:val="20"/>
        </w:rPr>
        <w:t>Economic coercion has become an increasingly common occurrence on the world stage. However, how targeted populations respond to it in the attitudinal realm remains understudied. This is problematic given the constraining effects of public opinion over foreign policy. In this article, we examine how citizens’ stances toward the state initiating coercion are shaped by (1) material exposure to its economic fallout and (2) information regarding that fallout. Focusing on Australia, a recent target of coercive trade measures implemented by China, we combine observational public opinion survey data collected by the Australian Election Study (AES) with an original experiment carried out on 2,002 Australian residents in 2024. We find limited evidence that broadly defined local trade exposure generates divergent post-coercion attitudes. By contrast, clearer shifts in threat perceptions emerge among respondents residing in communities highly exposed to industries directly targeted by coercive measures. Experimental evidence shows that information highlighting economic consequences exerts a stronger and more consistent influence on threat perceptions and support for trade diversification. This suggests that, when trying to gauge countries’ responses to economic coercion, domestic media and political narratives should be assessed as much as material economic impacts.</w:t>
      </w:r>
    </w:p>
    <w:p/>
    <w:p>
      <w:r>
        <w:rPr>
          <w:rFonts w:ascii="Times New Roman" w:hAnsi="Times New Roman" w:eastAsia="黑体"/>
          <w:b/>
          <w:i w:val="0"/>
          <w:sz w:val="24"/>
        </w:rPr>
        <w:t>无限镜像与双重空间：全球品牌政治经济学批判</w:t>
      </w:r>
    </w:p>
    <w:p>
      <w:r>
        <w:rPr>
          <w:rFonts w:ascii="Times New Roman" w:hAnsi="Times New Roman" w:eastAsia="宋体"/>
          <w:b w:val="0"/>
          <w:i/>
          <w:color w:val="404040"/>
          <w:sz w:val="20"/>
        </w:rPr>
        <w:t>Infinity mirrors and double spaces: for a critique of the political economy of global branding</w:t>
      </w:r>
    </w:p>
    <w:p>
      <w:r>
        <w:rPr>
          <w:rFonts w:ascii="Times New Roman" w:hAnsi="Times New Roman" w:eastAsia="宋体"/>
          <w:b w:val="0"/>
          <w:i w:val="0"/>
          <w:color w:val="595959"/>
          <w:sz w:val="18"/>
        </w:rPr>
        <w:t>Isleide Arruda Fontenelle（Department of Social and Legal Sciences, Fundação Getulio Vargas (FGV EAESP)）；Erica Souza Siqueira（Department of Technology and Data Science, Fundação Getulio Vargas (FGV EAESP)）</w:t>
      </w:r>
    </w:p>
    <w:p>
      <w:r>
        <w:rPr>
          <w:rFonts w:ascii="Times New Roman" w:hAnsi="Times New Roman" w:eastAsia="宋体"/>
          <w:b w:val="0"/>
          <w:i w:val="0"/>
          <w:sz w:val="22"/>
        </w:rPr>
        <w:t>摘要：在国际政治经济学中，品牌出现在关于无形资产、管理主义、供应链治理、价值获取与隐性成本的讨论中，但其在全球组织价值中的作用仍属次要。本文提出对全球品牌政治经济学的批判，认为全球品牌通过品牌资本向商业资本、不变资本、虚拟资本与新殖民资本四种形式的变形在全球组织价值。这些变形产生一种“无限镜像”的镜面动态，放大了价值生产与实现在时空上的距离与复杂性。基于马克思主义价值理论，借鉴哈维的价值关系时空观，并与认为金融资本溢入其他资本形式的谢奈对话，作者通过国际政治经济学与商业管理文献中的经验案例发展品牌资本变形分析框架。</w:t>
      </w:r>
    </w:p>
    <w:p>
      <w:r>
        <w:rPr>
          <w:rFonts w:ascii="Times New Roman" w:hAnsi="Times New Roman" w:eastAsia="宋体"/>
          <w:b w:val="0"/>
          <w:i w:val="0"/>
          <w:sz w:val="20"/>
        </w:rPr>
        <w:t>In International Political Economy (IPE), brands appear across debates on intangible assets, managerialism, supply-chain governance, value capture, and hidden costs; yet, their role in organizing value globally remains secondary. This article advances a critique of the political economy of global branding, arguing that global branding organizes value worldwide through the metamorphoses of brand capital into four forms: commercial, constant, fictitious, and neocolonial. These metamorphoses generate a specular ‘infinite mirrors’ dynamic that magnifies the distance and complexity between the production and realization of value across space and time. Grounded in Marxist value theory and drawing on Harvey’s relational space-time of value, and in dialogue with François Chesnais, who contended that financial capital overflows into other forms of capital, we develop an analytical framework of brand capital metamorphosis through empirical cases from IPE and Business and Management literature. The article’s contribution to IPE is twofold: It centers global branding as a mechanism of value organization that connects dispersed debates into a processual account of capital’s movement, and it offers an analytical tool for examining supply chains, digital platforms, and extractive sectors, revealing mechanisms of valorization and the tensions that sustain accumulation.</w:t>
      </w:r>
    </w:p>
    <w:p/>
    <w:p>
      <w:r>
        <w:rPr>
          <w:rFonts w:ascii="Times New Roman" w:hAnsi="Times New Roman" w:eastAsia="黑体"/>
          <w:b/>
          <w:i w:val="0"/>
          <w:sz w:val="24"/>
        </w:rPr>
        <w:t>制造业重要吗？光伏产业中的外国投资与本地关联</w:t>
      </w:r>
    </w:p>
    <w:p>
      <w:r>
        <w:rPr>
          <w:rFonts w:ascii="Times New Roman" w:hAnsi="Times New Roman" w:eastAsia="宋体"/>
          <w:b w:val="0"/>
          <w:i/>
          <w:color w:val="404040"/>
          <w:sz w:val="20"/>
        </w:rPr>
        <w:t>Does manufacturing matter? Foreign investment and local linkages in the solar industry</w:t>
      </w:r>
    </w:p>
    <w:p>
      <w:r>
        <w:rPr>
          <w:rFonts w:ascii="Times New Roman" w:hAnsi="Times New Roman" w:eastAsia="宋体"/>
          <w:b w:val="0"/>
          <w:i w:val="0"/>
          <w:color w:val="595959"/>
          <w:sz w:val="18"/>
        </w:rPr>
        <w:t>Ishana Ratan（Department of Political Science, University of Mississippi）</w:t>
      </w:r>
    </w:p>
    <w:p>
      <w:r>
        <w:rPr>
          <w:rFonts w:ascii="Times New Roman" w:hAnsi="Times New Roman" w:eastAsia="宋体"/>
          <w:b w:val="0"/>
          <w:i w:val="0"/>
          <w:sz w:val="22"/>
        </w:rPr>
        <w:t>摘要：中美贸易战为发展中国家吸引光伏制造外资创造了新机遇——光伏制造历史上集中于美国、德国和中国。为规避美国和欧盟对光伏组件进口的关税，中国将光伏组件制造转移至东南亚。可再生能源制造业投资为发展中国家同时实现脱碳与进入全球价值链提供了机会，但光伏制造转移是否为接受外资的国家创造了本地关联？本文评估可再生能源制造业为何难以创造本地关联。利用双边光伏组件贸易数据、对马来西亚本地企业的访谈以及本地光伏安装的空间模式，作者发现中国生产转移对本地供应商后向关联或本地光伏安装均无影响：在马来西亚组装的中国组件使用进口零部件并出口至西方国家，而马来西亚光伏项目业主则从中国大陆进口组件。唯一的本地关联是工厂本身对当地人的直接雇佣。这对强调生产本地化促进下游市场增长的绿色产业政策研究提出了质疑。</w:t>
      </w:r>
    </w:p>
    <w:p>
      <w:r>
        <w:rPr>
          <w:rFonts w:ascii="Times New Roman" w:hAnsi="Times New Roman" w:eastAsia="宋体"/>
          <w:b w:val="0"/>
          <w:i w:val="0"/>
          <w:sz w:val="20"/>
        </w:rPr>
        <w:t>The US-China trade war created new opportunities for developing countries to attract foreign investment in solar manufacturing, historically concentrated in the United States, Germany, and China. To avoid United States and European Union tariffs on solar panel imports, China shifted solar panel manufacturing abroad to Southeast Asia. Renewable energy manufacturing investment provides an opportunity for developing countries to both decarbonize and enter global value chains. But does solar manufacturing relocation create local linkages for countries that receive FDI? This paper evaluates how and why renewable energy manufacturing struggles to create local linkages. Drawing upon bilateral solar panel trade data, interviews with local Malaysian firms, and spatial patterns in local solar installation, I find that Chinese production relocation had no effect on either backward linkages with local suppliers or local solar installation. Rather, Chinese panels assembled in Malaysia utilize imported components and are destined for export to Western countries. Instead, Malaysian solar project owners import panels from mainland China. The only local linkage lies in the direct employment of locals among the manufacturing facilities themselves. This calls into question existing green industrial policy scholarship that emphasizes the localization of production for downstream market growth.</w:t>
      </w:r>
    </w:p>
    <w:p/>
    <w:p>
      <w:r>
        <w:rPr>
          <w:rFonts w:ascii="Times New Roman" w:hAnsi="Times New Roman" w:eastAsia="黑体"/>
          <w:b/>
          <w:i w:val="0"/>
          <w:sz w:val="24"/>
        </w:rPr>
        <w:t>作为（反）霸权策略的制度叠加：解析中国全球发展倡议</w:t>
      </w:r>
    </w:p>
    <w:p>
      <w:r>
        <w:rPr>
          <w:rFonts w:ascii="Times New Roman" w:hAnsi="Times New Roman" w:eastAsia="宋体"/>
          <w:b w:val="0"/>
          <w:i/>
          <w:color w:val="404040"/>
          <w:sz w:val="20"/>
        </w:rPr>
        <w:t>Institutional layering as (counter-)hegemonic strategy: unpacking China’s global development initiative</w:t>
      </w:r>
    </w:p>
    <w:p>
      <w:r>
        <w:rPr>
          <w:rFonts w:ascii="Times New Roman" w:hAnsi="Times New Roman" w:eastAsia="宋体"/>
          <w:b w:val="0"/>
          <w:i w:val="0"/>
          <w:color w:val="595959"/>
          <w:sz w:val="18"/>
        </w:rPr>
        <w:t>Jack Taggart（School of History, Anthropology, Philosophy and Politics, Queen’s University）；Han Cheng（Max Planck Institute for the History of Science）；Sebastian Haug（German Institute of Development and Sustainability）</w:t>
      </w:r>
    </w:p>
    <w:p>
      <w:r>
        <w:rPr>
          <w:rFonts w:ascii="Times New Roman" w:hAnsi="Times New Roman" w:eastAsia="宋体"/>
          <w:b w:val="0"/>
          <w:i w:val="0"/>
          <w:sz w:val="22"/>
        </w:rPr>
        <w:t>摘要：中华人民共和国近年宣布了多项全球治理倡议，其中全球发展倡议居首。该倡议于2021年提出，既嵌入联合国围绕可持续发展目标的框架之中，又被认为推进与中国更广泛世界秩序愿景一致的“真正的多边主义”。由此，全球发展倡议使对中国参与全球治理的“维持现状”与“修正主义”两种解读以及细化这一二分法的努力都变得复杂。结合历史制度主义与新葛兰西主义政治经济学，作者认为全球发展倡议构成一种“制度叠加”，是更广泛反霸权战略的组成部分：中国并不取代既有框架，而是在其中嵌入新的实践、原则与联盟，以推进其物质、观念与组织利益。作者展示全球发展倡议如何作为“阵地战”中低成本、低风险的组成部分，借助联合国合法性逐步争夺自由主义规范，并评估其改变全球（发展）治理性质的潜力。</w:t>
      </w:r>
    </w:p>
    <w:p>
      <w:r>
        <w:rPr>
          <w:rFonts w:ascii="Times New Roman" w:hAnsi="Times New Roman" w:eastAsia="宋体"/>
          <w:b w:val="0"/>
          <w:i w:val="0"/>
          <w:sz w:val="20"/>
        </w:rPr>
        <w:t>The People’s Republic of China has recently announced several global governance initiatives, with the Global Development Initiative (GDI) at the forefront. Launched in 2021, the GDI is simultaneously embedded within United Nations (UN) frameworks surrounding the Sustainable Development Goals and supposed to advance ‘true multilateralism’ aligned with China’s broader vision for world order. In doing so, the GDI complicates both ‘status quo’ and ‘revisionist’ interpretations of China’s engagement with global governance, alongside efforts to refine this binary. Bridging historical institutionalism and Neo-Gramscian political economy, we argue that the GDI constitutes a form of ‘institutional layering’ that serves as a component of a broader counter-hegemonic strategy: Rather than displacing existing frameworks, China seeks to embed new practices, principles, and alliances within them to advance its material, ideational, and organizational interests. We demonstrate how the GDI functions as a low-cost, low-risk component of a ‘war of position’ that leverages UN legitimacy while incrementally contesting liberal norms and assess its transformative potential for altering the nature of global (development) governance.</w:t>
      </w:r>
    </w:p>
    <w:p/>
    <w:p>
      <w:r>
        <w:rPr>
          <w:rFonts w:ascii="Times New Roman" w:hAnsi="Times New Roman" w:eastAsia="黑体"/>
          <w:b/>
          <w:i w:val="0"/>
          <w:sz w:val="24"/>
        </w:rPr>
        <w:t>教学多样性、国际政治经济学与发展研究：探索学术依附的全球趋势</w:t>
      </w:r>
    </w:p>
    <w:p>
      <w:r>
        <w:rPr>
          <w:rFonts w:ascii="Times New Roman" w:hAnsi="Times New Roman" w:eastAsia="宋体"/>
          <w:b w:val="0"/>
          <w:i/>
          <w:color w:val="404040"/>
          <w:sz w:val="20"/>
        </w:rPr>
        <w:t>Pedagogical diversity, international political economy and development studies: exploring global trends in academic dependency</w:t>
      </w:r>
    </w:p>
    <w:p>
      <w:r>
        <w:rPr>
          <w:rFonts w:ascii="Times New Roman" w:hAnsi="Times New Roman" w:eastAsia="宋体"/>
          <w:b w:val="0"/>
          <w:i w:val="0"/>
          <w:color w:val="595959"/>
          <w:sz w:val="18"/>
        </w:rPr>
        <w:t>Nathan Andrews（Department of Political Science, McMaster University; German Institute for Global and Area Studies）；Sharon Peralta（Mitacs Globalink Research Internship Program, McMaster University）；Thomas Lewis（Mitacs Globalink Research Internship Program, McMaster University）</w:t>
      </w:r>
    </w:p>
    <w:p>
      <w:r>
        <w:rPr>
          <w:rFonts w:ascii="Times New Roman" w:hAnsi="Times New Roman" w:eastAsia="宋体"/>
          <w:b w:val="0"/>
          <w:i w:val="0"/>
          <w:sz w:val="22"/>
        </w:rPr>
        <w:t>摘要：在高等教育情境中，社交媒体“#代表性很重要”的呼吁表明需要确保学生接触多样化的学者，并消除导致排斥的做法。这一呼吁支撑了本文所依托的试点项目，其通过考察课程大纲内容，探讨两个社会科学学科中学科或教学多样性的性质与范围。作者从世界五个地区（非洲、亚太与大洋洲、欧洲、北美、南美/拉美）的一流大学收集分析了157份本科与研究生课程大纲，聚焦国际政治经济学与发展研究，关注性别、地域/机构归属以及族裔/种族三类多样性。证据表明两个领域都是以白人男性为主导的社会科学，仅有少数重要女性人物；所有大纲中被广泛引用的学者多数隶属北美和欧洲机构，表明英美作者作为“关键思想家”乃至“奠基人”的持续主导。</w:t>
      </w:r>
    </w:p>
    <w:p>
      <w:r>
        <w:rPr>
          <w:rFonts w:ascii="Times New Roman" w:hAnsi="Times New Roman" w:eastAsia="宋体"/>
          <w:b w:val="0"/>
          <w:i w:val="0"/>
          <w:sz w:val="20"/>
        </w:rPr>
        <w:t>Within higher education contexts, the social media call that #RepresentationMatters signals the need to ensure that students encounter a diverse range of scholars and that practices contributing to the exclusion of people are eradicated. This call underpins the pilot project that informs this paper, which sought to explore the nature and scope of disciplinary or pedagogical diversity in two social science disciplines by examining the contents of course syllabi. We retrieved and analyzed a total of 157 undergraduate and graduate syllabi from leading universities in five regions of the world (i.e. Africa, Asia-Pacific and Oceania, Europe, North America, South/Latin America). Focusing on International Political Economy and Development Studies, this paper highlights three main categories of diversity, including gender, geographical/institutional affiliation, and ethnicity/race. The evidence indicates a white man’s social science with a few key female figures across both fields examined. Majority of the widely cited scholars across all syllabi are also affiliated with academic institutions in North America and Europe, pointing to the persistent dominance of Anglo-American authors as ‘key thinkers’ or even ‘founding fathers’. Overall, this pedagogical intervention contributes to ongoing scholarly discussions around the epistemic hegemony inherent in global knowledge production and highlights the need for further action.</w:t>
      </w:r>
    </w:p>
    <w:p/>
    <w:p>
      <w:r>
        <w:rPr>
          <w:rFonts w:ascii="Times New Roman" w:hAnsi="Times New Roman" w:eastAsia="宋体"/>
          <w:b/>
          <w:i w:val="0"/>
          <w:sz w:val="22"/>
        </w:rPr>
        <w:t>RIPE： Vol. 33, No. 3, 2026</w:t>
      </w:r>
    </w:p>
    <w:p/>
    <w:p>
      <w:r>
        <w:rPr>
          <w:rFonts w:ascii="Times New Roman" w:hAnsi="Times New Roman" w:eastAsia="黑体"/>
          <w:b/>
          <w:i w:val="0"/>
          <w:sz w:val="24"/>
        </w:rPr>
        <w:t>来自底层的权力：重新思考全球价值链中的议价能力</w:t>
      </w:r>
    </w:p>
    <w:p>
      <w:r>
        <w:rPr>
          <w:rFonts w:ascii="Times New Roman" w:hAnsi="Times New Roman" w:eastAsia="宋体"/>
          <w:b w:val="0"/>
          <w:i/>
          <w:color w:val="404040"/>
          <w:sz w:val="20"/>
        </w:rPr>
        <w:t>Power from below: rethinking bargaining power in global value chains</w:t>
      </w:r>
    </w:p>
    <w:p>
      <w:r>
        <w:rPr>
          <w:rFonts w:ascii="Times New Roman" w:hAnsi="Times New Roman" w:eastAsia="宋体"/>
          <w:b w:val="0"/>
          <w:i w:val="0"/>
          <w:color w:val="595959"/>
          <w:sz w:val="18"/>
        </w:rPr>
        <w:t>Caroline Hambloch（Department of Southeast Asian Studies, University of Bonn）；Claudia Coral（Department of Agricultural Economics, Humboldt-Universität zu Berlin）；Guido Maschhaupt（International Institute of Social Studies, Erasmus University Rotterdam）；Dagmar Mithöfer（Department Department of Agricultural Economics, Humboldt-Universität zu Berlin）</w:t>
      </w:r>
    </w:p>
    <w:p>
      <w:r>
        <w:rPr>
          <w:rFonts w:ascii="Times New Roman" w:hAnsi="Times New Roman" w:eastAsia="宋体"/>
          <w:b w:val="0"/>
          <w:i w:val="0"/>
          <w:sz w:val="22"/>
        </w:rPr>
        <w:t>摘要：从属性纳入是全球价值链的内在组成部分，支撑着更广泛的不平衡发展动态。本文提出一个有理论基础的概念框架，考察全球南方小农如何通过“来自底层的权力”应对和挑战从属性纳入。它综合全球价值链权力文献、权力资源方法和批判农业研究的见解，将全球价值链重构为竞争空间，其中底层权力与上层权力共同构成治理、价值分配与升级轨迹。本文以议价能力概念为中心，探讨从属行为体如何利用个体、结构、联合与制度权力来源，在面对对立行为体议价能力和结构约束的情况下重新谈判其纳入条件。菲律宾棕榈油价值链和厄瓜多尔香蕉价值链的案例展示了小农如何发挥影响、重新谈判买方关系，凸显其议价能力性质与来源的演变。</w:t>
      </w:r>
    </w:p>
    <w:p>
      <w:r>
        <w:rPr>
          <w:rFonts w:ascii="Times New Roman" w:hAnsi="Times New Roman" w:eastAsia="宋体"/>
          <w:b w:val="0"/>
          <w:i w:val="0"/>
          <w:sz w:val="20"/>
        </w:rPr>
        <w:t>Subordinate inclusion is integral to global value chains (GVCs), underpinning broader dynamics of uneven development. This paper presents a theoretically grounded conceptual framework to examine how small-scale farmers in the global south navigate and challenge subordinate inclusion through power from below. It synthesizes insights from the literatures on power in GVCs, the power resources approach, and critical agrarian studies to recast GVCs as contested spaces in which power from below and power from above co-constitute governance, value distribution, and upgrading trajectories. This paper centralizes the concept of bargaining power to explore how subordinate actors leverage individual, structural, associational, and institutional sources of power to renegotiate the terms of their inclusion in relation to the bargaining power of antagonistic actors and in spite of structural constraints. Case studies from the palm oil GVC in the Philippines and the banana GVC in Ecuador illustrate how small-scale farmers assert influence and renegotiate buyer relationships, highlighting the evolving nature and sources of their bargaining power. By shifting the analytical gaze to subordinate actors as co-constitutive of GVC relations and dynamics, this paper contributes to a more emancipatory understanding of GVC participation and the potential for marginalized actors to reshape global production systems from below.</w:t>
      </w:r>
    </w:p>
    <w:p/>
    <w:p>
      <w:r>
        <w:rPr>
          <w:rFonts w:ascii="Times New Roman" w:hAnsi="Times New Roman" w:eastAsia="黑体"/>
          <w:b/>
          <w:i w:val="0"/>
          <w:sz w:val="24"/>
        </w:rPr>
        <w:t>布雷顿森林的汲取性基础：黄金、种族隔离与货币秩序的种族政治</w:t>
      </w:r>
    </w:p>
    <w:p>
      <w:r>
        <w:rPr>
          <w:rFonts w:ascii="Times New Roman" w:hAnsi="Times New Roman" w:eastAsia="宋体"/>
          <w:b w:val="0"/>
          <w:i/>
          <w:color w:val="404040"/>
          <w:sz w:val="20"/>
        </w:rPr>
        <w:t>The extractive foundations of Bretton Woods: gold, apartheid, and the racial politics of monetary order</w:t>
      </w:r>
    </w:p>
    <w:p>
      <w:r>
        <w:rPr>
          <w:rFonts w:ascii="Times New Roman" w:hAnsi="Times New Roman" w:eastAsia="宋体"/>
          <w:b w:val="0"/>
          <w:i w:val="0"/>
          <w:color w:val="595959"/>
          <w:sz w:val="18"/>
        </w:rPr>
        <w:t>Jeremy Green（Department of Politics and International Studies, University of Cambridge）</w:t>
      </w:r>
    </w:p>
    <w:p>
      <w:r>
        <w:rPr>
          <w:rFonts w:ascii="Times New Roman" w:hAnsi="Times New Roman" w:eastAsia="宋体"/>
          <w:b w:val="0"/>
          <w:i w:val="0"/>
          <w:sz w:val="22"/>
        </w:rPr>
        <w:t>摘要：本文重新审视黄金在布雷顿森林体系中的作用，助力发展一种更全球化、主题更具包容性的国际政治经济学。作者挑战关于黄金问题的主流表述，通过聚焦南非金矿开采的种族政治揭示布雷顿森林的隐性汲取基础。结合汲取主义理论与新的档案研究，作者重访战后货币政治的两个片段，揭示汲取、种族与货币秩序之间的隐秘联系。作者认为布雷顿森林体系下国际流动性、货币稳定与经济扩张的关系取决于种族隔离南非的黄金供应，使殖民的种族汲取主义延续进战后货币秩序；1960年代南非黄金对国际货币稳定的重要性与种族隔离的残暴同步上升，使黄金供应的汲取基础从自然化的背景条件转变为连接国际货币稳定政治与种族平等的核心关切。作者提出“货币肤色线”概念，追踪汲取、种族与货币等级在布雷顿森林下的交汇。</w:t>
      </w:r>
    </w:p>
    <w:p>
      <w:r>
        <w:rPr>
          <w:rFonts w:ascii="Times New Roman" w:hAnsi="Times New Roman" w:eastAsia="宋体"/>
          <w:b w:val="0"/>
          <w:i w:val="0"/>
          <w:sz w:val="20"/>
        </w:rPr>
        <w:t>This article revisits gold’s role within Bretton Woods, contributing to recent efforts to develop a more global and thematically inclusive international political economy (IPE). Challenging dominant representations of the gold issue, I foreground Bretton Woods’ hidden extractive foundations through a focus on the racial politics of South African gold mining. Combining theories of extractivism with new archival research, I revisit two episodes of postwar monetary politics to uncover hidden connections between extraction, race, and ­monetary order. I argue that the relationship between international liquidity, monetary stability, and economic expansion under Bretton Woods pivoted on gold ­supply from Apartheid South Africa, threading colonial continuities of racial extractivism through postwar monetary order. South African gold’s importance to international monetary stability rose in tandem with the racial brutality of Apartheid during the 1960s, transforming the extractivist foundations of gold supply from a naturalized background condition to a central concern linking the politics of international monetary stability and racial equality. I develop the concept of the ‘monetary color line’ to trace how extractive, racial, and monetary hierarchies intersected under Bretton Woods. I show how leveraging contemporary concerns with race and extractivism disrupts settled historical understandings of IPE.</w:t>
      </w:r>
    </w:p>
    <w:p/>
    <w:p>
      <w:r>
        <w:rPr>
          <w:rFonts w:ascii="Times New Roman" w:hAnsi="Times New Roman" w:eastAsia="黑体"/>
          <w:b/>
          <w:i w:val="0"/>
          <w:sz w:val="24"/>
        </w:rPr>
        <w:t>同意的建筑：福特基金会、“智识灌溉”与印度新自由主义转型的形成</w:t>
      </w:r>
    </w:p>
    <w:p>
      <w:r>
        <w:rPr>
          <w:rFonts w:ascii="Times New Roman" w:hAnsi="Times New Roman" w:eastAsia="宋体"/>
          <w:b w:val="0"/>
          <w:i/>
          <w:color w:val="404040"/>
          <w:sz w:val="20"/>
        </w:rPr>
        <w:t>The architecture of consent: the Ford Foundation, ‘brain irrigation’, and the making of India’s neoliberal transition</w:t>
      </w:r>
    </w:p>
    <w:p>
      <w:r>
        <w:rPr>
          <w:rFonts w:ascii="Times New Roman" w:hAnsi="Times New Roman" w:eastAsia="宋体"/>
          <w:b w:val="0"/>
          <w:i w:val="0"/>
          <w:color w:val="595959"/>
          <w:sz w:val="18"/>
        </w:rPr>
        <w:t>Inderjeet Parmar（Department of International Politics, School of Policy and Global Affairs, City St George’s, University of London）；Atul Bhardwaj（Department of International Politics, School of Policy and Global Affairs, City St George’s, University of London）</w:t>
      </w:r>
    </w:p>
    <w:p>
      <w:r>
        <w:rPr>
          <w:rFonts w:ascii="Times New Roman" w:hAnsi="Times New Roman" w:eastAsia="宋体"/>
          <w:b w:val="0"/>
          <w:i w:val="0"/>
          <w:sz w:val="22"/>
        </w:rPr>
        <w:t>摘要：印度从国家主导、内向型经济转向融入全球市场，常被解释为宏观经济危机与“许可证统治”的失败。作者认为危机虽是触发因素，但印度自由化的形式与韧性是由一项长达数十年的精英知识网络构建与准备工程塑造的。作者突出福特基金会的作用，将其影响概念化为建设“智识灌溉”的制度能力——一种葛兰西式的霸权网络构建、观念转移与精英培育过程，使自由主义经济思想成为“常识”。通过1952—1992年的重大资助，福特基金会与布雷顿森林伙伴一道支持在德里经济学院、多所印度管理学院等机构培养印度经济学家骨干。帕特尔、阿卢瓦利亚、巴格瓦蒂、辛格等人组成的精英网络在1966年贬值、1980年代亲商转向和1991年改革等关键事件中发挥关键作用，并通过缓和印度在国际经济新秩序问题上的立场推动了自由化。利用原创档案，作者表明福特的长期精英网络投资并未“导致”自由化，但提供了使本土主导、可持续的市场转向成为可能的关键知识基础设施。</w:t>
      </w:r>
    </w:p>
    <w:p>
      <w:r>
        <w:rPr>
          <w:rFonts w:ascii="Times New Roman" w:hAnsi="Times New Roman" w:eastAsia="宋体"/>
          <w:b w:val="0"/>
          <w:i w:val="0"/>
          <w:sz w:val="20"/>
        </w:rPr>
        <w:t>India’s transition from a statist, inward-oriented economy to one integrated with global markets is often explained by macroeconomic crisis and the failure of ‘license raj’. We argue that while crisis was the trigger, the form and resilience of India’s liberalization were shaped by a decades-long project of elite knowledge network formation and preparation. Foregrounding the role of the Ford Foundation (FF), we conceptualize its influence as building the institutional capacity for ‘brain irrigation’ – a Gramscian process of hegemonic network construction, ideational transfer, and elite cultivation that naturalized liberal economic thought as ‘common sense’. Through major grants (1952–1992), Ford, alongside Bretton Woods partners, supported the development of a cadre of Indian economists at institutions (including Delhi School of Economics, numerous Indian IIMs). This elite network, with figures like Patel, Ahluwalia, Bhagwati, and Singh, played pivotal roles in key episodes: 1966 devaluation, pro-business shifts in the 1980s, and 1991 reforms. Crucially, they also helped promote the move to liberalization by moderating India’s stance on the New International Economic Order (NIEO). Using original archival records, we demonstrate how Ford’s long-term elite network investment did not cause liberalization but provided the critical knowledge infrastructure that made a domestically-owned, sustainable market turn possible.</w:t>
      </w:r>
    </w:p>
    <w:p/>
    <w:p>
      <w:r>
        <w:rPr>
          <w:rFonts w:ascii="Times New Roman" w:hAnsi="Times New Roman" w:eastAsia="黑体"/>
          <w:b/>
          <w:i w:val="0"/>
          <w:sz w:val="24"/>
        </w:rPr>
        <w:t>资本主义多样性的历史起源：第一波全球化中国际贸易如何塑造市场经济</w:t>
      </w:r>
    </w:p>
    <w:p>
      <w:r>
        <w:rPr>
          <w:rFonts w:ascii="Times New Roman" w:hAnsi="Times New Roman" w:eastAsia="宋体"/>
          <w:b w:val="0"/>
          <w:i/>
          <w:color w:val="404040"/>
          <w:sz w:val="20"/>
        </w:rPr>
        <w:t>The historical origins of the varieties of capitalism: how international trade shaped market economies during the first wave of globalization</w:t>
      </w:r>
    </w:p>
    <w:p>
      <w:r>
        <w:rPr>
          <w:rFonts w:ascii="Times New Roman" w:hAnsi="Times New Roman" w:eastAsia="宋体"/>
          <w:b w:val="0"/>
          <w:i w:val="0"/>
          <w:color w:val="595959"/>
          <w:sz w:val="18"/>
        </w:rPr>
        <w:t>Martín Cortina-Escudero（Department of Political Science, Paris Lodron University of Salzburg）</w:t>
      </w:r>
    </w:p>
    <w:p>
      <w:r>
        <w:rPr>
          <w:rFonts w:ascii="Times New Roman" w:hAnsi="Times New Roman" w:eastAsia="宋体"/>
          <w:b w:val="0"/>
          <w:i w:val="0"/>
          <w:sz w:val="22"/>
        </w:rPr>
        <w:t>摘要：我们知道资本主义呈现出不同形态，但这些差异是如何产生的？本文借助资本主义多样性框架理解当今世界各地区市场经济的差异，认为第一波全球化期间的国际贸易对造成地区间经济分化至关重要：19世纪的国际分工以不同方式影响各地区。在北美，贸易体系促进了以出口农产品为中心的经济，导致自由市场经济模式；在欧洲大陆，贸易体系促进了以出口工业品为中心的经济，形成协调市场经济模式；在拉丁美洲，贸易体系鼓励以出口原材料为基础的经济，形成等级市场经济模式。作者通过三个历史案例详细阐述这些机制。</w:t>
      </w:r>
    </w:p>
    <w:p>
      <w:r>
        <w:rPr>
          <w:rFonts w:ascii="Times New Roman" w:hAnsi="Times New Roman" w:eastAsia="宋体"/>
          <w:b w:val="0"/>
          <w:i w:val="0"/>
          <w:sz w:val="20"/>
        </w:rPr>
        <w:t>We know that capitalism manifests in different ways, but how did these differences arise? This paper draws on the Varieties of Capitalism (VoC) framework to understand how market economies differ across regions of the world today. In this paper, I argue that international trade during the first wave of globalization was fundamental in creating economic divergence across regions. Specifically, I contend that the international division of labor in the nineteenth century influenced regions in distinct ways. In North America, this trade system fostered an economy focused on agricultural products for the export market, which led to the development of a Liberal Market Economy (LME) model. In Continental Europe, the trade system promoted an economy centered on industrial goods for export, leading to the emergence of a Coordinated Market Economy (CME) model. In Latin America, the trade system encouraged an economy based on raw materials for export, resulting in the formation of a Hierarchical Market Economy (HME) model. Through three historical case studies, I provide a detailed account of these mechanisms and show that adopting an international perspective yields a deeper understanding of the emergence of national economic systems.</w:t>
      </w:r>
    </w:p>
    <w:p/>
    <w:p>
      <w:r>
        <w:rPr>
          <w:rFonts w:ascii="Times New Roman" w:hAnsi="Times New Roman" w:eastAsia="黑体"/>
          <w:b/>
          <w:i w:val="0"/>
          <w:sz w:val="24"/>
        </w:rPr>
        <w:t>金融方略的制度基础：欧盟对乌克兰及其他国家的援助</w:t>
      </w:r>
    </w:p>
    <w:p>
      <w:r>
        <w:rPr>
          <w:rFonts w:ascii="Times New Roman" w:hAnsi="Times New Roman" w:eastAsia="宋体"/>
          <w:b w:val="0"/>
          <w:i/>
          <w:color w:val="404040"/>
          <w:sz w:val="20"/>
        </w:rPr>
        <w:t>Institutional foundations of financial statecraft: EU assistance to Ukraine and beyond</w:t>
      </w:r>
    </w:p>
    <w:p>
      <w:r>
        <w:rPr>
          <w:rFonts w:ascii="Times New Roman" w:hAnsi="Times New Roman" w:eastAsia="宋体"/>
          <w:b w:val="0"/>
          <w:i w:val="0"/>
          <w:color w:val="595959"/>
          <w:sz w:val="18"/>
        </w:rPr>
        <w:t>Lukas Spielberger（Department of Social Sciences, University of Luxembourg, Esch-sur-Alzette, Luxembourg and Centre of Security, Diplomacy and Strategy, Vrije Universiteit Brussel）；Moritz Rehm（Department of European Social Research, University of Saarland）</w:t>
      </w:r>
    </w:p>
    <w:p>
      <w:r>
        <w:rPr>
          <w:rFonts w:ascii="Times New Roman" w:hAnsi="Times New Roman" w:eastAsia="宋体"/>
          <w:b w:val="0"/>
          <w:i w:val="0"/>
          <w:sz w:val="22"/>
        </w:rPr>
        <w:t>摘要：自俄罗斯全面入侵以来，欧盟成为乌克兰政府最大的资金支持提供者，挑战了关于其在国际事务中缺乏金融影响力的普遍看法。本文解释欧盟如何确立自身作为大规模金融援助提供者的地位，并以历史制度主义框架对比委托—代理路径进行检验。作者认为，在“下一代欧盟”背景下对欧盟公共财政的技术性调整，是2022年欧盟对外金融援助框架改革的关键前因。这些变化使欧盟能够提供更多、条件更优惠、更自主且附带更多政治条件的金融援助；这些调整随后在欧盟对其他第三国的贷款中被复制，表明欧盟更广泛地转型为能够实施金融方略的行为体。</w:t>
      </w:r>
    </w:p>
    <w:p>
      <w:r>
        <w:rPr>
          <w:rFonts w:ascii="Times New Roman" w:hAnsi="Times New Roman" w:eastAsia="宋体"/>
          <w:b w:val="0"/>
          <w:i w:val="0"/>
          <w:sz w:val="20"/>
        </w:rPr>
        <w:t>The European Union’s (EU) role as the largest provider of financial support to the Ukrainian government since Russia’s full-scale invasion challenges widely held conceptions about its lack of financial clout in international affairs. In this article, we explain how the EU established itself as a large-scale financial assistance provider, testing an historical institutionalist framework against a principal-agent approach. We argue that technical adjustments to the EU’s public finances in the context of NextGenerationEU (NGEU) were critical antecedents to the reform of the EU’s external financial assistance framework in 2022. The changes have allowed the EU to provide more financial assistance, at more concessional conditions, more autonomously, and with more political conditions. These adjustments have since been replicated in EU loans to other third countries, speaking to the EU’s broader transformation into an actor capable of exercising financial statecraft.</w:t>
      </w:r>
    </w:p>
    <w:p/>
    <w:p>
      <w:r>
        <w:rPr>
          <w:rFonts w:ascii="Times New Roman" w:hAnsi="Times New Roman" w:eastAsia="黑体"/>
          <w:b/>
          <w:i w:val="0"/>
          <w:sz w:val="24"/>
        </w:rPr>
        <w:t>“别拿道德来说教”：本体论帝国主义与南方共同市场—欧盟知识产权谈判</w:t>
      </w:r>
    </w:p>
    <w:p>
      <w:r>
        <w:rPr>
          <w:rFonts w:ascii="Times New Roman" w:hAnsi="Times New Roman" w:eastAsia="宋体"/>
          <w:b w:val="0"/>
          <w:i/>
          <w:color w:val="404040"/>
          <w:sz w:val="20"/>
        </w:rPr>
        <w:t>‘Don’t come with your lessons in morality’: ontological imperialism and the MERCOSUR-EU intellectual property negotiations</w:t>
      </w:r>
    </w:p>
    <w:p>
      <w:r>
        <w:rPr>
          <w:rFonts w:ascii="Times New Roman" w:hAnsi="Times New Roman" w:eastAsia="宋体"/>
          <w:b w:val="0"/>
          <w:i w:val="0"/>
          <w:color w:val="595959"/>
          <w:sz w:val="18"/>
        </w:rPr>
        <w:t>Asha Herten-Crabb（Department of Politics and International Studies, University of Warwick）</w:t>
      </w:r>
    </w:p>
    <w:p>
      <w:r>
        <w:rPr>
          <w:rFonts w:ascii="Times New Roman" w:hAnsi="Times New Roman" w:eastAsia="宋体"/>
          <w:b w:val="0"/>
          <w:i w:val="0"/>
          <w:sz w:val="22"/>
        </w:rPr>
        <w:t>摘要：国际贸易治理常被框定为中立和技术官僚式的，强调公平、现代化与互利。然而南北之间的巨大不平等持续存在，并非发展进程的副产品，而是历史上由支配、汲取与种族化等级构建的帝国秩序的延续。研究已揭示支撑这些不平等的物质与制度机制，但较少关注其本体论基础——即界定何为合法经济活动、哪些利益、主张与权威形式在贸易治理中被承认为合法的范畴。本文提出“本体论帝国主义”概念，捕捉此类范畴如何嵌入贸易协定与谈判之中，在意义层面与物质交换层面稳定等级。基于对谈判代表、企业代表和公民社会行为体的62次半结构化访谈及官方谈判文本，本文以南方共同市场—欧盟贸易谈判为与贸易相关知识产权治理中本体论帝国主义的案例。南共市国家虽抵制了部分“超TRIPS”条款，但更广泛的谈判框架限制了替代方案，强化了西方法律与经济逻辑。</w:t>
      </w:r>
    </w:p>
    <w:p>
      <w:r>
        <w:rPr>
          <w:rFonts w:ascii="Times New Roman" w:hAnsi="Times New Roman" w:eastAsia="宋体"/>
          <w:b w:val="0"/>
          <w:i w:val="0"/>
          <w:sz w:val="20"/>
        </w:rPr>
        <w:t>International trade governance is often framed as neutral and technocratic, emphasizing fairness, modernization, and mutual benefit. Yet, vast inequalities between the Global North and South persist, not as mere byproducts of developmental progress but the endurance of an imperial order historically structured by domination, extraction, and racialized hierarchies. Scholarship has illuminated the material and institutional mechanisms underpinning these inequalities, including through trade; however, less attention has been paid to their ontological foundations – that is, to the categories that define what counts as legitimate economic activity and which interests, claims, and forms of authority are recognized as legitimate within trade governance. This article develops the concept of ontological imperialism to capture how such categories are embedded in trade agreements and negotiations in ways that stabilise hierarchy at the level of meaning as well as material exchange. Drawing on 62 semi-structured interviews with negotiators, business representatives, and civil society actors, alongside official negotiation texts and statements, the paper examines the Southern Common Market-European Union (MERCOSUR-EU) trade negotiations as a case study of ontological imperialism in trade-related intellectual property governance. While MERCOSUR states resisted some Trade Related Intellectual Property Rights (TRIPS)-plus provisions, the broader negotiation framework constrained alternative approaches, reinforcing Western legal and economic logics. The study contributes to debates on imperialism in international political economy (IPE), trade governance, and decolonial critiques, demonstrating how trade agreements do not simply reflect inequalities but actively reproduce them, narrowing the horizons of legitimate economic policy and development.</w:t>
      </w:r>
    </w:p>
    <w:p/>
    <w:p>
      <w:r>
        <w:rPr>
          <w:rFonts w:ascii="Times New Roman" w:hAnsi="Times New Roman" w:eastAsia="黑体"/>
          <w:b/>
          <w:i w:val="0"/>
          <w:sz w:val="24"/>
        </w:rPr>
        <w:t>全球优先事项的道德经济：营养不良治理中逐利与公共责任的融合</w:t>
      </w:r>
    </w:p>
    <w:p>
      <w:r>
        <w:rPr>
          <w:rFonts w:ascii="Times New Roman" w:hAnsi="Times New Roman" w:eastAsia="宋体"/>
          <w:b w:val="0"/>
          <w:i/>
          <w:color w:val="404040"/>
          <w:sz w:val="20"/>
        </w:rPr>
        <w:t>The moral economy of global priorities: fusing profit and public duty in malnutrition governance</w:t>
      </w:r>
    </w:p>
    <w:p>
      <w:r>
        <w:rPr>
          <w:rFonts w:ascii="Times New Roman" w:hAnsi="Times New Roman" w:eastAsia="宋体"/>
          <w:b w:val="0"/>
          <w:i w:val="0"/>
          <w:color w:val="595959"/>
          <w:sz w:val="18"/>
        </w:rPr>
        <w:t>Juanita Uribe（Global Governance Centre, Geneva Graduate Institute）</w:t>
      </w:r>
    </w:p>
    <w:p>
      <w:r>
        <w:rPr>
          <w:rFonts w:ascii="Times New Roman" w:hAnsi="Times New Roman" w:eastAsia="宋体"/>
          <w:b w:val="0"/>
          <w:i w:val="0"/>
          <w:sz w:val="22"/>
        </w:rPr>
        <w:t>摘要：本文考察全球治理中为关注某一问题提供正当理由的话语转变。过去，公共利益与私人收益作为集体行动的不同且常相冲突的理由被援引，而当代治理话语越来越使二者一致。作者认为理解这一转变需要道德经济视角，以解释在混合安排和利益攸关方合作语言司空见惯的时代逐利与道德义务之间的新型纠缠。经验上，本文追踪营养不良问题如何在2008年后从偶发关注上升至联合国治理架构中前所未有的突出地位，认为两种实践对此至关重要：市场解决方案的共同体化，以及将问题重塑为双赢机遇。</w:t>
      </w:r>
    </w:p>
    <w:p>
      <w:r>
        <w:rPr>
          <w:rFonts w:ascii="Times New Roman" w:hAnsi="Times New Roman" w:eastAsia="宋体"/>
          <w:b w:val="0"/>
          <w:i w:val="0"/>
          <w:sz w:val="20"/>
        </w:rPr>
        <w:t>This article examines a shift in the discourses through which attention to problems is justified in global governance. Whereas appeals to the public good and private gain were once invoked as distinct and often conflicting grounds for collective action, contemporary governance discourses increasingly bring them into alignment. Grasping this shift, I argue, requires a moral economy lens that can account for the novel entanglements between profit and moral obligation in an era where hybrid arrangements and the language of stakeholder collaboration have become commonplace. Empirically, the article traces how malnutrition moved from episodic recognition to unprecedented prominence within the United Nations (UN) governance architecture after 2008. It argues that two practices were central to this shift: the communalization of market solutions and the recasting of the problem as a win–win opportunity. The paper underscores the need for an analytical reintegration of morality in international political economy (IPE) not only within the confines of financial or corporate practice, but also as part of a wider transformation of how the global ‘common’ is being articulated. More broadly, the analysis shows that moral discourses may function not as a remedy for capitalism but as one of the means through which it anchors its core principles at the heart of public life.</w:t>
      </w:r>
    </w:p>
    <w:p/>
    <w:p>
      <w:r>
        <w:rPr>
          <w:rFonts w:ascii="Times New Roman" w:hAnsi="Times New Roman" w:eastAsia="黑体"/>
          <w:b/>
          <w:i w:val="0"/>
          <w:sz w:val="24"/>
        </w:rPr>
        <w:t>偏好的改变：巴西工业代表组织如何转而支持欧盟—南方共同市场贸易谈判</w:t>
      </w:r>
    </w:p>
    <w:p>
      <w:r>
        <w:rPr>
          <w:rFonts w:ascii="Times New Roman" w:hAnsi="Times New Roman" w:eastAsia="宋体"/>
          <w:b w:val="0"/>
          <w:i/>
          <w:color w:val="404040"/>
          <w:sz w:val="20"/>
        </w:rPr>
        <w:t>Changing preferences: How the organizations representing Brazilian industry came to support the European Union-Mercosur trade negotiation</w:t>
      </w:r>
    </w:p>
    <w:p>
      <w:r>
        <w:rPr>
          <w:rFonts w:ascii="Times New Roman" w:hAnsi="Times New Roman" w:eastAsia="宋体"/>
          <w:b w:val="0"/>
          <w:i w:val="0"/>
          <w:color w:val="595959"/>
          <w:sz w:val="18"/>
        </w:rPr>
        <w:t>Nicolás Pose-Ferraro（Program of International Studies, School of Social Sciences, University of the Republic）</w:t>
      </w:r>
    </w:p>
    <w:p>
      <w:r>
        <w:rPr>
          <w:rFonts w:ascii="Times New Roman" w:hAnsi="Times New Roman" w:eastAsia="宋体"/>
          <w:b w:val="0"/>
          <w:i w:val="0"/>
          <w:sz w:val="22"/>
        </w:rPr>
        <w:t>摘要：作为分配上的受损方，巴西大部分工业历来反对欧盟与南方共同市场谈判建立优惠贸易协定。然而在谈判最后阶段（2016—2019），巴西工业部门转向支持立场；工业最高组织全国工业联合会公开欢迎2019年达成的原则性协议，此后呼吁完成协定，并庆祝其于2026年签署。本文试图解释巴西工业代表组织为何及如何从反对转向支持。与仅以物质“利益”或分配激励解释偏好的观点相反，作者提出一个自上而下的因果机制：工业最高组织的结构与巴西官僚体系中的贸易官员共同促成了这一意外转变，他们以说服和社会压力形式动员经济与政治观念，在工业危机与高度不确定的背景下与部门分配激励相互作用。基于多来源资料的过程追踪显示，该替代解释优于标准的物质解释。</w:t>
      </w:r>
    </w:p>
    <w:p>
      <w:r>
        <w:rPr>
          <w:rFonts w:ascii="Times New Roman" w:hAnsi="Times New Roman" w:eastAsia="宋体"/>
          <w:b w:val="0"/>
          <w:i w:val="0"/>
          <w:sz w:val="20"/>
        </w:rPr>
        <w:t>As distributive losers, most of Brazilian industry historically opposed the negotiation between the European Union (EU) and the Southern Common Market (Mercosur) to form a preferential trade agreement (PTA). However, during the last phase of the negotiation (2016–2019), Brazilian industrial sectors turned to a favorable stance. Moreover, the industry’s peak organization, the National Confederation of Industry (CNI), publicly welcomed the agreement-in-principle reached in 2019, has since called for its conclusion, and celebrated its signature in 2026. In this article, I seek to explain why and how the organizations representing Brazilian industry moved from an opposing to a favorable preference for this PTA. Contrary to explanations that exclusively consider material ‘interests’ or, more precisely, distributive incentives, as the causes of preferences, I develop a top-down causal mechanism, which posits that the structure of the peak industry organization and trade officials from Brazil’s bureaucracy worked together to produce this unexpected shift, for which they mobilized economic and political ideas, in the form of persuasion and social pressure, that interacted with sectoral distributive incentives in a context of industrial crisis and high uncertainty. Drawing on multiple sources, I run a process tracing analysis which shows that this alternative account performs better than the standard material-based explanations.</w:t>
      </w:r>
    </w:p>
    <w:p/>
    <w:p>
      <w:r>
        <w:rPr>
          <w:rFonts w:ascii="Times New Roman" w:hAnsi="Times New Roman" w:eastAsia="黑体"/>
          <w:b/>
          <w:i w:val="0"/>
          <w:sz w:val="24"/>
        </w:rPr>
        <w:t>声誉集体：国际行业协会如何影响中国高风险技术的安全标准</w:t>
      </w:r>
    </w:p>
    <w:p>
      <w:r>
        <w:rPr>
          <w:rFonts w:ascii="Times New Roman" w:hAnsi="Times New Roman" w:eastAsia="宋体"/>
          <w:b w:val="0"/>
          <w:i/>
          <w:color w:val="404040"/>
          <w:sz w:val="20"/>
        </w:rPr>
        <w:t>Reputation collectives: how international industry associations influence China’s safety standards in high-risk technologies</w:t>
      </w:r>
    </w:p>
    <w:p>
      <w:r>
        <w:rPr>
          <w:rFonts w:ascii="Times New Roman" w:hAnsi="Times New Roman" w:eastAsia="宋体"/>
          <w:b w:val="0"/>
          <w:i w:val="0"/>
          <w:color w:val="595959"/>
          <w:sz w:val="18"/>
        </w:rPr>
        <w:t>Jeffrey Ding（Department of Political Science, George Washington University）；Dennis Yuen Li（Department of Political Science, George Washington University）</w:t>
      </w:r>
    </w:p>
    <w:p>
      <w:r>
        <w:rPr>
          <w:rFonts w:ascii="Times New Roman" w:hAnsi="Times New Roman" w:eastAsia="宋体"/>
          <w:b w:val="0"/>
          <w:i w:val="0"/>
          <w:sz w:val="22"/>
        </w:rPr>
        <w:t>摘要：新兴经济体在管理强大技术的安全风险方面面临挑战，一些分析人士甚至认为中国最可能成为与新兴技术相关事故的来源。然而中国在民航和核电等特定技术领域取得了显著的安全记录。如何做到的？作者提出理论：在一家企业的事故会损害所有企业声誉的产业中，国际行业协会可帮助提升新兴经济体的安全标准——它们补贴落后者提高安全标准的努力，并通过内部对标施加同侪压力。这不同于现有关于认证俱乐部（制定标准以拒绝非成员享有协会利益）的理论。作者研究国际行业协会与中国企业在核电、民航和化工三个领域的互动，证据支持基于“声誉集体”的新机制。</w:t>
      </w:r>
    </w:p>
    <w:p>
      <w:r>
        <w:rPr>
          <w:rFonts w:ascii="Times New Roman" w:hAnsi="Times New Roman" w:eastAsia="宋体"/>
          <w:b w:val="0"/>
          <w:i w:val="0"/>
          <w:sz w:val="20"/>
        </w:rPr>
        <w:t>Emerging economies face challenges in managing safety risks from powerful technologies. Indeed, some analysts identify China as the most likely source of an accident linked to emerging technologies. Yet, China has achieved a remarkable safety record in certain technological domains, such as civil aviation and nuclear power. How? We theorize that, for industries in which one firm’s accident damages the reputation of all others, international industry associations can contribute to improved safety standards in emerging economies. These associations subsidize laggards’ efforts to raise their safety standards and exert peer pressure through internal benchmarking efforts. This departs from existing theories on certification clubs that set standards to deny association benefits to nonmembers. To demonstrate these different pathways of international private regulation, we study interactions between international industry associations and Chinese firms in three domains: nuclear power, civil aviation, and chemicals. The evidence supports a novel mechanism based on reputation collectives.</w:t>
      </w:r>
    </w:p>
    <w:p/>
    <w:p>
      <w:r>
        <w:rPr>
          <w:rFonts w:ascii="Times New Roman" w:hAnsi="Times New Roman" w:eastAsia="黑体"/>
          <w:b/>
          <w:i w:val="0"/>
          <w:sz w:val="24"/>
        </w:rPr>
        <w:t>在信任与怀疑之间：韩国媒体对韩中科技企业的情感框架与非正式保护主义</w:t>
      </w:r>
    </w:p>
    <w:p>
      <w:r>
        <w:rPr>
          <w:rFonts w:ascii="Times New Roman" w:hAnsi="Times New Roman" w:eastAsia="宋体"/>
          <w:b w:val="0"/>
          <w:i/>
          <w:color w:val="404040"/>
          <w:sz w:val="20"/>
        </w:rPr>
        <w:t>Between trust and suspicion: affective framing and informal protectionism toward Korean and Chinese technology firms in Korean media</w:t>
      </w:r>
    </w:p>
    <w:p>
      <w:r>
        <w:rPr>
          <w:rFonts w:ascii="Times New Roman" w:hAnsi="Times New Roman" w:eastAsia="宋体"/>
          <w:b w:val="0"/>
          <w:i w:val="0"/>
          <w:color w:val="595959"/>
          <w:sz w:val="18"/>
        </w:rPr>
        <w:t>Seungwoo Han（Department of Political Science and International Relations, Kyonggi University）</w:t>
      </w:r>
    </w:p>
    <w:p>
      <w:r>
        <w:rPr>
          <w:rFonts w:ascii="Times New Roman" w:hAnsi="Times New Roman" w:eastAsia="宋体"/>
          <w:b w:val="0"/>
          <w:i w:val="0"/>
          <w:sz w:val="22"/>
        </w:rPr>
        <w:t>摘要：在技术竞争加剧、正式保护主义渠道有限的背景下，对企业的情感框架已成为经济竞争的关键维度。本研究利用对大规模全文报纸语料的计算分析，考察韩国媒体在十五年间（2010—2025）如何对本国与中国科技企业进行情感框架。借鉴技术民族主义、情感框架与非正式保护主义理论，分析追踪两个情感维度的纵向变化：评价基调（效价）与情绪强度（唤醒）。结果揭示情感分化的双重轨迹：韩国企业始终以温和积极的情感被呈现，而中国企业日益以负面且情绪化的语言被框定。这些模式表明情感化媒体叙事作为象征性边界建构的非正式机制，强化了国内合法性与外国怀疑之间的区分。</w:t>
      </w:r>
    </w:p>
    <w:p>
      <w:r>
        <w:rPr>
          <w:rFonts w:ascii="Times New Roman" w:hAnsi="Times New Roman" w:eastAsia="宋体"/>
          <w:b w:val="0"/>
          <w:i w:val="0"/>
          <w:sz w:val="20"/>
        </w:rPr>
        <w:t>Amid intensifying technological rivalry and limited avenues for formal protectionism, the emotional framing of firms has emerged as a critical dimension of economic competition. This study examines how Korean media have affectively framed domestic and Chinese technology firms over a fifteen-year period (2010–2025), using computational analysis of a large corpus of full-text newspaper articles. Drawing on theories of technonationalism, affective framing, and informal protectionism, the analysis traces longitudinal shifts along two affective dimensions: evaluative tone (valence) and emotional intensity (arousal). The results reveal a dual trajectory of affective divergence: Korean firms are portrayed with consistently moderate and positive sentiment, while Chinese firms are increasingly framed in negative and emotionally charged terms. These patterns suggest that affective media narratives function as informal mechanisms of symbolic boundary-making, reinforcing distinctions between domestic legitimacy and foreign suspicion. The findings contribute to scholarship in international political economy, communication, and international business by illustrating how emotional tone shapes perceptions of technological rivalry. More broadly, this study highlights the role of media affect in constructing economic legitimacy and national identity, particularly for technologically advanced, trade-dependent middle-power democracies like South Korea navigating strategic dependence and geopolitical tension.</w:t>
      </w:r>
    </w:p>
    <w:p/>
    <w:p>
      <w:r>
        <w:rPr>
          <w:rFonts w:ascii="Times New Roman" w:hAnsi="Times New Roman" w:eastAsia="黑体"/>
          <w:b/>
          <w:i w:val="0"/>
          <w:sz w:val="24"/>
        </w:rPr>
        <w:t>复杂全球价值链与经济相互依赖：重新审视机会成本论</w:t>
      </w:r>
    </w:p>
    <w:p>
      <w:r>
        <w:rPr>
          <w:rFonts w:ascii="Times New Roman" w:hAnsi="Times New Roman" w:eastAsia="宋体"/>
          <w:b w:val="0"/>
          <w:i/>
          <w:color w:val="404040"/>
          <w:sz w:val="20"/>
        </w:rPr>
        <w:t>Complex global value chains and economic interdependence: a new look at the opportunity costs argument</w:t>
      </w:r>
    </w:p>
    <w:p>
      <w:r>
        <w:rPr>
          <w:rFonts w:ascii="Times New Roman" w:hAnsi="Times New Roman" w:eastAsia="宋体"/>
          <w:b w:val="0"/>
          <w:i w:val="0"/>
          <w:color w:val="595959"/>
          <w:sz w:val="18"/>
        </w:rPr>
        <w:t>Phuong Pham（Department of Political Science, University of Rochester）；Melle Scholten（Department of Technology, Human and Institutional Behaviour, University of Twente）</w:t>
      </w:r>
    </w:p>
    <w:p>
      <w:r>
        <w:rPr>
          <w:rFonts w:ascii="Times New Roman" w:hAnsi="Times New Roman" w:eastAsia="宋体"/>
          <w:b w:val="0"/>
          <w:i w:val="0"/>
          <w:sz w:val="22"/>
        </w:rPr>
        <w:t>摘要：经济相互依赖在什么条件下增加或减少国家安全？本文通过考察复杂全球价值链在威慑军事化冲突中的作用参与经济相互依赖辩论，认为由于战略物品上游投入的重要性——这些投入在征服后无法被占有——全球价值链贸易应比其他形式的贸易对冲突升级具有更强的威慑作用。因此，生产的全球碎片化可能对全球和平产生意外的正面溢出。本文通过对所有国际危机时刻及其升级的定性比较分析检验全球价值链相对于常规贸易流对全球和平的重要性，并以全球半导体供应链及其在台北、北京与华盛顿关系中作用的案例说明因果机制。理论与实证表明全球价值链总体上具有和平效应，回流可能对全球和平产生意外的负面后果。</w:t>
      </w:r>
    </w:p>
    <w:p>
      <w:r>
        <w:rPr>
          <w:rFonts w:ascii="Times New Roman" w:hAnsi="Times New Roman" w:eastAsia="宋体"/>
          <w:b w:val="0"/>
          <w:i w:val="0"/>
          <w:sz w:val="20"/>
        </w:rPr>
        <w:t>Under what conditions does economic interdependence increase or decrease state security? This article contributes to the scholarly debate on economic interdependence by examining the role of complex global value chains (GVCs) in deterring militarized conflict. It argues that GVC trade should be a far stronger deterrent to escalating conflict than other forms of trade, due to the importance of upstream inputs of strategic goods, which cannot be appropriated after conquest. Thus, the global fragmentation of production can have unintended positive spillovers for global peace. The article tests the importance of GVCs as opposed to regular trade flows for global peace by providing a qualitative comparative analysis (QCA) of all international crisis moments and their escalation. The causal mechanism is further illustrated with a qualitative case study of the global semiconductor supply chain and its role in relations between Taipei, Beijing, and Washington. Our theory and empirics suggest that GVCs on the whole are pacifying and that reshoring can have unintentional negative consequences for global peace.</w:t>
      </w:r>
    </w:p>
    <w:p/>
    <w:p>
      <w:r>
        <w:rPr>
          <w:rFonts w:ascii="Times New Roman" w:hAnsi="Times New Roman" w:eastAsia="黑体"/>
          <w:b/>
          <w:i w:val="0"/>
          <w:sz w:val="24"/>
        </w:rPr>
        <w:t>全球经济中的奴隶制幽灵：打破劳合社历史中的选择性传统</w:t>
      </w:r>
    </w:p>
    <w:p>
      <w:r>
        <w:rPr>
          <w:rFonts w:ascii="Times New Roman" w:hAnsi="Times New Roman" w:eastAsia="宋体"/>
          <w:b w:val="0"/>
          <w:i/>
          <w:color w:val="404040"/>
          <w:sz w:val="20"/>
        </w:rPr>
        <w:t>Specters of slavery in the global economy: rupturing the selective tradition in the history of Lloyd’s of London</w:t>
      </w:r>
    </w:p>
    <w:p>
      <w:r>
        <w:rPr>
          <w:rFonts w:ascii="Times New Roman" w:hAnsi="Times New Roman" w:eastAsia="宋体"/>
          <w:b w:val="0"/>
          <w:i w:val="0"/>
          <w:color w:val="595959"/>
          <w:sz w:val="18"/>
        </w:rPr>
        <w:t>Matthew Eagleton-Pierce（Department of Politics and International Studies, SOAS University of London）</w:t>
      </w:r>
    </w:p>
    <w:p>
      <w:r>
        <w:rPr>
          <w:rFonts w:ascii="Times New Roman" w:hAnsi="Times New Roman" w:eastAsia="宋体"/>
          <w:b w:val="0"/>
          <w:i w:val="0"/>
          <w:sz w:val="22"/>
        </w:rPr>
        <w:t>摘要：2020年，在美国乔治·弗洛伊德遇害后的全球抗议中，劳合社——起源于1688年的世界最大保险市场——就其在大西洋奴隶贸易中的角色发表了历史性道歉。这一忏悔是对长达一个世纪“遗忘”这一主题的大转弯。作为全球殖民经济的基础，我们越来越了解保险如何促成大西洋奴隶制，却很少了解此类暴行如何随后被边缘化以及公共争议如何再起。本文在金融、种族与帝国的交叉点回应这一谜题，将劳合社对奴隶制的回避解释为一种由智识、法律与企业资源支撑的战略取向；认为重新审视劳合社—奴隶制关联不仅是“黑人的命也是命”运动的产物，也是学者、律师和劳合社内部人士等许多批判性行动者要求问责的劳动成果。</w:t>
      </w:r>
    </w:p>
    <w:p>
      <w:r>
        <w:rPr>
          <w:rFonts w:ascii="Times New Roman" w:hAnsi="Times New Roman" w:eastAsia="宋体"/>
          <w:b w:val="0"/>
          <w:i w:val="0"/>
          <w:sz w:val="20"/>
        </w:rPr>
        <w:t>In 2020, amid global protests following the murder of George Floyd in the US, Lloyd’s of London – the world’s largest insurance marketplace with origins dating to 1688 – issued an historic apology for its role in the Atlantic slave trade. This confession was a volte-face following a century of ‘forgetting’ the subject. As a foundation of the global colonial economy, we increasingly know more about how insurance enabled Atlantic slavery, but much less about how such atrocities were subsequently marginalized and, in turn, how public controversy was renewed. At the intersection between finance, race, and empire, the argument here responds to this puzzle by explaining the Lloyd’s evading of slavery as a strategic orientation, backed by intellectual, legal, and corporate resources. The article argues that the reexamining of the Lloyd’s-slavery nexus was not only the product of Black Lives Matter, but the labor of many critical agents – scholars, lawyers, and insiders at Lloyd’s – who demanded accountability. By using the concept of the ‘selective tradition’ to excavate these cultural dynamics, the article has wider implications for IPE’s understanding of the racial politics of the insurance industry, as well as how institutional memory and narrative control work in the service of power.</w:t>
      </w:r>
    </w:p>
    <w:p/>
    <w:p>
      <w:r>
        <w:rPr>
          <w:rFonts w:ascii="Times New Roman" w:hAnsi="Times New Roman" w:eastAsia="黑体"/>
          <w:b/>
          <w:i w:val="0"/>
          <w:sz w:val="24"/>
        </w:rPr>
        <w:t>中国双边货币互换协议与外交政策</w:t>
      </w:r>
    </w:p>
    <w:p>
      <w:r>
        <w:rPr>
          <w:rFonts w:ascii="Times New Roman" w:hAnsi="Times New Roman" w:eastAsia="宋体"/>
          <w:b w:val="0"/>
          <w:i/>
          <w:color w:val="404040"/>
          <w:sz w:val="20"/>
        </w:rPr>
        <w:t>China’s bilateral swap agreements and foreign policy</w:t>
      </w:r>
    </w:p>
    <w:p>
      <w:r>
        <w:rPr>
          <w:rFonts w:ascii="Times New Roman" w:hAnsi="Times New Roman" w:eastAsia="宋体"/>
          <w:b w:val="0"/>
          <w:i w:val="0"/>
          <w:color w:val="595959"/>
          <w:sz w:val="18"/>
        </w:rPr>
        <w:t>Qi Liu（Department of Government, Harvard University）；Xun Pang（School of International Studies and the Institute of Carbon Neutrality, Peking University）；James Raymond Vreeland（Department of Politics and the School of Public and International Affairs, Princeton University）</w:t>
      </w:r>
    </w:p>
    <w:p>
      <w:r>
        <w:rPr>
          <w:rFonts w:ascii="Times New Roman" w:hAnsi="Times New Roman" w:eastAsia="宋体"/>
          <w:b w:val="0"/>
          <w:i w:val="0"/>
          <w:sz w:val="22"/>
        </w:rPr>
        <w:t>摘要：本文考察中国不断扩大的双边货币互换协议网络的外交政策含义。双边货币互换协议提供政府可在危机时期动用的信贷额度。作者推测，与中国签订货币互换协议可能使外部选项少、被美国主导的经济秩序抛在后面的国家在外交上更接近中国。运用贝叶斯广义合成控制方法，作者估计不同国家组的总体与个体层面处理效应，发现平均而言，参与对华双边货币互换协议提高了一国短期内与中国的外交政策一致性；国家层面因果效应的比较显示，短期效应与中期发现由金融脆弱国家以及支持中国全球领导力的国家驱动。结果表明作为全球金融安全网一部分的中国双边货币互换协议具有国际政治含义。</w:t>
      </w:r>
    </w:p>
    <w:p>
      <w:r>
        <w:rPr>
          <w:rFonts w:ascii="Times New Roman" w:hAnsi="Times New Roman" w:eastAsia="宋体"/>
          <w:b w:val="0"/>
          <w:i w:val="0"/>
          <w:sz w:val="20"/>
        </w:rPr>
        <w:t>We examine the foreign-policy implications of China’s expanding network of bilateral swap agreements (BSAs). BSAs provide a line of credit that governments can draw on during times of crisis. We suspect that entering a BSA with China can bring countries that have few outside options and have been left behind by the US-led economic order into closer alignment with China. Applying a Bayesian generalized synthetic control approach, we estimate both aggregate- and individual-level treatment effects for different sets of countries. We find that, on average, a country’s participation in BSAs with China increases its short-run foreign-policy alignment with China. Comparisons of country-level causal effects reveal that the short-run effect and a medium-run finding are driven by financially vulnerable countries and those supportive of China’s global leadership. The results suggest that the introduction of Chinese BSAs as part of the global financial safety net has political implications for international affairs.</w:t>
      </w:r>
    </w:p>
    <w:p/>
    <w:p>
      <w:r>
        <w:rPr>
          <w:rFonts w:ascii="Times New Roman" w:hAnsi="Times New Roman" w:eastAsia="黑体"/>
          <w:b/>
          <w:i w:val="0"/>
          <w:sz w:val="24"/>
        </w:rPr>
        <w:t>走进贸易战？欧洲公众对限制对华贸易的态度</w:t>
      </w:r>
    </w:p>
    <w:p>
      <w:r>
        <w:rPr>
          <w:rFonts w:ascii="Times New Roman" w:hAnsi="Times New Roman" w:eastAsia="宋体"/>
          <w:b w:val="0"/>
          <w:i/>
          <w:color w:val="404040"/>
          <w:sz w:val="20"/>
        </w:rPr>
        <w:t>Enter the trade war? European public opinion on trade restrictions against China</w:t>
      </w:r>
    </w:p>
    <w:p>
      <w:r>
        <w:rPr>
          <w:rFonts w:ascii="Times New Roman" w:hAnsi="Times New Roman" w:eastAsia="宋体"/>
          <w:b w:val="0"/>
          <w:i w:val="0"/>
          <w:color w:val="595959"/>
          <w:sz w:val="18"/>
        </w:rPr>
        <w:t>Marius Dotzauer（Department of Political Science, University of Salzburg）；Paul Meiners（Department of Sociology and Political Science, Norwegian University of Science and Technology）</w:t>
      </w:r>
    </w:p>
    <w:p>
      <w:r>
        <w:rPr>
          <w:rFonts w:ascii="Times New Roman" w:hAnsi="Times New Roman" w:eastAsia="宋体"/>
          <w:b w:val="0"/>
          <w:i w:val="0"/>
          <w:sz w:val="22"/>
        </w:rPr>
        <w:t>摘要：本文研究地缘政治因素如何塑造个人对出口管制的偏好，聚焦欧中高技术领域贸易。支持对华更强硬立场者常使用国家安全与经济遏制论据，作者考察这些论据如何影响欧洲国家舆论，假设当决策出于安全担忧而非减缓中国经济崛起时，人们更支持贸易限制；若决策的经济成本高，支持会下降。作者在法国、德国、意大利、波兰和瑞典对8770名受访者开展调查实验，发现总体上仅三分之一受访者支持贸易限制；与预期相反，安全框架与经济遏制框架产生相似的支持水平；公民支持随本国成本增加而下降。结果表明欧洲国内选民并不过分担忧中国崛起，也不认可经济胁迫战略。</w:t>
      </w:r>
    </w:p>
    <w:p>
      <w:r>
        <w:rPr>
          <w:rFonts w:ascii="Times New Roman" w:hAnsi="Times New Roman" w:eastAsia="宋体"/>
          <w:b w:val="0"/>
          <w:i w:val="0"/>
          <w:sz w:val="20"/>
        </w:rPr>
        <w:t>This paper investigates how geopolitical factors shape individual preferences for export controls, focusing on EU–China trade in high-technology sectors. Supporters of a tougher stance toward China frequently use arguments about national security and economic containment. We examine how these arguments affect public opinion in European countries. We hypothesize that people display greater support for trade restrictions when the decision is motivated by security concerns rather than by the desire to slow China’s economic rise. We further argue that public support decreases if the economic costs of the decision are high. We test our theoretical expectations using a survey experiment with 8,770 respondents in five European countries: France, Germany, Italy, Poland, and Sweden. Only a third of respondents support trade restrictions overall. Contrary to our theoretical expectations, security and economic containment frames generate similar levels of support. Our findings further indicate that citizens’ support declines as the costs to their country increase. These results advance our understanding of how geopolitical considerations shape trade attitudes by demonstrating the interaction of material and geopolitical factors. They suggest that domestic constituencies in Europe are not overly concerned about China’s rise and do not endorse a strategy of economic coercion.</w:t>
      </w:r>
    </w:p>
    <w:p/>
    <w:p>
      <w:r>
        <w:rPr>
          <w:rFonts w:ascii="Times New Roman" w:hAnsi="Times New Roman" w:eastAsia="黑体"/>
          <w:b/>
          <w:i w:val="0"/>
          <w:sz w:val="24"/>
        </w:rPr>
        <w:t>寡头的黄昏</w:t>
      </w:r>
    </w:p>
    <w:p>
      <w:r>
        <w:rPr>
          <w:rFonts w:ascii="Times New Roman" w:hAnsi="Times New Roman" w:eastAsia="宋体"/>
          <w:b w:val="0"/>
          <w:i/>
          <w:color w:val="404040"/>
          <w:sz w:val="20"/>
        </w:rPr>
        <w:t>Twilight of the oligarchs</w:t>
      </w:r>
    </w:p>
    <w:p>
      <w:r>
        <w:rPr>
          <w:rFonts w:ascii="Times New Roman" w:hAnsi="Times New Roman" w:eastAsia="宋体"/>
          <w:b w:val="0"/>
          <w:i w:val="0"/>
          <w:color w:val="595959"/>
          <w:sz w:val="18"/>
        </w:rPr>
        <w:t>Nikhil Kalyanpur（Department of International Relations, London School of Economics）</w:t>
      </w:r>
    </w:p>
    <w:p>
      <w:r>
        <w:rPr>
          <w:rFonts w:ascii="Times New Roman" w:hAnsi="Times New Roman" w:eastAsia="宋体"/>
          <w:b w:val="0"/>
          <w:i w:val="0"/>
          <w:sz w:val="22"/>
        </w:rPr>
        <w:t>摘要：超级富豪日益公然地影响国内外政治。尽管成为富豪的路径多样、经济等级顶层内斗不断，政治经济学研究大多将富豪视为拥有相同权力来源、面临相似财富威胁的群体。借鉴比较政治经济学与国际关系理论，本评论文章根据收入来源及与国家权力的关系建立亿万富翁类型学，以帮助理解可能以自主富豪权力衰落和国家主导的盗贼统治兴起为标志的国际政治新阶段。随着美国霸权消退、自由经济秩序弱化，国家将重新确立对资本的控制，这映射了长期在威权政体中观察到的趋势。这一转变将重塑全球治理：原本为保护资本流动而设计的法律制度将成为国家与超级富豪之间争夺的场所；针对富豪的强制与法律战将取代市场与企业工具性权力，成为支撑国际经济秩序的关键机制。</w:t>
      </w:r>
    </w:p>
    <w:p>
      <w:r>
        <w:rPr>
          <w:rFonts w:ascii="Times New Roman" w:hAnsi="Times New Roman" w:eastAsia="宋体"/>
          <w:b w:val="0"/>
          <w:i w:val="0"/>
          <w:sz w:val="20"/>
        </w:rPr>
        <w:t>The hyper-wealthy are increasingly, blatantly influencing politics both at home and abroad. Despite multiple paths to plutocrat-status, and perpetual infighting within the very top of the economic hierarchy, political economy scholarship largely treats plutocrats as possessing the same sources of power and facing similar threats to their wealth. Drawing on comparative political economy and international relations theory, this Commentary develops a typology of billionaires based on their sources of income and their relationship to state power. The value of the typology is to help us understand a new phase of international politics that is likely to be marked by the decline of autonomous plutocratic power and the rise of state-dominated kleptocracy. As U.S. hegemony recedes and the liberal economic order weakens, states are set to reassert control over capital, mirroring trends long observed in authoritarian regimes. This transition reshapes global governance: legal institutions once designed to protect capital mobility are set to become sites of contestation between states and the super-rich. Coercion and legal warfare against plutocrats are set to replace markets and the instrumental power of business as key mechanisms underpinning the international economic order.</w:t>
      </w:r>
    </w:p>
    <w:p/>
    <w:p>
      <w:r>
        <w:rPr>
          <w:rFonts w:ascii="Times New Roman" w:hAnsi="Times New Roman" w:eastAsia="黑体"/>
          <w:b/>
          <w:i w:val="0"/>
          <w:sz w:val="24"/>
        </w:rPr>
        <w:t>以纪律促繁荣：产业政策中纪律的政治经济学框架</w:t>
      </w:r>
    </w:p>
    <w:p>
      <w:r>
        <w:rPr>
          <w:rFonts w:ascii="Times New Roman" w:hAnsi="Times New Roman" w:eastAsia="宋体"/>
          <w:b w:val="0"/>
          <w:i/>
          <w:color w:val="404040"/>
          <w:sz w:val="20"/>
        </w:rPr>
        <w:t>Discipline to flourish: a framework for the political economy of discipline in industrial policy</w:t>
      </w:r>
    </w:p>
    <w:p>
      <w:r>
        <w:rPr>
          <w:rFonts w:ascii="Times New Roman" w:hAnsi="Times New Roman" w:eastAsia="宋体"/>
          <w:b w:val="0"/>
          <w:i w:val="0"/>
          <w:color w:val="595959"/>
          <w:sz w:val="18"/>
        </w:rPr>
        <w:t>Seth Pipkin（School of Social Ecology, University of California）</w:t>
      </w:r>
    </w:p>
    <w:p>
      <w:r>
        <w:rPr>
          <w:rFonts w:ascii="Times New Roman" w:hAnsi="Times New Roman" w:eastAsia="宋体"/>
          <w:b w:val="0"/>
          <w:i w:val="0"/>
          <w:sz w:val="22"/>
        </w:rPr>
        <w:t>摘要：产业政策为应对气候危机、国家安全等多种问题而重新兴起。近期产业政策路径优先强调政企合作，但历史证据凸显对关键行为体实现“纪律”以推动结构变革的重要性。借鉴东亚“发展型国家”及其他经验，作者提出通过纪律视角分析产业政策的框架，将纪律定义为任何提高资本私人回报与社会回报一致性的措施，并区分三种类型：信息共享、规则设定与绩效激发，各自涉及不同的能力与障碍。通过将纪律概念化为经由累积干预迭代建立，作者填补了理解国家如何形成有效实施产业政策能力的空白，并结合国际政治经济变化检验该框架，提出未来研究方向。</w:t>
      </w:r>
    </w:p>
    <w:p>
      <w:r>
        <w:rPr>
          <w:rFonts w:ascii="Times New Roman" w:hAnsi="Times New Roman" w:eastAsia="宋体"/>
          <w:b w:val="0"/>
          <w:i w:val="0"/>
          <w:sz w:val="20"/>
        </w:rPr>
        <w:t>Industrial policy has reemerged in response to issues as varied as climate crisis and national security. While recent industrial policy approaches prioritize state-business collaboration, historical evidence highlights the importance of achieving ‘discipline’ over key actors to enact structural change. Drawing from East Asian ‘developmental states’ and beyond, we propose a framework for analyzing industrial policy through the lens of discipline. We define discipline as anything that increases the alignment between private and social returns to capital and distinguish three types: information-sharing, rule-setting, and performance eliciting. Each involves distinct capacities and obstacles. By conceptualizing discipline as built iteratively through cumulative interventions, we address a gap in understanding how states form the capacity to implement industrial policies effectively. We examine this framework in light of shifts in the international political economy and suggest avenues for future research on industrial policy’s domestic and international impacts.</w:t>
      </w:r>
    </w:p>
    <w:p/>
    <w:p>
      <w:r>
        <w:rPr>
          <w:rFonts w:ascii="Times New Roman" w:hAnsi="Times New Roman" w:eastAsia="宋体"/>
          <w:b/>
          <w:i w:val="0"/>
          <w:sz w:val="22"/>
        </w:rPr>
        <w:t>RIPE： Vol. 33, No. 2, 2026</w:t>
      </w:r>
    </w:p>
    <w:p/>
    <w:p>
      <w:r>
        <w:rPr>
          <w:rFonts w:ascii="Times New Roman" w:hAnsi="Times New Roman" w:eastAsia="黑体"/>
          <w:b/>
          <w:i w:val="0"/>
          <w:sz w:val="24"/>
        </w:rPr>
        <w:t>加密货币与变动中的发展模式：格鲁吉亚比特币挖矿的展开</w:t>
      </w:r>
    </w:p>
    <w:p>
      <w:r>
        <w:rPr>
          <w:rFonts w:ascii="Times New Roman" w:hAnsi="Times New Roman" w:eastAsia="宋体"/>
          <w:b w:val="0"/>
          <w:i/>
          <w:color w:val="404040"/>
          <w:sz w:val="20"/>
        </w:rPr>
        <w:t>Crypto currencies and development mode in flux: unfolding bitcoin mining in Georgia</w:t>
      </w:r>
    </w:p>
    <w:p>
      <w:r>
        <w:rPr>
          <w:rFonts w:ascii="Times New Roman" w:hAnsi="Times New Roman" w:eastAsia="宋体"/>
          <w:b w:val="0"/>
          <w:i w:val="0"/>
          <w:color w:val="595959"/>
          <w:sz w:val="18"/>
        </w:rPr>
        <w:t>Ia Eradze（School of Social Sciences, Georgian Institute of Public Affairs）</w:t>
      </w:r>
    </w:p>
    <w:p>
      <w:r>
        <w:rPr>
          <w:rFonts w:ascii="Times New Roman" w:hAnsi="Times New Roman" w:eastAsia="宋体"/>
          <w:b w:val="0"/>
          <w:i w:val="0"/>
          <w:sz w:val="22"/>
        </w:rPr>
        <w:t>摘要：廉价能源、缺乏挖矿监管、低税收和自由工业区使格鲁吉亚成为比特币挖矿的理想地，吸引了Bitfury、币安等大公司。本文探讨格鲁吉亚如何及为何成为加密挖矿中心，并考察加密挖矿与新自由主义国家及其经济发展模式的关系。研究将加密货币挖矿框定为一种由国家推动的发展项目，嵌入“华盛顿共识”的自由化与放松管制政策，并由“华尔街共识”的去风险政策使之成为可能。本文认为，曾以所谓非政治经济理由出现以挑战国家与既有金融秩序的加密货币，需要国家及其主权空间；研究也揭示了华盛顿共识与华尔街共识之间的连续性，并展示了加密挖矿的破坏性。</w:t>
      </w:r>
    </w:p>
    <w:p>
      <w:r>
        <w:rPr>
          <w:rFonts w:ascii="Times New Roman" w:hAnsi="Times New Roman" w:eastAsia="宋体"/>
          <w:b w:val="0"/>
          <w:i w:val="0"/>
          <w:sz w:val="20"/>
        </w:rPr>
        <w:t>Cheap energy, absence of regulations on mining, low taxes, free industrial zones made Georgia an attractive place for Bitcoin mining and home to such big companies as Bitfury and Binance. This paper asks how and why Georgia become a crypto mining hub and examines crypto mining in relation to the neoliberal state and its economic development mode. This study frames crypto currency mining as a state facilitated development project, which is embedded in Washington Consensus (WC) liberalization and deregulation policies and is enabled by Wall Street Consensus (WSC) derisking policies. The paper argues that crypto currencies - once emerged on allegedly nonpolitical economic grounds to challenge the state and existing financial order - need the state and its sovereign space. The study also unfolds continuities between WC and WSC and demonstrates the destructive character of crypto mining. The paper thus challenges the claims of the crypto industry of being against the state and traditional financial system, provides insights into the political economy of Bitcoin from a peripheral country perspective and enriches ongoing debates on neoliberal derisking states.</w:t>
      </w:r>
    </w:p>
    <w:p/>
    <w:p>
      <w:r>
        <w:rPr>
          <w:rFonts w:ascii="Times New Roman" w:hAnsi="Times New Roman" w:eastAsia="黑体"/>
          <w:b/>
          <w:i w:val="0"/>
          <w:sz w:val="24"/>
        </w:rPr>
        <w:t>援助官僚机构负责人的作用：来自韩国援助分配的证据</w:t>
      </w:r>
    </w:p>
    <w:p>
      <w:r>
        <w:rPr>
          <w:rFonts w:ascii="Times New Roman" w:hAnsi="Times New Roman" w:eastAsia="宋体"/>
          <w:b w:val="0"/>
          <w:i/>
          <w:color w:val="404040"/>
          <w:sz w:val="20"/>
        </w:rPr>
        <w:t>The role of aid bureaucracy heads: evidence from the allocation of Korean aid</w:t>
      </w:r>
    </w:p>
    <w:p>
      <w:r>
        <w:rPr>
          <w:rFonts w:ascii="Times New Roman" w:hAnsi="Times New Roman" w:eastAsia="宋体"/>
          <w:b w:val="0"/>
          <w:i w:val="0"/>
          <w:color w:val="595959"/>
          <w:sz w:val="18"/>
        </w:rPr>
        <w:t>Esol Cho（Department of International Studies, School of Humanities and Social Sciences, Xi’an Jiaotong-Liverpool University）</w:t>
      </w:r>
    </w:p>
    <w:p>
      <w:r>
        <w:rPr>
          <w:rFonts w:ascii="Times New Roman" w:hAnsi="Times New Roman" w:eastAsia="宋体"/>
          <w:b w:val="0"/>
          <w:i w:val="0"/>
          <w:sz w:val="22"/>
        </w:rPr>
        <w:t>摘要：对外援助研究常依赖国家层面的汇总分配，忽视了决定援助流向与方式的官僚。利用2010—2022财年韩国29个机构的178位机构负责人向105个受援国分配的捆绑援助新数据集，作者研究机构层面的援助结果。聚焦韩国援助的官僚结构——由于监督与控制有限，各机构相对一致地免受政治压力——作者考察机构负责人的职业背景与个人特征如何通过社会化机制塑造捆绑援助分配。研究发现，具有公民社会经历和更高教育水平的负责人倾向分配更低比例的捆绑援助，因为此类组织外经历促进与外部专业共同体的互动以及与援助非捆绑全球规范的契合；而公务员出身者倾向分配更高比例的捆绑援助，因职业官僚更可能内化组织目标、采取绩效导向思维。</w:t>
      </w:r>
    </w:p>
    <w:p>
      <w:r>
        <w:rPr>
          <w:rFonts w:ascii="Times New Roman" w:hAnsi="Times New Roman" w:eastAsia="宋体"/>
          <w:b w:val="0"/>
          <w:i w:val="0"/>
          <w:sz w:val="20"/>
        </w:rPr>
        <w:t>Research on foreign aid often relies on aggregated national allocations, yet this perspective overlooks the role of bureaucrats who determine where and how aid flows. Using a novel dataset on Korea’s tied aid spending by 178 bureaucracy heads representing 29 bureaucracies allocated to 105 recipient countries during the fiscal years of 2010 to 2022, I investigate bureaucracy-level aid outcomes. Focusing on the bureaucratic structure of Korean aid – where agencies are relatively uniformly insulated from political pressure due to limited oversight and control – I examine how the professional backgrounds and personal characteristics of agency heads shape tied aid allocation through socialization mechanisms. This study finds that bureaucracy heads with prior civil society experience and higher levels of education tend to allocate a lower portion of tied aid. Such extra-organizational experiences foster engagement with external professional communities and alignment with global norms toward aid untying. By contrast, those with civil servant backgrounds tend to allocate a higher portion of tied aid, as career bureaucrats are more likely to internalize organizational goals and adopt performance-oriented mindsets. Within Korea’s meritocratic bureaucracy, I illustrate how tied aid may be perceived as an effective tool for demonstrating bureaucratic competence.</w:t>
      </w:r>
    </w:p>
    <w:p/>
    <w:p>
      <w:r>
        <w:rPr>
          <w:rFonts w:ascii="Times New Roman" w:hAnsi="Times New Roman" w:eastAsia="黑体"/>
          <w:b/>
          <w:i w:val="0"/>
          <w:sz w:val="24"/>
        </w:rPr>
        <w:t>快速创新型企业：专利生命周期与对贸易和知识产权执法的支持</w:t>
      </w:r>
    </w:p>
    <w:p>
      <w:r>
        <w:rPr>
          <w:rFonts w:ascii="Times New Roman" w:hAnsi="Times New Roman" w:eastAsia="宋体"/>
          <w:b w:val="0"/>
          <w:i/>
          <w:color w:val="404040"/>
          <w:sz w:val="20"/>
        </w:rPr>
        <w:t>Rapidly innovating firms: patent lifecycle and support for trade and IP enforcement</w:t>
      </w:r>
    </w:p>
    <w:p>
      <w:r>
        <w:rPr>
          <w:rFonts w:ascii="Times New Roman" w:hAnsi="Times New Roman" w:eastAsia="宋体"/>
          <w:b w:val="0"/>
          <w:i w:val="0"/>
          <w:color w:val="595959"/>
          <w:sz w:val="18"/>
        </w:rPr>
        <w:t>Sujin Cha（Department of Political Science, University of Michigan）；Jieun Lee（Department of Political Science, University at Buffalo, SUNY）；Iain Osgood（Department of Political Science, University of Michigan）；Sojun Park（Center for International Studies, Massachusetts Institute of Technology）</w:t>
      </w:r>
    </w:p>
    <w:p>
      <w:r>
        <w:rPr>
          <w:rFonts w:ascii="Times New Roman" w:hAnsi="Times New Roman" w:eastAsia="宋体"/>
          <w:b w:val="0"/>
          <w:i w:val="0"/>
          <w:sz w:val="22"/>
        </w:rPr>
        <w:t>摘要：技术创新速度以及旧技术被淘汰的速度是现代经济中产业的基本特征。这些因素如何塑造贸易与贸易协定政治？作者描述两种潜在渠道：其一，快速创新者因处于创新前沿的优势竞争地位而支持贸易协定与贸易自由化；其二，快速创新者因对专利审批与执法速度的特殊需求而支持贸易协定与知识产权执法。作者将专利生命周期数据与美国关税及企业对贸易协定和知识产权执法的支持数据匹配，检验两种理论解释，发现与两者均一致的证据。结论是快速创新企业是全球化的坚定支持者，但其政治成功也加剧了国内外对当代国际秩序的争议。</w:t>
      </w:r>
    </w:p>
    <w:p>
      <w:r>
        <w:rPr>
          <w:rFonts w:ascii="Times New Roman" w:hAnsi="Times New Roman" w:eastAsia="宋体"/>
          <w:b w:val="0"/>
          <w:i w:val="0"/>
          <w:sz w:val="20"/>
        </w:rPr>
        <w:t>The rate of technological innovation and the speed with which old technologies are discarded are fundamental features of industries in the modern economy. How do these factors shape the politics of trade and trade agreements? We describe two potential channels. In one, rapid innovators support trade agreements and trade liberalization because of their privileged competitive position at the cutting edge of innovation. In the other, rapid innovators support trade agreements and intellectual property (IP) enforcement due to their particular need for speed in patent approval and enforcement. By matching data on patent lifecycles to data on United States (US) tariffs and corporate support for trade agreements and IP enforcement, we test these two theoretical accounts. We find evidence consistent with both. We conclude that rapidly innovating firms are strong supporters of globalization, though their political successes have also contributed to contention over the contemporary international order, both at home and abroad.</w:t>
      </w:r>
    </w:p>
    <w:p/>
    <w:p>
      <w:r>
        <w:rPr>
          <w:rFonts w:ascii="Times New Roman" w:hAnsi="Times New Roman" w:eastAsia="黑体"/>
          <w:b/>
          <w:i w:val="0"/>
          <w:sz w:val="24"/>
        </w:rPr>
        <w:t>泛非贸易的性别化：探索非洲大陆自由贸易协定的变革潜力</w:t>
      </w:r>
    </w:p>
    <w:p>
      <w:r>
        <w:rPr>
          <w:rFonts w:ascii="Times New Roman" w:hAnsi="Times New Roman" w:eastAsia="宋体"/>
          <w:b w:val="0"/>
          <w:i/>
          <w:color w:val="404040"/>
          <w:sz w:val="20"/>
        </w:rPr>
        <w:t>Gendering Pan-African trade: exploring the transformational potential of the African continental free trade agreement</w:t>
      </w:r>
    </w:p>
    <w:p>
      <w:r>
        <w:rPr>
          <w:rFonts w:ascii="Times New Roman" w:hAnsi="Times New Roman" w:eastAsia="宋体"/>
          <w:b w:val="0"/>
          <w:i w:val="0"/>
          <w:color w:val="595959"/>
          <w:sz w:val="18"/>
        </w:rPr>
        <w:t>Sophia Price（School of Social Sciences, Birkbeck College, University of London and University of Johannesburg）</w:t>
      </w:r>
    </w:p>
    <w:p>
      <w:r>
        <w:rPr>
          <w:rFonts w:ascii="Times New Roman" w:hAnsi="Times New Roman" w:eastAsia="宋体"/>
          <w:b w:val="0"/>
          <w:i w:val="0"/>
          <w:sz w:val="22"/>
        </w:rPr>
        <w:t>摘要：国际贸易协定日益关注性别不平等以及贸易的性别化结构与影响。贸易的“性别化”反映了新的贸易政策规范的出现，并引发其是否代表变革性转向的问题。本文通过聚焦非洲从事非正规跨境贸易的女性及其在非洲大陆自由贸易协定中的纳入来探讨这些问题，认为全面理解贸易的性别化结构和性别敏感贸易协定的变革潜力，需要置于多尺度、关系性的分析之中，以具体地理、社会和历史情境中的性别、种族和阶级不平等为中心。对非洲大陆自贸区而言，这需要重新思考国际贸易的概念与运作，尤其是通过国家边界与非正规经济的殖民性、性别化和边缘空间。作者认为近期贸易协定虽拥抱性别平等承诺，却嵌入了自由贸易正统并再生产而非解决不平等，这不仅质疑非洲大陆自贸区性别条款的效力，也质疑泛非主义一体化的变革潜力。</w:t>
      </w:r>
    </w:p>
    <w:p>
      <w:r>
        <w:rPr>
          <w:rFonts w:ascii="Times New Roman" w:hAnsi="Times New Roman" w:eastAsia="宋体"/>
          <w:b w:val="0"/>
          <w:i w:val="0"/>
          <w:sz w:val="20"/>
        </w:rPr>
        <w:t>International trade agreements are increasingly concerned with gender inequality and the gendered structures and impacts of trade. This ‘gendering’ of trade reflects the emergence of new trade policy norms and raises questions about whether this represents a transformational turn. This article explores these questions through a focus on women engaged in informal cross border trade (ICBT) in Africa and their inclusion in the African Continental Free Trade Agreement (AfCFTA). It argues that a comprehensive approach to understanding the gendered structures of trade and the transformational potential of gender-sensitive trade agreements, needs to be located within a multi-scalar and relational analysis that centers gendered, racialized and classed inequalities within specific geographic, social, and historic contexts. For AfCFTA, this requires rethinking how international trade is conceptualized and operates, particularly through the colonial, gendered and liminal spaces of national borders and the informal economy. It argues that while recent trade agreements embrace commitments to gender equality, they serve to embed free trade orthodoxy and reproduce rather than resolve inequality. This not only questions the remit of AfCFTA’s gender provisions, but also the transformational potential of Pan-Africanist integration.</w:t>
      </w:r>
    </w:p>
    <w:p/>
    <w:p>
      <w:r>
        <w:rPr>
          <w:rFonts w:ascii="Times New Roman" w:hAnsi="Times New Roman" w:eastAsia="黑体"/>
          <w:b/>
          <w:i w:val="0"/>
          <w:sz w:val="24"/>
        </w:rPr>
        <w:t>以废钞推动数字金融化：尼日利亚的冲击、金融科技采用与日常坚守</w:t>
      </w:r>
    </w:p>
    <w:p>
      <w:r>
        <w:rPr>
          <w:rFonts w:ascii="Times New Roman" w:hAnsi="Times New Roman" w:eastAsia="宋体"/>
          <w:b w:val="0"/>
          <w:i/>
          <w:color w:val="404040"/>
          <w:sz w:val="20"/>
        </w:rPr>
        <w:t>Digital financialization through demonetization: disruption, fintech adoption and everyday endurance in Nigeria</w:t>
      </w:r>
    </w:p>
    <w:p>
      <w:r>
        <w:rPr>
          <w:rFonts w:ascii="Times New Roman" w:hAnsi="Times New Roman" w:eastAsia="宋体"/>
          <w:b w:val="0"/>
          <w:i w:val="0"/>
          <w:color w:val="595959"/>
          <w:sz w:val="18"/>
        </w:rPr>
        <w:t>Shuaib Jalal-Eddeen（Institute for Global Prosperity, University College London）</w:t>
      </w:r>
    </w:p>
    <w:p>
      <w:r>
        <w:rPr>
          <w:rFonts w:ascii="Times New Roman" w:hAnsi="Times New Roman" w:eastAsia="宋体"/>
          <w:b w:val="0"/>
          <w:i w:val="0"/>
          <w:sz w:val="22"/>
        </w:rPr>
        <w:t>摘要：2022年10月26日，尼日利亚中央银行宣布以遏制腐败和推进数字金融包容为目标的废钞行动。该政策虽被框定为现代化改革，本文认为它巩固了一个由金融科技公司主导的混合金融领域。基于在尼日利亚吉梅塔九个月的民族志田野调查，本文探讨废钞引发的冲击如何造成系统性真空，使现金本身成为稀缺且可交易的商品，而金融科技恰好填补这一真空：在传统银行基础设施崩溃之际，这些应用便利支付并提供快速贷款，从而强化了强制性数字包容、监控与经济汲取。但这些动态并非被被动接受：个人和次国家行为体通过基于信任的交易、非正式借贷和替代性金融安排等坚守实践应对困境。</w:t>
      </w:r>
    </w:p>
    <w:p>
      <w:r>
        <w:rPr>
          <w:rFonts w:ascii="Times New Roman" w:hAnsi="Times New Roman" w:eastAsia="宋体"/>
          <w:b w:val="0"/>
          <w:i w:val="0"/>
          <w:sz w:val="20"/>
        </w:rPr>
        <w:t>On 26 October 2022, the Central Bank of Nigeria (CBN) announced a demonetization exercise aimed at curbing corruption and advancing digital financial inclusion. While the policy was framed as a modernizing reform, this paper argues that it consolidated a hybrid financial realm dominated by fintech firms. Drawing on nine months of ethnographic fieldwork in Jimeta, Nigeria, the paper explores how disruption triggered by demonetization created a systemic vacuum, turning cash itself into a scarce and tradable commodity, that fintech was positioned to fill. These applications facilitated payments and extended quick loans as traditional banking infrastructures collapsed, thereby intensifying coercive forms of digital inclusion, surveillance, and economic extraction. Yet, these dynamics were not passively accepted: The paper highlights how individuals and sub-national actors engaged in practices of endurance to navigate hardship, including trust-based transactions, informal lending, and alternative financial arrangements. In doing so, it contributes to debates in political economy and financialization by showing how digital finance unfolds through state failure and everyday negotiation.</w:t>
      </w:r>
    </w:p>
    <w:p/>
    <w:p>
      <w:r>
        <w:rPr>
          <w:rFonts w:ascii="Times New Roman" w:hAnsi="Times New Roman" w:eastAsia="黑体"/>
          <w:b/>
          <w:i w:val="0"/>
          <w:sz w:val="24"/>
        </w:rPr>
        <w:t>债权人协调的网络模型</w:t>
      </w:r>
    </w:p>
    <w:p>
      <w:r>
        <w:rPr>
          <w:rFonts w:ascii="Times New Roman" w:hAnsi="Times New Roman" w:eastAsia="宋体"/>
          <w:b w:val="0"/>
          <w:i/>
          <w:color w:val="404040"/>
          <w:sz w:val="20"/>
        </w:rPr>
        <w:t>A network model of creditor coordination</w:t>
      </w:r>
    </w:p>
    <w:p>
      <w:r>
        <w:rPr>
          <w:rFonts w:ascii="Times New Roman" w:hAnsi="Times New Roman" w:eastAsia="宋体"/>
          <w:b w:val="0"/>
          <w:i w:val="0"/>
          <w:color w:val="595959"/>
          <w:sz w:val="18"/>
        </w:rPr>
        <w:t>Paasha Mahdavi（Department of Political Science, University of California）；Christina J. Schneider（Department of Political Science, University of California）；Jennifer L. Tobin（McCourt School of Public Policy, Georgetown University）</w:t>
      </w:r>
    </w:p>
    <w:p>
      <w:r>
        <w:rPr>
          <w:rFonts w:ascii="Times New Roman" w:hAnsi="Times New Roman" w:eastAsia="宋体"/>
          <w:b w:val="0"/>
          <w:i w:val="0"/>
          <w:sz w:val="22"/>
        </w:rPr>
        <w:t>摘要：本文提出债权人协调的网络模型。作者认为债权人嵌入影响其提供贷款或重组债务意愿的非正式网络：债权人并非孤立行动，而是观察彼此行为、更新对集体结果的预期并相应调整策略。利用随机行为者导向网络模型，作者分析1992—2013年间IMF、官方双边债权人、巴黎俱乐部和私人债权人四大债权人群体在100多个债务国中的救助策略如何共同演化。研究发现债权人决策受不断演化的网络动态塑造：当部分债权人提供支持时，网络结构改变，降低感知风险并强化其他债权人的参与。结果凸显了非正式、相互强化的协调在促成主权债务救助中的关键作用。</w:t>
      </w:r>
    </w:p>
    <w:p>
      <w:r>
        <w:rPr>
          <w:rFonts w:ascii="Times New Roman" w:hAnsi="Times New Roman" w:eastAsia="宋体"/>
          <w:b w:val="0"/>
          <w:i w:val="0"/>
          <w:sz w:val="20"/>
        </w:rPr>
        <w:t>This paper presents a network model of creditor coordination. We argue that creditors are embedded in informal networks that shape their willingness to provide loans or restructure debt. Rather than acting in isolation, creditors observe each other’s actions, update expectations about collective outcomes, and adjust their strategies accordingly. Using a stochastic actor-oriented network model, we analyze how the rescue strategies of four major creditor groups – the IMF, official bilateral creditors, the Paris Club, and private creditors – co-evolved across more than 100 debtor countries between 1992 and 2013. Our findings show that creditor decisions are shaped by evolving network dynamics: When some creditors provide support, it alters the structure of the network, reducing perceived risks and reinforcing additional creditor participation. These results highlight the critical role of informal, mutually reinforcing coordination in facilitating sovereign debt rescues and offer new insights into the strategic underpinnings of international financial cooperation.</w:t>
      </w:r>
    </w:p>
    <w:p/>
    <w:p>
      <w:r>
        <w:rPr>
          <w:rFonts w:ascii="Times New Roman" w:hAnsi="Times New Roman" w:eastAsia="黑体"/>
          <w:b/>
          <w:i w:val="0"/>
          <w:sz w:val="24"/>
        </w:rPr>
        <w:t>参与争夺，避免反弹？双边投资协定谈判中的党派动态</w:t>
      </w:r>
    </w:p>
    <w:p>
      <w:r>
        <w:rPr>
          <w:rFonts w:ascii="Times New Roman" w:hAnsi="Times New Roman" w:eastAsia="宋体"/>
          <w:b w:val="0"/>
          <w:i/>
          <w:color w:val="404040"/>
          <w:sz w:val="20"/>
        </w:rPr>
        <w:t>Play the scramble, avoid the backlash? Partisan dynamics in the negotiation of bilateral investment treaties</w:t>
      </w:r>
    </w:p>
    <w:p>
      <w:r>
        <w:rPr>
          <w:rFonts w:ascii="Times New Roman" w:hAnsi="Times New Roman" w:eastAsia="宋体"/>
          <w:b w:val="0"/>
          <w:i w:val="0"/>
          <w:color w:val="595959"/>
          <w:sz w:val="18"/>
        </w:rPr>
        <w:t>Andrew C. McWard（Department of Politics and Public Affairs, Denison University）；Yumi Park（Department of International Economics, Government and Business, Copenhagen Business School）</w:t>
      </w:r>
    </w:p>
    <w:p>
      <w:r>
        <w:rPr>
          <w:rFonts w:ascii="Times New Roman" w:hAnsi="Times New Roman" w:eastAsia="宋体"/>
          <w:b w:val="0"/>
          <w:i w:val="0"/>
          <w:sz w:val="22"/>
        </w:rPr>
        <w:t>摘要：由世纪之交双边投资协定激增所引发的现代国际投资机制，如今正面临不满国家的反弹。作者在条约层面考察这两个合作时期之间的联系，认为发展中国家内部不同党派联盟影响协定的形成，进而影响其设计与存续：左翼政党通常不愿签订双边投资协定，这使其在签署少数协定时具有谈判优势；右翼政党则以高昂代价拥抱双边投资协定，以锁定亲商政策。左翼形成的协定避免了这类严苛义务，发展中国家对其条款的满意时间更长。作者以1980—2020年双边投资协定形成、设计与退出数据进行定量检验，重点关注退出条款的纳入。</w:t>
      </w:r>
    </w:p>
    <w:p>
      <w:r>
        <w:rPr>
          <w:rFonts w:ascii="Times New Roman" w:hAnsi="Times New Roman" w:eastAsia="宋体"/>
          <w:b w:val="0"/>
          <w:i w:val="0"/>
          <w:sz w:val="20"/>
        </w:rPr>
        <w:t>Sparked by a proliferation of bilateral investment treaties (BITs) at the turn of the century, the modern international investment regime now faces a backlash from dissatisfied states. We examine the link between these two periods of cooperation at the treaty level. Specifically, we argue that different partisan coalitions within developing countries influence an agreement’s formation with implications for its design and longevity. Left-wing parties are generally reluctant to form BITs, which grants them an advantage in negotiation for the rare agreements they do sign onto. In contrast, right-wing parties embrace BITs with high costs to lock-in pro-business policies. Agreements formed by the left avoid such stringent obligations and developing countries remain satisfied with the treaty’s terms for a longer period of time. We test the argument quantitatively with data on BIT formation, design, and exit from 1980 to 2020, with an emphasis on the inclusion of exit clauses. The paper adds to our understanding of the international investment regime’s present crisis and highlights the understudied role of partisan politics in international cooperation.</w:t>
      </w:r>
    </w:p>
    <w:p/>
    <w:p>
      <w:r>
        <w:rPr>
          <w:rFonts w:ascii="Times New Roman" w:hAnsi="Times New Roman" w:eastAsia="黑体"/>
          <w:b/>
          <w:i w:val="0"/>
          <w:sz w:val="24"/>
        </w:rPr>
        <w:t>伙伴还是对手？亚投行与既有多边开发银行的合作</w:t>
      </w:r>
    </w:p>
    <w:p>
      <w:r>
        <w:rPr>
          <w:rFonts w:ascii="Times New Roman" w:hAnsi="Times New Roman" w:eastAsia="宋体"/>
          <w:b w:val="0"/>
          <w:i/>
          <w:color w:val="404040"/>
          <w:sz w:val="20"/>
        </w:rPr>
        <w:t>Partners and rivals? The AIIB’s cooperation with preexisting multilateral development banks</w:t>
      </w:r>
    </w:p>
    <w:p>
      <w:r>
        <w:rPr>
          <w:rFonts w:ascii="Times New Roman" w:hAnsi="Times New Roman" w:eastAsia="宋体"/>
          <w:b w:val="0"/>
          <w:i w:val="0"/>
          <w:color w:val="595959"/>
          <w:sz w:val="18"/>
        </w:rPr>
        <w:t>Benjamin Daßler（LMU Munich）；Angelo Gerber-Helm（International Relations and Political Science Department, Geneva Graduate Institute）；Mirko Heinzel（Department of Political Science, Maastricht University）</w:t>
      </w:r>
    </w:p>
    <w:p>
      <w:r>
        <w:rPr>
          <w:rFonts w:ascii="Times New Roman" w:hAnsi="Times New Roman" w:eastAsia="宋体"/>
          <w:b w:val="0"/>
          <w:i w:val="0"/>
          <w:sz w:val="22"/>
        </w:rPr>
        <w:t>摘要：亚洲基础设施投资银行常被视为对世界银行、亚洲开发银行等支持美国主导自由国际秩序的既有多边开发银行的挑战者。然而项目层面数据显示，亚投行与这些多边开发银行的合作远多于以往认识，约一半项目组合涉及合作。亚投行为何在部分项目中选择合作而在其他项目中不合作？作者认为新国际组织同时具有功能性与合法性驱动的合作激励，具体假设亚投行在以下情境中更可能合作：（1）缺乏运营经验；（2）腐败风险高；（3）中国合法性有限；（4）中国尚无既有发展存在。利用2016—2023年亚投行项目原创数据，作者发现亚投行与世界银行的合作在与中国已有“一带一路”联系的国家中较少；而亚投行与亚开行的合作随腐败程度上升而增加，且在“一带一路”国家中更常见。</w:t>
      </w:r>
    </w:p>
    <w:p>
      <w:r>
        <w:rPr>
          <w:rFonts w:ascii="Times New Roman" w:hAnsi="Times New Roman" w:eastAsia="宋体"/>
          <w:b w:val="0"/>
          <w:i w:val="0"/>
          <w:sz w:val="20"/>
        </w:rPr>
        <w:t>The Asian Infrastructure Investment Bank (AIIB) is often seen as a challenger to established Multilateral Development Banks (MDBs) like the World Bank (WB) and the Asian Development Bank (ADB), which support the US-led liberal international order. However, project-level data reveals that the AIIB cooperates with these MDBs far more than previously recognized. Approximately half of its portfolio involves collaboration. Why does the AIIB choose to partner in some projects but not others? We argue that new international organizations have both functional and legitimacy-driven incentives to cooperate. Specifically, we hypothesize that the AIIB is more likely to collaborate in contexts where it (1) lacks operational experience, (2) corruption risks are high, (3) China’s legitimacy is limited, and (4) China has no established development presence. Using original data on AIIB projects (2016–2023), we find that AIIB-WB cooperation is less pronounced in countries with pre-existing Belt and Road Initiative (BRI) ties to China. In contrast, AIIB-ADB cooperation increases with corruption levels and is more common in BRI-affiliated countries. Our findings contribute to better understanding how newly created institutions navigate the complexities of power transitions in the international political economy.</w:t>
      </w:r>
    </w:p>
    <w:p/>
    <w:p>
      <w:r>
        <w:rPr>
          <w:rFonts w:ascii="Times New Roman" w:hAnsi="Times New Roman" w:eastAsia="黑体"/>
          <w:b/>
          <w:i w:val="0"/>
          <w:sz w:val="24"/>
        </w:rPr>
        <w:t>可持续金融全球治理复合体中的重叠与碎片化</w:t>
      </w:r>
    </w:p>
    <w:p>
      <w:r>
        <w:rPr>
          <w:rFonts w:ascii="Times New Roman" w:hAnsi="Times New Roman" w:eastAsia="宋体"/>
          <w:b w:val="0"/>
          <w:i/>
          <w:color w:val="404040"/>
          <w:sz w:val="20"/>
        </w:rPr>
        <w:t>Overlap and fragmentation in the global governance complex of sustainable finance</w:t>
      </w:r>
    </w:p>
    <w:p>
      <w:r>
        <w:rPr>
          <w:rFonts w:ascii="Times New Roman" w:hAnsi="Times New Roman" w:eastAsia="宋体"/>
          <w:b w:val="0"/>
          <w:i w:val="0"/>
          <w:color w:val="595959"/>
          <w:sz w:val="18"/>
        </w:rPr>
        <w:t>Stefan Renckens（Department of Political Science, University of Toronto）；Christian Elliott（School of International Affairs, Pennsylvania State University）</w:t>
      </w:r>
    </w:p>
    <w:p>
      <w:r>
        <w:rPr>
          <w:rFonts w:ascii="Times New Roman" w:hAnsi="Times New Roman" w:eastAsia="宋体"/>
          <w:b w:val="0"/>
          <w:i w:val="0"/>
          <w:sz w:val="22"/>
        </w:rPr>
        <w:t>摘要：二十多年来，应对可持续金融的全球治理倡议——无论是推进气候风险披露还是界定绿色债券标准——激增。作为全球治理复杂性扩大这一更大趋势的典型，一个关键问题是这些由公共与私人行为体共同开发的倡议是在形成分工还是重复劳动？若存在重复，公共倡议是否比私人或公私倡议更可能造成重复？基于机制复杂性文献，作者以2000—2020年建立的111项可持续金融治理倡议原创数据集评估这些问题，通过聚焦倡议的“治理空间”（由议题领域、治理功能、目标行为体和启动时间界定）扩展现有制度重叠与碎片化测量。研究发现虽然可持续金融存在显著重复，但治理格局更多以议题、功能和目标之间的分工为特征；且没有发现公共倡议比其他倡议更多地造成重复。</w:t>
      </w:r>
    </w:p>
    <w:p>
      <w:r>
        <w:rPr>
          <w:rFonts w:ascii="Times New Roman" w:hAnsi="Times New Roman" w:eastAsia="宋体"/>
          <w:b w:val="0"/>
          <w:i w:val="0"/>
          <w:sz w:val="20"/>
        </w:rPr>
        <w:t>Global governance initiatives addressing sustainable finance, whether for advancing climate risk disclosure or defining green bond standards, have proliferated for over 20 years. Emblematic of a larger trend of broadening global governance complexity, a key question is whether these proliferating initiatives – developed by public and private actors alike – are producing a division of labor or a duplication of efforts. Moreover, if duplication is occurring, are public initiatives more likely to contribute as compared to private or public-private initiatives? Building on the regime complexity literature, we assess these questions with an original dataset of 111 Sustainable Finance Governance Initiatives (SFGIs) established between 2000 and 2020. We expand on existing measures of institutional overlap and fragmentation by developing an approach that focuses on an initiative’s ‘governance space’, defined by an SFGI’s issue area, governance function, actor target, and time of launch. We find that while there is significant duplication in sustainable finance, the governance landscape is more characterized by a division of labor between issues, functions, and targets. Moreover, we do not find that public initiatives contribute more to duplication than other initiatives. As such, our article offers theoretical and empirical contributions to the study of global governance and the international political economy of finance.</w:t>
      </w:r>
    </w:p>
    <w:p/>
    <w:p>
      <w:r>
        <w:rPr>
          <w:rFonts w:ascii="Times New Roman" w:hAnsi="Times New Roman" w:eastAsia="黑体"/>
          <w:b/>
          <w:i w:val="0"/>
          <w:sz w:val="24"/>
        </w:rPr>
        <w:t>政治理性的金融化：社会影响力债券与澳大利亚福利国家中的日常金融化</w:t>
      </w:r>
    </w:p>
    <w:p>
      <w:r>
        <w:rPr>
          <w:rFonts w:ascii="Times New Roman" w:hAnsi="Times New Roman" w:eastAsia="宋体"/>
          <w:b w:val="0"/>
          <w:i/>
          <w:color w:val="404040"/>
          <w:sz w:val="20"/>
        </w:rPr>
        <w:t>Financializing political rationality: social impact bonds and everyday financialization in the Australian welfare state</w:t>
      </w:r>
    </w:p>
    <w:p>
      <w:r>
        <w:rPr>
          <w:rFonts w:ascii="Times New Roman" w:hAnsi="Times New Roman" w:eastAsia="宋体"/>
          <w:b w:val="0"/>
          <w:i w:val="0"/>
          <w:color w:val="595959"/>
          <w:sz w:val="18"/>
        </w:rPr>
        <w:t>Jacob Broom（Indo-Pacific Research Centre, School of Humanities, Arts, and Social Sciences, Murdoch University）</w:t>
      </w:r>
    </w:p>
    <w:p>
      <w:r>
        <w:rPr>
          <w:rFonts w:ascii="Times New Roman" w:hAnsi="Times New Roman" w:eastAsia="宋体"/>
          <w:b w:val="0"/>
          <w:i w:val="0"/>
          <w:sz w:val="22"/>
        </w:rPr>
        <w:t>摘要：本文以澳大利亚社会影响力债券为国家金融化日常生活的案例，探讨其对金融化与新自由主义关系的含义。社会影响力债券是基于结果、通过将失败风险出售给私人金融为社会项目融资的实验性合同安排，自2010年在英国采用以来已扩散至40多个国家，要求公职人员和从业者在提供福利项目时从事金融实践。基于文件分析与访谈的定性案例研究揭示社会影响力债券中日常金融化的五种模式：选择资助项目、协商价值、使用证据、培训非营利组织的金融思维、将金融逻辑嵌入按结果付费合同。作者认为这些日常实践揭示了新自由主义理性与金融理性之间的不和谐。</w:t>
      </w:r>
    </w:p>
    <w:p>
      <w:r>
        <w:rPr>
          <w:rFonts w:ascii="Times New Roman" w:hAnsi="Times New Roman" w:eastAsia="宋体"/>
          <w:b w:val="0"/>
          <w:i w:val="0"/>
          <w:sz w:val="20"/>
        </w:rPr>
        <w:t>This article explores Australian social impact bonds (SIBs) as a case study of the everyday life of state financialization and considers their implications for the relationship between financialization and neoliberalism. SIBs are experimental contractual arrangements for funding social programs based on their outcomes by selling the risk of failure to private finance. Since being adopted in the UK in 2010, they have spread to over 40 countries. SIBs require public officials and practitioners to engage in financial practices in the pursuit of delivering welfare programs. This article builds on literature on state financialization and the financialization of everyday life by centering these everyday practices. It argues that the everyday practices in SIBs reveal disharmonies between neoliberal rationality and financial rationality. This is demonstrated through a qualitative case study of Australian SIBs, based in document analysis and interviews. The case study highlights five modes of everyday financialization in SIBs: selecting programs to fund, negotiating value, using evidence, training nonprofit organizations in financial thinking, and embedding the logic of finance in payment-by-outcomes contracts. The article contributes to debates on the relationship between financialization and neoliberalism and highlights the value of exploring the everyday practices and governing rationalities involved in state financialization.</w:t>
      </w:r>
    </w:p>
    <w:p/>
    <w:p>
      <w:r>
        <w:rPr>
          <w:rFonts w:ascii="Times New Roman" w:hAnsi="Times New Roman" w:eastAsia="黑体"/>
          <w:b/>
          <w:i w:val="0"/>
          <w:sz w:val="24"/>
        </w:rPr>
        <w:t>银行与可持续金融的背离：欧洲央行对绿色债券的影响</w:t>
      </w:r>
    </w:p>
    <w:p>
      <w:r>
        <w:rPr>
          <w:rFonts w:ascii="Times New Roman" w:hAnsi="Times New Roman" w:eastAsia="宋体"/>
          <w:b w:val="0"/>
          <w:i/>
          <w:color w:val="404040"/>
          <w:sz w:val="20"/>
        </w:rPr>
        <w:t>Banking against sustainable finance: the effect of the European central bank on green bonds</w:t>
      </w:r>
    </w:p>
    <w:p>
      <w:r>
        <w:rPr>
          <w:rFonts w:ascii="Times New Roman" w:hAnsi="Times New Roman" w:eastAsia="宋体"/>
          <w:b w:val="0"/>
          <w:i w:val="0"/>
          <w:color w:val="595959"/>
          <w:sz w:val="18"/>
        </w:rPr>
        <w:t>Julio Galindo-Gutiérrez（Department of Politics and International Relations, University of York）</w:t>
      </w:r>
    </w:p>
    <w:p>
      <w:r>
        <w:rPr>
          <w:rFonts w:ascii="Times New Roman" w:hAnsi="Times New Roman" w:eastAsia="宋体"/>
          <w:b w:val="0"/>
          <w:i w:val="0"/>
          <w:sz w:val="22"/>
        </w:rPr>
        <w:t>摘要：本文强调央行实践对气候金融表现的意外后果。通过提供央行愿意从投资者处购买个别债券的信息，抵押品框架可以安抚或惊吓市场行为体。央行抵押品框架已受到一些分析，但其与可持续金融的关系被忽视。通过比较匹配的绿色债券与传统债券，本文发现欧洲央行存在“反绿色偏向”的稳健经验证据：其抵押品框架系统性低估绿色债券相对于传统债券的价值。欧洲央行抵押品框架还会影响市场：其对绿色债券施加的较低估值转化为绿色债券发行人更高的借款成本，限制了支持绿色转型所需经济活动的可用融资。</w:t>
      </w:r>
    </w:p>
    <w:p>
      <w:r>
        <w:rPr>
          <w:rFonts w:ascii="Times New Roman" w:hAnsi="Times New Roman" w:eastAsia="宋体"/>
          <w:b w:val="0"/>
          <w:i w:val="0"/>
          <w:sz w:val="20"/>
        </w:rPr>
        <w:t>This paper highlights the unintended consequences of central bank practices on climate finance performance. By providing information on central banks’ willingness to buy individual bonds from investors, collateral frameworks can reassure or spook market actors. While central bank collateral frameworks have been subjected to some analysis, their relationship with sustainable finance has been overlooked. By comparing matched green and conventional bonds, this paper finds robust empirical evidence of an anti-green bias at the European Central Bank (ECB), whose collateral framework systematically under-values green bonds relative to conventional bonds. It also shows that the ECB collateral framework moves markets; the lower value that the ECB imposes on green bonds translates into higher borrowing costs for green bond issuers, constraining the financing available to support the economic activities needed for a green transition. Given the ECB commitment to ensure that all of its policies are aligned with the objectives of the Paris Agreement, it is important that its impact on green bonds and potentially other forms of sustainable finance be subjected to further review and analysis.</w:t>
      </w:r>
    </w:p>
    <w:p/>
    <w:p>
      <w:r>
        <w:rPr>
          <w:rFonts w:ascii="Times New Roman" w:hAnsi="Times New Roman" w:eastAsia="黑体"/>
          <w:b/>
          <w:i w:val="0"/>
          <w:sz w:val="24"/>
        </w:rPr>
        <w:t>“一带一路”倡议中经济联盟的兴衰：肯尼亚一个旗舰项目的案例研究</w:t>
      </w:r>
    </w:p>
    <w:p>
      <w:r>
        <w:rPr>
          <w:rFonts w:ascii="Times New Roman" w:hAnsi="Times New Roman" w:eastAsia="宋体"/>
          <w:b w:val="0"/>
          <w:i/>
          <w:color w:val="404040"/>
          <w:sz w:val="20"/>
        </w:rPr>
        <w:t>The rise and fall of economic coalitions in the Belt and Road Initiative: case study of a flagship project in Kenya</w:t>
      </w:r>
    </w:p>
    <w:p>
      <w:r>
        <w:rPr>
          <w:rFonts w:ascii="Times New Roman" w:hAnsi="Times New Roman" w:eastAsia="宋体"/>
          <w:b w:val="0"/>
          <w:i w:val="0"/>
          <w:color w:val="595959"/>
          <w:sz w:val="18"/>
        </w:rPr>
        <w:t>Keren Zhu（Department of Political Science, Davidson College）</w:t>
      </w:r>
    </w:p>
    <w:p>
      <w:r>
        <w:rPr>
          <w:rFonts w:ascii="Times New Roman" w:hAnsi="Times New Roman" w:eastAsia="宋体"/>
          <w:b w:val="0"/>
          <w:i w:val="0"/>
          <w:sz w:val="22"/>
        </w:rPr>
        <w:t>摘要：中国已在100多个国家融资建设基础设施项目，深刻影响东道国经济增长与政治动态。与东道国最初的热烈欢迎相反，许多项目遭遇强烈抵制和意外后果。为何基础设施项目在其发展过程中引发不同反应？本文运用倡导联盟框架，追踪中国融资建设的肯尼亚标准轨距铁路——“一带一路”旗舰项目——中经济联盟的形成与分裂。中国与东道国利益的趋同促成政府与社区联盟支持项目开发，但这些联盟随利益再分配而波动，形成基础设施发展官方话语与实际发展结果之间的反差，导致次国家层面支持摇摆。这为项目可持续性增添不确定性，也给“一带一路”等基础设施主导的发展努力造成困境。</w:t>
      </w:r>
    </w:p>
    <w:p>
      <w:r>
        <w:rPr>
          <w:rFonts w:ascii="Times New Roman" w:hAnsi="Times New Roman" w:eastAsia="宋体"/>
          <w:b w:val="0"/>
          <w:i w:val="0"/>
          <w:sz w:val="20"/>
        </w:rPr>
        <w:t>China has financed and constructed infrastructure projects in over 100 countries, profoundly impacting host countries’ economic growth and political dynamics. Contrary to the initial warm embrace from host countries, many of these projects face severe pushback and unintended consequences. Why do infrastructure projects elicit diverse responses over their course of development? Applying the Advocacy Coalition Framework (ACF), this article traces the formation and fragmentation of economic coalitions in the China-financed and -constructed Kenyan Standard Gauge Railway, a Belt and Road Initiative (BRI) flagship project. The convergence of Chinese and host country interests contributed to government and community coalition support for project development. Yet these coalitions fluctuate with interest redistribution, creating a contrast between official discourse about infrastructure development and actual development outcomes, thus resulting in wavering subnational support. They add uncertainty to project sustainability and create a dilemma for infrastructure-led development efforts such as the BRI. My detailed documentation of the changing host country stakeholder dynamics offers a nuanced perspective on China’s influence on the Global South’s subnational and community political economy.</w:t>
      </w:r>
    </w:p>
    <w:p/>
    <w:p>
      <w:r>
        <w:rPr>
          <w:rFonts w:ascii="Times New Roman" w:hAnsi="Times New Roman" w:eastAsia="黑体"/>
          <w:b/>
          <w:i w:val="0"/>
          <w:sz w:val="24"/>
        </w:rPr>
        <w:t>运作中的反霸权：“一带一路”倡议与国际政治经济的重构</w:t>
      </w:r>
    </w:p>
    <w:p>
      <w:r>
        <w:rPr>
          <w:rFonts w:ascii="Times New Roman" w:hAnsi="Times New Roman" w:eastAsia="宋体"/>
          <w:b w:val="0"/>
          <w:i/>
          <w:color w:val="404040"/>
          <w:sz w:val="20"/>
        </w:rPr>
        <w:t>Counterhegemony at work: the Belt and Road Initiative and the restructuring of international political economy</w:t>
      </w:r>
    </w:p>
    <w:p>
      <w:r>
        <w:rPr>
          <w:rFonts w:ascii="Times New Roman" w:hAnsi="Times New Roman" w:eastAsia="宋体"/>
          <w:b w:val="0"/>
          <w:i w:val="0"/>
          <w:color w:val="595959"/>
          <w:sz w:val="18"/>
        </w:rPr>
        <w:t>Xiaobo Su（Department of Geography, University of Oregon）</w:t>
      </w:r>
    </w:p>
    <w:p>
      <w:r>
        <w:rPr>
          <w:rFonts w:ascii="Times New Roman" w:hAnsi="Times New Roman" w:eastAsia="宋体"/>
          <w:b w:val="0"/>
          <w:i w:val="0"/>
          <w:sz w:val="22"/>
        </w:rPr>
        <w:t>摘要：自提出以来，“一带一路”倡议旨在通过基础设施发展与贸易便利化加强跨国互联互通，成为国际政治经济学领域的焦点。本文对“一带一路”如何将国际政治经济重构为地缘政治与地缘经济合作的多极秩序进行概念探索。借鉴葛兰西的分析框架——尤其是其（反）霸权思想——作者分析“一带一路”如何在中国引领下促成全球南方行为体的反霸权运动，搭建自身发展阶梯并挑战新自由主义国际政治经济。通过观念、制度与物质能力的协同，分析力图以南方导向的国际发展范式超越西方中心的新自由主义国际政治经济学：“一带一路”有潜力将强调基础设施投资、产业政策与经济规划以促进工业化与国家发展的“发展型国际政治经济”制度化。作者突出围绕全球南方利益形成历史集团的可能性。</w:t>
      </w:r>
    </w:p>
    <w:p>
      <w:r>
        <w:rPr>
          <w:rFonts w:ascii="Times New Roman" w:hAnsi="Times New Roman" w:eastAsia="宋体"/>
          <w:b w:val="0"/>
          <w:i w:val="0"/>
          <w:sz w:val="20"/>
        </w:rPr>
        <w:t>Since its inception, the Belt and Road Initiative (BRI) has aimed to strengthen transnational connectivity through infrastructure development and trade facilitation, and thus become a focal point in the field of international political economy (IPE). This article offers a conceptual exploration of how the BRI is restructuring the IPE toward a multipolar order of geopolitical and geoeconomic cooperation. Drawing on Gramsci’s analytical framework – particularly his insights into (counter)hegemony – I analyze how the BRI fosters a counterhegemonic movement among Global South actors, led by China, to build their own ladders of development and challenge neoliberal IPE. Addressing a synergy of ideas, institutions, and material capabilities, this analysis seeks to transcend the Western-centric neoliberal IPE by advancing a Southern-oriented international development paradigm. Specifically, the BRI has the potential to institutionalize developmental IPE which emphasizes infrastructure investment, industrial policy, and economic planning to foster industrialization and promote national development. By returning to Gramsci’s theorization, this article offers a revised analytical lens through which to understand the restructuring of IPE. It foregrounds the possibility of a historical bloc forming around Global South interests, thereby expanding the theoretical and political terrain for rethinking global order beyond neoliberal orthodoxy.</w:t>
      </w:r>
    </w:p>
    <w:p/>
    <w:p>
      <w:r>
        <w:rPr>
          <w:rFonts w:ascii="Times New Roman" w:hAnsi="Times New Roman" w:eastAsia="黑体"/>
          <w:b/>
          <w:i w:val="0"/>
          <w:sz w:val="24"/>
        </w:rPr>
        <w:t>焦点组织的艰难构建：战后贸易复合体（1947—1971）的教训</w:t>
      </w:r>
    </w:p>
    <w:p>
      <w:r>
        <w:rPr>
          <w:rFonts w:ascii="Times New Roman" w:hAnsi="Times New Roman" w:eastAsia="宋体"/>
          <w:b w:val="0"/>
          <w:i/>
          <w:color w:val="404040"/>
          <w:sz w:val="20"/>
        </w:rPr>
        <w:t>The challenging construction of a focal organization: lessons from the postwar trade complex (1947–1971)</w:t>
      </w:r>
    </w:p>
    <w:p>
      <w:r>
        <w:rPr>
          <w:rFonts w:ascii="Times New Roman" w:hAnsi="Times New Roman" w:eastAsia="宋体"/>
          <w:b w:val="0"/>
          <w:i w:val="0"/>
          <w:color w:val="595959"/>
          <w:sz w:val="18"/>
        </w:rPr>
        <w:t>Francesco Gatti（Faculty of Political and Social Sciences, Scuola Normale Superiore; CEFA）</w:t>
      </w:r>
    </w:p>
    <w:p>
      <w:r>
        <w:rPr>
          <w:rFonts w:ascii="Times New Roman" w:hAnsi="Times New Roman" w:eastAsia="宋体"/>
          <w:b w:val="0"/>
          <w:i w:val="0"/>
          <w:sz w:val="22"/>
        </w:rPr>
        <w:t>摘要：焦点组织正受到威胁，其中心地位受到国家与竞争性制度挑战，但这并非前所未有：即使在相对等级化的复合体中，焦点组织历史上也曾面临挑战。本文以战后贸易复合体为例，借助新的理论见解，展示焦点组织关贸总协定如何自成立起就受到竞争性制度行为体挑战，并通过量身定制的策略应对这些挑战者，扩展其最初有限的焦点地位，并在20世纪最后二十五年巩固其作为国际贸易治理核心的地位。本文有三点贡献：提供关于焦点性的新视角，强调其动态性；探讨经济互助委员会、欧洲经济合作组织（后为经合组织）和联合国贸发会议三个机构如何及为何在战后数十年挑战关贸总协定的焦点地位；展示关贸总协定如何随时间运用不同战略回应成功应对挑战。</w:t>
      </w:r>
    </w:p>
    <w:p>
      <w:r>
        <w:rPr>
          <w:rFonts w:ascii="Times New Roman" w:hAnsi="Times New Roman" w:eastAsia="宋体"/>
          <w:b w:val="0"/>
          <w:i w:val="0"/>
          <w:sz w:val="20"/>
        </w:rPr>
        <w:t>Focal organizations are under threat, with their central position challenged by states and rival institutions. However, this is not unprecedented. Even in relatively hierarchical complexes, focal organizations have historically faced challenges. The article examines the postwar trade complex as a case in point. Drawing on new theoretical insights, it shows how the focal General Agreement on Tariffs and Trade (GATT) was challenged from rival institutional actors from its inception. The article explores how GATT countered these challengers through tailored strategies, enabling it to expand its initially limited focality and solidify its position as the centerpiece of international trade governance by the last quarter of the twentieth century. The article makes three contributions. First, it provides a new perspective on focality, emphasizing the dynamic nature of this notion and its analytical potential. Second, it explores how and why three institutions – the Council for Mutual Economic Assistance (CMEA), the Organization for European Economic Cooperation (OEEC, later the Organization for Economic Cooperation and Development (OECD)), and the United Nations Conference on Trade and Development (UNCTAD) – challenged GATT’s focality during the postwar decades. Finally, it shows how GATT successfully navigated these challenges by employing different strategic responses over time.</w:t>
      </w:r>
    </w:p>
    <w:p/>
    <w:p>
      <w:r>
        <w:rPr>
          <w:rFonts w:ascii="Times New Roman" w:hAnsi="Times New Roman" w:eastAsia="黑体"/>
          <w:b/>
          <w:i w:val="0"/>
          <w:sz w:val="24"/>
        </w:rPr>
        <w:t>迈向再生资本主义？危机时期企业可持续性的重塑</w:t>
      </w:r>
    </w:p>
    <w:p>
      <w:r>
        <w:rPr>
          <w:rFonts w:ascii="Times New Roman" w:hAnsi="Times New Roman" w:eastAsia="宋体"/>
          <w:b w:val="0"/>
          <w:i/>
          <w:color w:val="404040"/>
          <w:sz w:val="20"/>
        </w:rPr>
        <w:t>Toward regenerative capitalism? The remaking of corporate sustainability in times of crises</w:t>
      </w:r>
    </w:p>
    <w:p>
      <w:r>
        <w:rPr>
          <w:rFonts w:ascii="Times New Roman" w:hAnsi="Times New Roman" w:eastAsia="宋体"/>
          <w:b w:val="0"/>
          <w:i w:val="0"/>
          <w:color w:val="595959"/>
          <w:sz w:val="18"/>
        </w:rPr>
        <w:t>Philip Schleifer（Department of Political Science, University of Amsterdam）</w:t>
      </w:r>
    </w:p>
    <w:p>
      <w:r>
        <w:rPr>
          <w:rFonts w:ascii="Times New Roman" w:hAnsi="Times New Roman" w:eastAsia="宋体"/>
          <w:b w:val="0"/>
          <w:i w:val="0"/>
          <w:sz w:val="22"/>
        </w:rPr>
        <w:t>摘要：在日益加剧的生态与社会危机中，全球商业精英越来越多地倡导转向“再生资本主义”，将企业视为变革性、净正面改变的推动者。本综述文章通过分析2020年代初六本有影响力的商业著作，批判性评估这一新兴话语，揭示其根本局限与矛盾：第一，再生议程主要是话语转变，仍深嵌于企业可持续性与绿色资本主义框架；第二，再生话语策略性地强化企业在全球可持续治理中的权力，将跨国公司塑造为应对全球挑战的英雄式核心行为体；第三，其对远期目标、模糊承诺与接受权衡的强调为企业维持破坏环境与剥削性的做法留下漏洞；第四，在系统转型叙事之下，再生话语根本上仍致力于企业增长与盈利。</w:t>
      </w:r>
    </w:p>
    <w:p>
      <w:r>
        <w:rPr>
          <w:rFonts w:ascii="Times New Roman" w:hAnsi="Times New Roman" w:eastAsia="宋体"/>
          <w:b w:val="0"/>
          <w:i w:val="0"/>
          <w:sz w:val="20"/>
        </w:rPr>
        <w:t>Amid intensifying ecological and social crises, global business elites increasingly advocate a shift toward ‘regenerative capitalism’, proposing businesses as agents of transformative, net positive change. This review article critically evaluates this emerging discourse through an analysis of six influential business books from the early 2020s. Drawing insights from critical international political economy and critical management studies, it highlights fundamental limitations and contradictions. First, the regeneration agenda is revealed primarily as a discursive shift: despite new activist terminology and urgency, it remains firmly embedded within existing frameworks of corporate sustainability and green capitalism. Second, regeneration discourse strategically reinforces corporate power in global sustainability governance, portraying transnational corporations as central, heroic actors in addressing planetary challenges. Third, its emphasis on distant goals, vague commitments and acceptance of tradeoffs creates loopholes enabling companies to maintain environmentally damaging and exploitative practices. Fourth, beneath the narrative of systemic transformation, regeneration discourse remains fundamentally committed to corporate growth and profitability, obscuring long-standing contradictions. Collectively, these critiques – alongside mounting evidence of corporations scaling back their more ambitious sustainability commitments – cast significant doubt on the regeneration agenda’s transformative potential.</w:t>
      </w:r>
    </w:p>
    <w:p/>
    <w:p>
      <w:r>
        <w:rPr>
          <w:rFonts w:ascii="Times New Roman" w:hAnsi="Times New Roman" w:eastAsia="黑体"/>
          <w:b/>
          <w:i w:val="0"/>
          <w:sz w:val="24"/>
        </w:rPr>
        <w:t>将观念的局限内生化：理解观念政治经济学中无知与失败的“操作指南”</w:t>
      </w:r>
    </w:p>
    <w:p>
      <w:r>
        <w:rPr>
          <w:rFonts w:ascii="Times New Roman" w:hAnsi="Times New Roman" w:eastAsia="宋体"/>
          <w:b w:val="0"/>
          <w:i/>
          <w:color w:val="404040"/>
          <w:sz w:val="20"/>
        </w:rPr>
        <w:t>Endogenizing the limits of ideas: a ‘how-to’ guide to understanding ignorance and failure in ideational political economy</w:t>
      </w:r>
    </w:p>
    <w:p>
      <w:r>
        <w:rPr>
          <w:rFonts w:ascii="Times New Roman" w:hAnsi="Times New Roman" w:eastAsia="宋体"/>
          <w:b w:val="0"/>
          <w:i w:val="0"/>
          <w:color w:val="595959"/>
          <w:sz w:val="18"/>
        </w:rPr>
        <w:t>Jacqueline Best（School of Political Studies, University of Ottawa）</w:t>
      </w:r>
    </w:p>
    <w:p>
      <w:r>
        <w:rPr>
          <w:rFonts w:ascii="Times New Roman" w:hAnsi="Times New Roman" w:eastAsia="宋体"/>
          <w:b w:val="0"/>
          <w:i w:val="0"/>
          <w:sz w:val="22"/>
        </w:rPr>
        <w:t>摘要：本评论文章主张以不同方式概念化观念在政治经济学中的作用，认为需要将观念的局限内生化——承认无知与失败在经济政策制定中的关键作用。观念局限的核心作用对多数观念政治经济学研究构成挑战，后者尚未充分承认其地位；这一挑战对直接源自彼得·霍尔（1993）政策范式与社会学习研究的经典观念政治经济学尤为尖锐。而政治经济学近期的“实践转向”也有其关于观念局限的盲点，很大程度上因为它仍假定失败与无知是一般可通过社会学习解决的暂时问题。作者则表明无知与失败不仅普遍且常持续存在，还可能对经济政策制定有功能性作用：是政治经济理论与实践的特性而非缺陷。</w:t>
      </w:r>
    </w:p>
    <w:p>
      <w:r>
        <w:rPr>
          <w:rFonts w:ascii="Times New Roman" w:hAnsi="Times New Roman" w:eastAsia="宋体"/>
          <w:b w:val="0"/>
          <w:i w:val="0"/>
          <w:sz w:val="20"/>
        </w:rPr>
        <w:t>This commentary essay makes the case for a different way of conceptualizing the role of ideas in political economy by arguing for the need to endogenize the limits of ideas—recognizing the key roles played by ignorance and failure in economic policymaking. The central role played by the limits of ideas poses a challenge for much ideational political economy scholarship, which has not yet adequately recognized their place. This challenge is particularly acute for classical ideational political economy—the scholarship most directly descended from Peter Hall’s (1993) work on policy paradigms and social learning. Yet the recent ‘practice turn’ in political economic scholarship also has its own blind spots regarding the limits of ideas, in large measure because it continues to assume that failure and ignorance are temporary problems that are generally resolved through social learning. Instead, I show that ignorance and failure are not only widespread and often persistent, but that they can also be functional to economic policymaking: a feature rather than a bug in political economic theory and practice.</w:t>
      </w:r>
    </w:p>
    <w:p/>
    <w:p>
      <w:r>
        <w:rPr>
          <w:rFonts w:ascii="Times New Roman" w:hAnsi="Times New Roman" w:eastAsia="黑体"/>
          <w:b/>
          <w:i w:val="0"/>
          <w:sz w:val="24"/>
        </w:rPr>
        <w:t>所有权无限池：探寻跨国企业中的控制策略</w:t>
      </w:r>
    </w:p>
    <w:p>
      <w:r>
        <w:rPr>
          <w:rFonts w:ascii="Times New Roman" w:hAnsi="Times New Roman" w:eastAsia="宋体"/>
          <w:b w:val="0"/>
          <w:i/>
          <w:color w:val="404040"/>
          <w:sz w:val="20"/>
        </w:rPr>
        <w:t>Ownership infinity pools: finding control strategies in multinational enterprises</w:t>
      </w:r>
    </w:p>
    <w:p>
      <w:r>
        <w:rPr>
          <w:rFonts w:ascii="Times New Roman" w:hAnsi="Times New Roman" w:eastAsia="宋体"/>
          <w:b w:val="0"/>
          <w:i w:val="0"/>
          <w:color w:val="595959"/>
          <w:sz w:val="18"/>
        </w:rPr>
        <w:t>David P. Castro（Department of Organization, Copenhagen Business School）；Leonard Seabrooke（Department of Organization, Copenhagen Business School; Norwegian Institute of International Affairs）</w:t>
      </w:r>
    </w:p>
    <w:p>
      <w:r>
        <w:rPr>
          <w:rFonts w:ascii="Times New Roman" w:hAnsi="Times New Roman" w:eastAsia="宋体"/>
          <w:b w:val="0"/>
          <w:i w:val="0"/>
          <w:sz w:val="22"/>
        </w:rPr>
        <w:t>摘要：理解企业与公司的角色是政治经济学者持续关注的问题。随着跨国企业影响力增强并发展为遍布全球的复杂法律实体网络，追踪跨国企业运作面临诸多挑战。本评论文章通过逐步演示应对追踪企业结构的方法论困难，介绍一个可视化与分析跨国企业结构的分步方法框架。利用696家上市跨国企业及其逾11.8万家子公司的数据集，该方法建立了一套可用于揭示税收优化、责任管理、转移定价和环境有害做法策略的原则，并提供数据收集、清洗与可视化流程，通过三角验证管辖区、所有权与财务数据点，为研究企业应对全球监管格局的法律与经济策略提供工具。</w:t>
      </w:r>
    </w:p>
    <w:p>
      <w:r>
        <w:rPr>
          <w:rFonts w:ascii="Times New Roman" w:hAnsi="Times New Roman" w:eastAsia="宋体"/>
          <w:b w:val="0"/>
          <w:i w:val="0"/>
          <w:sz w:val="20"/>
        </w:rPr>
        <w:t>Understanding the role of the firm and the corporation is an ongoing concern for political economy scholars. Following the increasing influence of the Multinational Enterprise (MNEs) and its development into complex networks of legal entities spread across the globe, there are several challenges in tracing how MNEs operate. This commentary piece addresses the methodological difficulties of tracing corporate structures by providing a walkthrough. We introduce a step-by-step methodological framework for visualizing and analyzing multinational corporate structures. Using a dataset of 696 publicly listed MNEs and over 118,225 subsidiaries, this method establishes a set of principles that can be used to uncover strategies for tax optimization, liability management, transfer pricing, and environmentally harmful practices. We provide a walkthrough on data collection, cleaning, and visualization protocols. By triangulating jurisdictional, ownership, and financial data points, we provide a toolkit to study the complex interplay of legal and economic strategies employed by firms to navigate global regulatory landscapes.</w:t>
      </w:r>
    </w:p>
    <w:p/>
    <w:p>
      <w:r>
        <w:rPr>
          <w:rFonts w:ascii="Times New Roman" w:hAnsi="Times New Roman" w:eastAsia="宋体"/>
          <w:b/>
          <w:i w:val="0"/>
          <w:sz w:val="22"/>
        </w:rPr>
        <w:t>RIPE： Vol. 33, No. 1, 2026</w:t>
      </w:r>
    </w:p>
    <w:p/>
    <w:p>
      <w:r>
        <w:rPr>
          <w:rFonts w:ascii="Times New Roman" w:hAnsi="Times New Roman" w:eastAsia="黑体"/>
          <w:b/>
          <w:i w:val="0"/>
          <w:sz w:val="24"/>
        </w:rPr>
        <w:t>沉睡的巨人：迈向金融化保险的政治经济学</w:t>
      </w:r>
    </w:p>
    <w:p>
      <w:r>
        <w:rPr>
          <w:rFonts w:ascii="Times New Roman" w:hAnsi="Times New Roman" w:eastAsia="宋体"/>
          <w:b w:val="0"/>
          <w:i/>
          <w:color w:val="404040"/>
          <w:sz w:val="20"/>
        </w:rPr>
        <w:t>The slumbering giant: towards a political economy of financialised insurance</w:t>
      </w:r>
    </w:p>
    <w:p>
      <w:r>
        <w:rPr>
          <w:rFonts w:ascii="Times New Roman" w:hAnsi="Times New Roman" w:eastAsia="宋体"/>
          <w:b w:val="0"/>
          <w:i w:val="0"/>
          <w:color w:val="595959"/>
          <w:sz w:val="18"/>
        </w:rPr>
        <w:t>Vanessa Endrejat（Robert Schuman Centre for Advanced Studies, European University Institute）；Fabio Bulfone（Institute of Public Administration, Leiden University）；Arjen van der Heide（The Netherlands Institute for Social Research）</w:t>
      </w:r>
    </w:p>
    <w:p>
      <w:r>
        <w:rPr>
          <w:rFonts w:ascii="Times New Roman" w:hAnsi="Times New Roman" w:eastAsia="宋体"/>
          <w:b w:val="0"/>
          <w:i w:val="0"/>
          <w:sz w:val="22"/>
        </w:rPr>
        <w:t>摘要：本文通过在近期资本主义重组背景下分析欧洲保险业，引入“金融化保险”概念，填补政治经济学文献的一个明显空白：文献已考察逐利性金融逻辑向社会与经济各部门（包括金融业本身）的扩散，却大多忽视了其最重要行为体之一——保险公司。利用企业与部门层面数据，作者追踪金融化保险模式不均衡的出现，它既取代又与传统保险实践并存，挑战了保险业作为逆周期稳定器的自我形象，并显示保险业在不同国家与业务板块选择性采用金融化实践。本文提供了首个保险金融化的中观部门分析，并通过识别金融化保险的五个关键维度推进了金融化的操作化。</w:t>
      </w:r>
    </w:p>
    <w:p>
      <w:r>
        <w:rPr>
          <w:rFonts w:ascii="Times New Roman" w:hAnsi="Times New Roman" w:eastAsia="宋体"/>
          <w:b w:val="0"/>
          <w:i w:val="0"/>
          <w:sz w:val="20"/>
        </w:rPr>
        <w:t>This paper introduces the concept of financialised insurance through an analysis of the European insurance sector in the context of recent capitalist restructuring. It addresses a notable gap in the political economy literature, which has examined the spread of profit-driven financial logic across various sectors of society and the economy—including within finance itself—yet has largely overlooked one of its most significant actors: Insurance companies. Drawing on firm- and sector-level data, we trace the uneven emergence of a financialised insurance model that has both displaced and coexisted with traditional insurance practices. In doing so, the paper challenges the industry’s self-image as a countercyclical stabiliser and shows how the insurance sector has selectively adopted financialised practices across countries and business segments. The paper makes two key contributions to the financialisation debate and political economy more broadly. First, it offers the first meso-level, sectoral analysis of insurance financialisation. Second, it advances the operationalisation of financialisation by identifying five key dimensions of financialised insurance.</w:t>
      </w:r>
    </w:p>
    <w:p/>
    <w:p>
      <w:r>
        <w:rPr>
          <w:rFonts w:ascii="Times New Roman" w:hAnsi="Times New Roman" w:eastAsia="黑体"/>
          <w:b/>
          <w:i w:val="0"/>
          <w:sz w:val="24"/>
        </w:rPr>
        <w:t>美元受欢迎吗？美联储货币互换安排与受援国政府支持率</w:t>
      </w:r>
    </w:p>
    <w:p>
      <w:r>
        <w:rPr>
          <w:rFonts w:ascii="Times New Roman" w:hAnsi="Times New Roman" w:eastAsia="宋体"/>
          <w:b w:val="0"/>
          <w:i/>
          <w:color w:val="404040"/>
          <w:sz w:val="20"/>
        </w:rPr>
        <w:t>Are dollars popular? The Fed’s currency swap arrangements and recipient governments’ popularity</w:t>
      </w:r>
    </w:p>
    <w:p>
      <w:r>
        <w:rPr>
          <w:rFonts w:ascii="Times New Roman" w:hAnsi="Times New Roman" w:eastAsia="宋体"/>
          <w:b w:val="0"/>
          <w:i w:val="0"/>
          <w:color w:val="595959"/>
          <w:sz w:val="18"/>
        </w:rPr>
        <w:t>Yumi Park（Department of International Economics, Government and Business, Copenhagen Business School）；Sujeong Shim（Social Science Division, New York University Abu Dhabi）</w:t>
      </w:r>
    </w:p>
    <w:p>
      <w:r>
        <w:rPr>
          <w:rFonts w:ascii="Times New Roman" w:hAnsi="Times New Roman" w:eastAsia="宋体"/>
          <w:b w:val="0"/>
          <w:i w:val="0"/>
          <w:sz w:val="22"/>
        </w:rPr>
        <w:t>摘要：美联储通过向外国央行提供货币互换安排，已成为全球最后贷款人。现有文献探讨了其经济后果，但对其政治影响了解有限。利用2008年全球金融危机期间的季度数据，作者发现美联储互换额度与受援国国内公众对政府支持度上升相关。作者认为这是因为互换通常伴随汇率稳定与扩张性货币政策：普通公民或许并不知道互换，但会将货币稳定与刺激措施视为经济好转的信号，从而提高对执政者的支持。鉴于互换是在全球冲击期间实施的，其后支持率的上升引人注目。研究表明美联储与其他国际组织一样，能影响他国国内政治。</w:t>
      </w:r>
    </w:p>
    <w:p>
      <w:r>
        <w:rPr>
          <w:rFonts w:ascii="Times New Roman" w:hAnsi="Times New Roman" w:eastAsia="宋体"/>
          <w:b w:val="0"/>
          <w:i w:val="0"/>
          <w:sz w:val="20"/>
        </w:rPr>
        <w:t>The Federal Reserve (the Fed) has emerged as a global lender of last resort by providing currency swap arrangements (CSAs) to foreign central banks. While existing literature has explored the economic consequences, there is limited understanding of their political ramifications. Using quarterly data from the 2008 Global Financial Crisis, we find that Fed swap lines are linked to increased domestic public support for recipient governments. We suggest this is because swaps are typically followed by exchange rate stabilisation and expansionary monetary policies. While ordinary citizens may not be aware of swaps, they perceive currency stabilisation and stimulus measures as signals of positive economic turnarounds, thereby increasing support for incumbents. The rise in approval ratings following CSAs is striking, especially given that CSAs are implemented during global shocks. Our findings demonstrate that the Fed, much like other international organisations, can influence foreign countries’ domestic politics.</w:t>
      </w:r>
    </w:p>
    <w:p/>
    <w:p>
      <w:r>
        <w:rPr>
          <w:rFonts w:ascii="Times New Roman" w:hAnsi="Times New Roman" w:eastAsia="黑体"/>
          <w:b/>
          <w:i w:val="0"/>
          <w:sz w:val="24"/>
        </w:rPr>
        <w:t>灵活嵌入：中国领军企业如何在非洲国际化</w:t>
      </w:r>
    </w:p>
    <w:p>
      <w:r>
        <w:rPr>
          <w:rFonts w:ascii="Times New Roman" w:hAnsi="Times New Roman" w:eastAsia="宋体"/>
          <w:b w:val="0"/>
          <w:i/>
          <w:color w:val="404040"/>
          <w:sz w:val="20"/>
        </w:rPr>
        <w:t>Flexible embeddedness: how Chinese lead firms internationalise in Africa</w:t>
      </w:r>
    </w:p>
    <w:p>
      <w:r>
        <w:rPr>
          <w:rFonts w:ascii="Times New Roman" w:hAnsi="Times New Roman" w:eastAsia="宋体"/>
          <w:b w:val="0"/>
          <w:i w:val="0"/>
          <w:color w:val="595959"/>
          <w:sz w:val="18"/>
        </w:rPr>
        <w:t>Elisa Gambino（Global Development Institute, University of Manchester）；Costanza Franceschini（Institute of Cultural Anthropology and Development Sociology, Leiden University）</w:t>
      </w:r>
    </w:p>
    <w:p>
      <w:r>
        <w:rPr>
          <w:rFonts w:ascii="Times New Roman" w:hAnsi="Times New Roman" w:eastAsia="宋体"/>
          <w:b w:val="0"/>
          <w:i w:val="0"/>
          <w:sz w:val="22"/>
        </w:rPr>
        <w:t>摘要：“南方崛起”尤其是中国崛起，引发了关于南方企业在塑造21世纪经济全球化轮廓中核心地位的热烈讨论。本文通过考察中国领军企业的国际化参与讨论，扩展并发展全球生产网络方法与经济人类学中的“嵌入”概念，强调国家支持、企业战略与个人行动的地方化表达如何共同塑造领军企业国际化。经验上，本文考察非洲最大的国际承包商中国交通建设集团，基于2018—2022年在中国、肯尼亚和加纳的大量定性田野研究，认为企业通过在不同嵌入形式之间策略性移动和/或组合来维持国际化，作者称之为“灵活嵌入”。由此将嵌入重新定位为动态的战略过程，而非国际化的静态结果或前提。</w:t>
      </w:r>
    </w:p>
    <w:p>
      <w:r>
        <w:rPr>
          <w:rFonts w:ascii="Times New Roman" w:hAnsi="Times New Roman" w:eastAsia="宋体"/>
          <w:b w:val="0"/>
          <w:i w:val="0"/>
          <w:sz w:val="20"/>
        </w:rPr>
        <w:t>The ‘rise of the South’, and particularly that of China, has promoted lively debates around the centrality of Southern firms in shaping the contours of twenty first century economic globalisation. This paper contributes to these debates by examining the internationalisation of Chinese lead firms. It extends and develops the concept of embeddedness within the Global Production Network (GPN) approach and economic anthropology to highlight how localised expressions of state support, corporate strategy, and individual action contribute to shaping lead firm internationalisation. Empirically, it examines the case of Africa’s largest international contractor China Communication Construction Company (CCCC) and is based on extensive qualitative research fieldwork in China, Kenya, and Ghana (2018-2022). The paper argues that firms strategically move across and/or combine different forms of embeddedness to sustain internationalisation – a practice which we term ‘flexible embeddedness’. We thus contribute a framework that repositions embeddedness not as a static outcome or precondition of internationalisation, but instead as a dynamic and strategic process. Flexible embeddedness thinking thus allows for a more nuanced analysis of the ways in which Southern firms are contributing to reframing the ‘rules of the game’ of internationalisation against the background of unequal power relations in South-South engagement.</w:t>
      </w:r>
    </w:p>
    <w:p/>
    <w:p>
      <w:r>
        <w:rPr>
          <w:rFonts w:ascii="Times New Roman" w:hAnsi="Times New Roman" w:eastAsia="黑体"/>
          <w:b/>
          <w:i w:val="0"/>
          <w:sz w:val="24"/>
        </w:rPr>
        <w:t>帝国货币与货币等级的形成：来自尼日利亚的证据</w:t>
      </w:r>
    </w:p>
    <w:p>
      <w:r>
        <w:rPr>
          <w:rFonts w:ascii="Times New Roman" w:hAnsi="Times New Roman" w:eastAsia="宋体"/>
          <w:b w:val="0"/>
          <w:i/>
          <w:color w:val="404040"/>
          <w:sz w:val="20"/>
        </w:rPr>
        <w:t>Imperial money and the making of currency hierarchies: evidence from Nigeria</w:t>
      </w:r>
    </w:p>
    <w:p>
      <w:r>
        <w:rPr>
          <w:rFonts w:ascii="Times New Roman" w:hAnsi="Times New Roman" w:eastAsia="宋体"/>
          <w:b w:val="0"/>
          <w:i w:val="0"/>
          <w:color w:val="595959"/>
          <w:sz w:val="18"/>
        </w:rPr>
        <w:t>Carla Coburger（AfricaMultiple Cluster of Excellence, University of Bayreuth）</w:t>
      </w:r>
    </w:p>
    <w:p>
      <w:r>
        <w:rPr>
          <w:rFonts w:ascii="Times New Roman" w:hAnsi="Times New Roman" w:eastAsia="宋体"/>
          <w:b w:val="0"/>
          <w:i w:val="0"/>
          <w:sz w:val="22"/>
        </w:rPr>
        <w:t>摘要：当代货币等级既不自然也不中立，而是一种帝国建构。本文将当今货币等级的起源追溯至帝国货币的暴力强加。通过对尼日利亚（1861—1960）的长时段分析，本文展示英帝国主义如何瓦解前殖民时期的货币多元性并强加英镑，并于1912年通过要求100%英镑储备的西非货币委员会将其制度化。档案证据揭示确立帝国货币的三种机制：（1）法律上废除前殖民货币；（2）高估的英镑扭曲国内价格；（3）税收征收与工资支付。这些过程重构了殖民地区的劳动与生产，催生了一个脱节的经济：尼日利亚出口原材料与经济作物，却依赖进口满足基本需求——这一模板当时和现在都在全球复制。</w:t>
      </w:r>
    </w:p>
    <w:p>
      <w:r>
        <w:rPr>
          <w:rFonts w:ascii="Times New Roman" w:hAnsi="Times New Roman" w:eastAsia="宋体"/>
          <w:b w:val="0"/>
          <w:i w:val="0"/>
          <w:sz w:val="20"/>
        </w:rPr>
        <w:t>The contemporary currency hierarchy is neither natural nor neutral: It’s an imperial construct. This paper traces the origins of today’s currency hierarchy back to the violent imposition of imperial money. Through a longue durée analysis of Nigeria (1861–1960), this paper demonstrates how British imperialism dismantled pre-colonial monetary plurality and imposed Sterling, institutionalised in 1912 via the West African Currency Board (WACB), an institution requiring 100% Sterling reserves. Archival evidence reveals three mechanisms to establish imperial money: (1) legal demonetisation of pre-colonial currencies; (2) overvalued Sterling distorting domestic prices; (3) tax collection and wage payment. These processes restructured labour and production across the colonised regions, birthing a disarticulated economy, where Nigeria exported raw materials and cash-cropss but relied on imports for basic needs - a template replicated globally then and now. Key findings include first, how imperial money’s monopoly relied on violent demonetization; second, the WACB’s reserves prefigured modern foreign exchange traps; and last, people have continuously resisted to preserve monetary sovereignty. By reframing currency hierarchies as products of imperial extraction, the study challenges IPE’s presentist focus and charts a path for decolonial monetary alternatives.</w:t>
      </w:r>
    </w:p>
    <w:p/>
    <w:p>
      <w:r>
        <w:rPr>
          <w:rFonts w:ascii="Times New Roman" w:hAnsi="Times New Roman" w:eastAsia="黑体"/>
          <w:b/>
          <w:i w:val="0"/>
          <w:sz w:val="24"/>
        </w:rPr>
        <w:t>为中国技术创新融资：通过政府引导基金实施的新发展型金融方略</w:t>
      </w:r>
    </w:p>
    <w:p>
      <w:r>
        <w:rPr>
          <w:rFonts w:ascii="Times New Roman" w:hAnsi="Times New Roman" w:eastAsia="宋体"/>
          <w:b w:val="0"/>
          <w:i/>
          <w:color w:val="404040"/>
          <w:sz w:val="20"/>
        </w:rPr>
        <w:t>Financing technological innovation in China: neo-developmental financial statecraft through government guidance funds</w:t>
      </w:r>
    </w:p>
    <w:p>
      <w:r>
        <w:rPr>
          <w:rFonts w:ascii="Times New Roman" w:hAnsi="Times New Roman" w:eastAsia="宋体"/>
          <w:b w:val="0"/>
          <w:i w:val="0"/>
          <w:color w:val="595959"/>
          <w:sz w:val="18"/>
        </w:rPr>
        <w:t>Xuan Li（Global Institute for Zhejiang Merchants Development, Zhejiang University of Technology; Institute of International and Regional Studies, Zhejiang University of Technology）；Cornel Ban（Department of Organization, Copenhagen Business School）</w:t>
      </w:r>
    </w:p>
    <w:p>
      <w:r>
        <w:rPr>
          <w:rFonts w:ascii="Times New Roman" w:hAnsi="Times New Roman" w:eastAsia="宋体"/>
          <w:b w:val="0"/>
          <w:i w:val="0"/>
          <w:sz w:val="22"/>
        </w:rPr>
        <w:t>摘要：本文考察中国为创新融资的独特路径，参与关于去风险国家、新发展主义替代方案与经济方略的讨论。文章聚焦由多种国家实体共同持有的政府引导基金的核心作用，及其与欧洲去风险国家和韩国等自由发展型国家中政府所有风险资本模式的差异。从金融方略视角，作者识别出中国政府引导基金区别于他者的核心特征：明确界定的行业创新目标；将财政资源与国企资产转化为风险资本；在资助政府规划机构目标及其受地理条件约束的投资授权方面的协调。这些特征既反映中国政治经济的结构性方面，也反映其创新导向官僚体系的快速制度演进。</w:t>
      </w:r>
    </w:p>
    <w:p>
      <w:r>
        <w:rPr>
          <w:rFonts w:ascii="Times New Roman" w:hAnsi="Times New Roman" w:eastAsia="宋体"/>
          <w:b w:val="0"/>
          <w:i w:val="0"/>
          <w:sz w:val="20"/>
        </w:rPr>
        <w:t>This paper examines China’s distinctive approach to financing innovation, contributing to debates on the derisking state, neo-developmentalist alternatives, and economic statecraft. It focuses on the central role of government guidance funds (GGFs)—jointly owned by a wide range of state entities—and their divergence from government-owned venture capital models in the European derisking state and liberal-developmental states like South Korea. By advancing a financial statecraft perspective, the paper identifies four core features that set Chinese GGFs apart: clearly defined sectoral innovation targets; the conversion of fiscal resources and SOE assets into risk capital; and the coordination in funding the objectives of government planning apparatuses and their geographically conditioned investment mandates. These features reflect both structural aspects of China’s political economy and the rapid institutional evolution of its innovation-oriented bureaucracy. The shadow cases from Europe and South Korea underscore the importance of studying the nexus between national varieties of financial statecraft and national policy regimes.</w:t>
      </w:r>
    </w:p>
    <w:p/>
    <w:p>
      <w:r>
        <w:rPr>
          <w:rFonts w:ascii="Times New Roman" w:hAnsi="Times New Roman" w:eastAsia="黑体"/>
          <w:b/>
          <w:i w:val="0"/>
          <w:sz w:val="24"/>
        </w:rPr>
        <w:t>国际机制中非正式组织的叠加：G20共同框架与主权债务机制</w:t>
      </w:r>
    </w:p>
    <w:p>
      <w:r>
        <w:rPr>
          <w:rFonts w:ascii="Times New Roman" w:hAnsi="Times New Roman" w:eastAsia="宋体"/>
          <w:b w:val="0"/>
          <w:i/>
          <w:color w:val="404040"/>
          <w:sz w:val="20"/>
        </w:rPr>
        <w:t>Layering of informal organisations in international regimes: the G20 Common Framework and the sovereign debt regime</w:t>
      </w:r>
    </w:p>
    <w:p>
      <w:r>
        <w:rPr>
          <w:rFonts w:ascii="Times New Roman" w:hAnsi="Times New Roman" w:eastAsia="宋体"/>
          <w:b w:val="0"/>
          <w:i w:val="0"/>
          <w:color w:val="595959"/>
          <w:sz w:val="18"/>
        </w:rPr>
        <w:t>Isabel Rodriguez-Toribio（Department of Political Science, Concordia University）；Alexandra O. Zeitz（Department of Political Science, Concordia University）</w:t>
      </w:r>
    </w:p>
    <w:p>
      <w:r>
        <w:rPr>
          <w:rFonts w:ascii="Times New Roman" w:hAnsi="Times New Roman" w:eastAsia="宋体"/>
          <w:b w:val="0"/>
          <w:i w:val="0"/>
          <w:sz w:val="22"/>
        </w:rPr>
        <w:t>摘要：既然非正式组织被认为易于改革，为何国家有时选择创建新的非正式制度而非改革现有制度？作者认为，当主导国际组织（即便仍主要是非正式的）日益制度化、难以改革并纳入偏好多样的新成员时，国家可能在国际机制中引入新的非正式层次；新非正式制度对合作的影响取决于其与机制既有规则产生张力的程度。作者聚焦主权债务机制——2020年11月G20内部引入了新的非正式制度“债务处理共同框架”，表明国家创建共同框架部分是为回应巴黎俱乐部的制度化，后者使纳入中国更加困难。通过比较仅赞比亚符合共同框架资格的赞比亚与斯里兰卡债权人协调，作者发现赞比亚的债权人协调更多，但共同框架带来的张力仍削弱了合作的速度与质量。</w:t>
      </w:r>
    </w:p>
    <w:p>
      <w:r>
        <w:rPr>
          <w:rFonts w:ascii="Times New Roman" w:hAnsi="Times New Roman" w:eastAsia="宋体"/>
          <w:b w:val="0"/>
          <w:i w:val="0"/>
          <w:sz w:val="20"/>
        </w:rPr>
        <w:t>Given that informal organisations are thought to be easy to reform, why do states sometimes choose to create new informal institution rather than reforming existing ones? We argue states may introduce new informal layers to international regimes when the leading international organisation, even if still largely informal, becomes increasingly institutionalised, making it difficult to reform and integrate new members with diverse preferences. Further, we suggest the impact of new informal institutions on cooperation depends on the extent to which they create tensions with existing rules in the regime. We focus on the sovereign debt regime, which saw the introduction in November 2020 of the Common Framework for Debt Treatments, a new informal institution within the G20. We demonstrate that states created the Common Framework partly in response to the institutionalisation of the Paris Club, which made it more difficult to integrate China. We examine the impact of the Common Framework by comparing creditor coordination in Zambia and Sri Lanka, with only Zambia eligible for the Common Framework. This comparison reveals greater creditor coordination in Zambia than Sri Lanka, though the tensions introduced by the Common Framework nonetheless undermined the speed and quality of cooperation.</w:t>
      </w:r>
    </w:p>
    <w:p/>
    <w:p>
      <w:r>
        <w:rPr>
          <w:rFonts w:ascii="Times New Roman" w:hAnsi="Times New Roman" w:eastAsia="黑体"/>
          <w:b/>
          <w:i w:val="0"/>
          <w:sz w:val="24"/>
        </w:rPr>
        <w:t>深海采矿新兴政治经济学：不透明所有权结构分析</w:t>
      </w:r>
    </w:p>
    <w:p>
      <w:r>
        <w:rPr>
          <w:rFonts w:ascii="Times New Roman" w:hAnsi="Times New Roman" w:eastAsia="宋体"/>
          <w:b w:val="0"/>
          <w:i/>
          <w:color w:val="404040"/>
          <w:sz w:val="20"/>
        </w:rPr>
        <w:t>The emerging political economy of deep-sea mining: an analysis of opaque ownership structures</w:t>
      </w:r>
    </w:p>
    <w:p>
      <w:r>
        <w:rPr>
          <w:rFonts w:ascii="Times New Roman" w:hAnsi="Times New Roman" w:eastAsia="宋体"/>
          <w:b w:val="0"/>
          <w:i w:val="0"/>
          <w:color w:val="595959"/>
          <w:sz w:val="18"/>
        </w:rPr>
        <w:t>Justin Alger（School of Social and Political Sciences, University of Melbourne）；Kate J. Neville（Department of Political Science and School of the Environment, University of Toronto）；Marc Calabretta（Department of Political Science, University of Toronto）</w:t>
      </w:r>
    </w:p>
    <w:p>
      <w:r>
        <w:rPr>
          <w:rFonts w:ascii="Times New Roman" w:hAnsi="Times New Roman" w:eastAsia="宋体"/>
          <w:b w:val="0"/>
          <w:i w:val="0"/>
          <w:sz w:val="22"/>
        </w:rPr>
        <w:t>摘要：尽管深海采矿存在重大环境与社会关切，负责治理国际海底的国际海底管理局正致力于完成采矿规章。国家和私营部门支持者以扩大可再生能源与电池生产的需要为由为之辩护，但这一主张存在争议。根据国际规则，商业行为体——无论私营还是国有——可与担保国共同持有勘探许可，但我们对企业行为体如何塑造该领域治理知之甚少：国家立场难以与私营企业和市场行为体的立场区分，该领域所有权与融资的结构与组织方式也存在重大知识空白。作者认为深海采矿是环境治理中“距离”日益扩大的典型案例：企业结构的不透明与易变性挑战了国际行为体预防或有效监管深海采矿生态与社会危害的能力，其后果一是将风险重新分配给国家与当地社区，二是破坏了《联合国海洋法公约》中的人类共同继承财产原则。</w:t>
      </w:r>
    </w:p>
    <w:p>
      <w:r>
        <w:rPr>
          <w:rFonts w:ascii="Times New Roman" w:hAnsi="Times New Roman" w:eastAsia="宋体"/>
          <w:b w:val="0"/>
          <w:i w:val="0"/>
          <w:sz w:val="20"/>
        </w:rPr>
        <w:t>Despite the significant environmental and social concerns associated with deep-sea mining, the International Seabed Authority (ISA)—the organization tasked with governing the international seabed—is working to finalize a mining code. State and private sector proponents justify these developments as necessary to expand renewable energy and battery production, but this claim remains contested. Under international rules, commercial actors—whether private or state-owned—can hold exploration licenses in tandem with sponsoring states, yet we know little about how corporate actors are shaping governance of the sector. It is difficult to disentangle the positions of states from those of private firms and market actors, and there remain significant gaps in our knowledge of how ownership and finance in the sector are structured and organized. We argue that deep-sea mining represents a paradigmatic case of growing distance in environmental governance. In this case, the capacity of international actors to prevent or effectively regulate the ecological and social harms of deep-sea mining is challenged by the opacity and mutability of corporate structures. The implications, we suggest, are twofold: the redistribution of risk to states and local communities, and the undermining of the common heritage of humankind principle embedded in the UN Convention on the Law of the Sea.</w:t>
      </w:r>
    </w:p>
    <w:p/>
    <w:p>
      <w:r>
        <w:rPr>
          <w:rFonts w:ascii="Times New Roman" w:hAnsi="Times New Roman" w:eastAsia="黑体"/>
          <w:b/>
          <w:i w:val="0"/>
          <w:sz w:val="24"/>
        </w:rPr>
        <w:t>大豆—动物蛋白全球价值链中的权力与可持续治理</w:t>
      </w:r>
    </w:p>
    <w:p>
      <w:r>
        <w:rPr>
          <w:rFonts w:ascii="Times New Roman" w:hAnsi="Times New Roman" w:eastAsia="宋体"/>
          <w:b w:val="0"/>
          <w:i/>
          <w:color w:val="404040"/>
          <w:sz w:val="20"/>
        </w:rPr>
        <w:t>Power and sustainability governance in the soy-animal protein global value chain</w:t>
      </w:r>
    </w:p>
    <w:p>
      <w:r>
        <w:rPr>
          <w:rFonts w:ascii="Times New Roman" w:hAnsi="Times New Roman" w:eastAsia="宋体"/>
          <w:b w:val="0"/>
          <w:i w:val="0"/>
          <w:color w:val="595959"/>
          <w:sz w:val="18"/>
        </w:rPr>
        <w:t>Paulina Flores-Martínez（Department of Politics and International Relations, University of York）；Tony Heron（Department of Politics and International Relations, University of York）；Chris West（Stockholm Environment Institute (SEI), University of York）；Patricia Prado（Newcastle University Business School, Newcastle University）</w:t>
      </w:r>
    </w:p>
    <w:p>
      <w:r>
        <w:rPr>
          <w:rFonts w:ascii="Times New Roman" w:hAnsi="Times New Roman" w:eastAsia="宋体"/>
          <w:b w:val="0"/>
          <w:i w:val="0"/>
          <w:sz w:val="22"/>
        </w:rPr>
        <w:t>摘要：本文通过批判性对话全球价值链与跨国环境治理文献，为新兴的混合可持续治理研究作出理论与实质贡献。经验焦点是与森林砍伐密切相关的巴西大豆—动物蛋白链。区别于早期将巴西大豆描述为双极价值链的观点，作者阐述其为实现可持续目标而逐步重构的过程，认为链治理已从双极演变为多极，可持续考量也已嵌入其中，从严格基于市场的机制转向混合与强制性要求。多极化的刻画有助于解释链治理动态与链外行为体（尤其是将可持续授权纳入链治理）之间的互动。</w:t>
      </w:r>
    </w:p>
    <w:p>
      <w:r>
        <w:rPr>
          <w:rFonts w:ascii="Times New Roman" w:hAnsi="Times New Roman" w:eastAsia="宋体"/>
          <w:b w:val="0"/>
          <w:i w:val="0"/>
          <w:sz w:val="20"/>
        </w:rPr>
        <w:t>In this article, we provide a theoretical and substantive contribution to the emergent literature on hybrid sustainability governance through a critical engagement with Global Value Chain and Transnational Environmental Governance literatures. The empirical focus is the soy-animal protein chain in Brazil and its strong association with deforestation. Departing from an early characterisation of Brazilian soy as a bipolar value chain, we offer an account of its gradual reconfiguration to meet sustainability objectives. We contend that chain governance has evolved from bipolar to multipolar while sustainability considerations have become embedded, moving from strictly market-based mechanisms to hybrid and mandatory requirements. We argue that a multipolar characterisation allows us to account for the interactions between chain governance dynamics and out-of-the-chain actors, particularly for incorporating sustainability mandates into chain governance.</w:t>
      </w:r>
    </w:p>
    <w:p/>
    <w:p>
      <w:r>
        <w:rPr>
          <w:rFonts w:ascii="Times New Roman" w:hAnsi="Times New Roman" w:eastAsia="黑体"/>
          <w:b/>
          <w:i w:val="0"/>
          <w:sz w:val="24"/>
        </w:rPr>
        <w:t>中国的脱碳道路：化石能源退出政治经济学中的中国党国资本主义</w:t>
      </w:r>
    </w:p>
    <w:p>
      <w:r>
        <w:rPr>
          <w:rFonts w:ascii="Times New Roman" w:hAnsi="Times New Roman" w:eastAsia="宋体"/>
          <w:b w:val="0"/>
          <w:i/>
          <w:color w:val="404040"/>
          <w:sz w:val="20"/>
        </w:rPr>
        <w:t>The Chinese road to decarbonisation: China’s party-state capitalism in the political economy of fossil energy phase-out</w:t>
      </w:r>
    </w:p>
    <w:p>
      <w:r>
        <w:rPr>
          <w:rFonts w:ascii="Times New Roman" w:hAnsi="Times New Roman" w:eastAsia="宋体"/>
          <w:b w:val="0"/>
          <w:i w:val="0"/>
          <w:color w:val="595959"/>
          <w:sz w:val="18"/>
        </w:rPr>
        <w:t>Chris Saltmarsh（School of Sociological Studies, Politics and International Relations, University of Sheffield）</w:t>
      </w:r>
    </w:p>
    <w:p>
      <w:r>
        <w:rPr>
          <w:rFonts w:ascii="Times New Roman" w:hAnsi="Times New Roman" w:eastAsia="宋体"/>
          <w:b w:val="0"/>
          <w:i w:val="0"/>
          <w:sz w:val="22"/>
        </w:rPr>
        <w:t>摘要：尽管文献中关于气候变化与中国的盲点正在被填补，在全球能源转型政治经济学中，对绿色能源建设与化石能源退出的强调仍不平衡。中国悖论式的能源经济提出一个谜题：中国党国资本主义的结构是否使其能像推广绿色技术那样成功对抗化石燃料产业？本文对中国化石经济进行历史化分析，识别出其独特的后革命发展轨迹所产生的化石能源退出的独特潜力。中国共产党在党国资本主义中的突出地位与西方以逐利市场力量为基础形成对比，这一差异支撑了支配碳密集产业的独特权力资源以及为能源转型社会动荡提供合法性的观念资源。实践中，化石能源退出远非注定，这一潜力取决于体制内企业目标与政治目标的持续斗争以及国内民众与国际行为体的不确定反应。</w:t>
      </w:r>
    </w:p>
    <w:p>
      <w:r>
        <w:rPr>
          <w:rFonts w:ascii="Times New Roman" w:hAnsi="Times New Roman" w:eastAsia="宋体"/>
          <w:b w:val="0"/>
          <w:i w:val="0"/>
          <w:sz w:val="20"/>
        </w:rPr>
        <w:t>While blind spots around climate change and China in the literature are now being plugged, there remains an imbalance between emphases placed on green energy build-out versus fossil energy phase-out in the political economy of global energy transition. China’s paradoxical energy economy raises the puzzle as to whether the structures of China’s party-state capitalism render it capable of successfully confronting the fossil fuel industry, just as it has scaled green technologies. This article historicises China’s fossil economy, identifying a unique potentiality for fossil energy phase-out arising from its idiosyncratic post-revolutionary development trajectory. The prominence of the CCP in China’s party-state capitalism contrasts with the West’s basis in profit-seeking market forces. This divergence underpins distinct power resources to dominate carbon-intensive industries and ideational resources to legitimate the social upheavals of energy transition. In practice, fossil energy phase-out is far from pre-determined as the potentiality rests in an ongoing struggle between corporate and political objectives within the regime as well as the uncertain responses of domestic populations and international actors. Regardless, scholars and practitioners alike should now understand China as standing alone in the world system as a geopolitically ascendent, continent-sized, post-revolutionary party-state with unique capacities to lead global energy transition.</w:t>
      </w:r>
    </w:p>
    <w:p/>
    <w:p>
      <w:r>
        <w:rPr>
          <w:rFonts w:ascii="Times New Roman" w:hAnsi="Times New Roman" w:eastAsia="黑体"/>
          <w:b/>
          <w:i w:val="0"/>
          <w:sz w:val="24"/>
        </w:rPr>
        <w:t>以估算治理：国际组织中的虚假精确</w:t>
      </w:r>
    </w:p>
    <w:p>
      <w:r>
        <w:rPr>
          <w:rFonts w:ascii="Times New Roman" w:hAnsi="Times New Roman" w:eastAsia="宋体"/>
          <w:b w:val="0"/>
          <w:i/>
          <w:color w:val="404040"/>
          <w:sz w:val="20"/>
        </w:rPr>
        <w:t>Governing through guesstimates: mock precision in international organisations</w:t>
      </w:r>
    </w:p>
    <w:p>
      <w:r>
        <w:rPr>
          <w:rFonts w:ascii="Times New Roman" w:hAnsi="Times New Roman" w:eastAsia="宋体"/>
          <w:b w:val="0"/>
          <w:i w:val="0"/>
          <w:color w:val="595959"/>
          <w:sz w:val="18"/>
        </w:rPr>
        <w:t>Lukas Linsi（Department of International Relations and International Organization, University of Groningen）；Seiki Tanaka（Department of International Relations and International Organization, University of Groningen）；Francesco Giumelli（Department of International Relations and International Organization and Rudolf Agricola School for Sustainable Development, University of Groningen）；Leonard Seabrooke（Department of Organization, Copenhagen Business School）</w:t>
      </w:r>
    </w:p>
    <w:p>
      <w:r>
        <w:rPr>
          <w:rFonts w:ascii="Times New Roman" w:hAnsi="Times New Roman" w:eastAsia="宋体"/>
          <w:b w:val="0"/>
          <w:i w:val="0"/>
          <w:sz w:val="22"/>
        </w:rPr>
        <w:t>摘要：国际组织收集并发布大量统计数据，其中许多试图量化的现象难以精确测量，难测统计常是“估算”而非可靠测量，却常被呈现为完全可靠、精确的估计。是什么驱使国际组织发布估算，又为何常以看似过度的精确呈现？作者采用生态框架，国际组织须同时关注内部与外部受众，由此提出三种机制：虚假精确的估算源于组织吸引对其工作关注、展示科学能力以及巩固专业地位的努力。经验上，作者在（非法）贸易统计情境中评估这些机制，采用整合精英访谈、专家调查与调查实验的混合方法，发现组织与职业激励导致虚假精确的使用。</w:t>
      </w:r>
    </w:p>
    <w:p>
      <w:r>
        <w:rPr>
          <w:rFonts w:ascii="Times New Roman" w:hAnsi="Times New Roman" w:eastAsia="宋体"/>
          <w:b w:val="0"/>
          <w:i w:val="0"/>
          <w:sz w:val="20"/>
        </w:rPr>
        <w:t>International organisations (IOs) collect and disseminate a wide array of statistics. In many cases, the phenomena these statistics seek to quantify defy precise measurement. Hard-to-measure statistics frequently represent ‘guesstimates’ rather than solid measures. Nonetheless, they are often presented as if they were perfectly reliable, precise estimates. What drives IOs to disseminate guesstimates and why are they frequently presented with seemingly excessive precision? To answer these questions, we adopt an ecological framework where IOs must pay attention to both internal and external audiences. The framework informs three mechanisms: Mock precise guesstimates are fuelled by how organisations seek to attract attention to their work, signal scientific competence, and consolidate their professional standing. Empirically, we evaluate these mechanisms in the context of statistics on (illicit) trade, employing a mixed methods approach that integrates elite interviews, expert surveys and a survey experiment. Our findings show how organisational and professional incentives lead to the use of mock precision. While the field we study is IOs, the underlying dynamics are of broader applicability. Not least, they raise questions about mock precision as a (un)scientific practice also commonly used by academic researchers in international political economy (IPE), economics and the wider social sciences.</w:t>
      </w:r>
    </w:p>
    <w:p/>
    <w:p>
      <w:r>
        <w:rPr>
          <w:rFonts w:ascii="Times New Roman" w:hAnsi="Times New Roman" w:eastAsia="黑体"/>
          <w:b/>
          <w:i w:val="0"/>
          <w:sz w:val="24"/>
        </w:rPr>
        <w:t>中国人来了！美国智库与“一带一路”倡议在中东北非</w:t>
      </w:r>
    </w:p>
    <w:p>
      <w:r>
        <w:rPr>
          <w:rFonts w:ascii="Times New Roman" w:hAnsi="Times New Roman" w:eastAsia="宋体"/>
          <w:b w:val="0"/>
          <w:i/>
          <w:color w:val="404040"/>
          <w:sz w:val="20"/>
        </w:rPr>
        <w:t>The Chinese are coming! US think tanks and the Belt and Road Initiative in the Middle East and North Africa</w:t>
      </w:r>
    </w:p>
    <w:p>
      <w:r>
        <w:rPr>
          <w:rFonts w:ascii="Times New Roman" w:hAnsi="Times New Roman" w:eastAsia="宋体"/>
          <w:b w:val="0"/>
          <w:i w:val="0"/>
          <w:color w:val="595959"/>
          <w:sz w:val="18"/>
        </w:rPr>
        <w:t>Neil Ketchley（Department of Politics and International Relations, University of Oxford）；Morten S. Andersen（Norwegian Institute of International Affairs）；Ole Jacob Sending（Norwegian Institute of International Affairs）</w:t>
      </w:r>
    </w:p>
    <w:p>
      <w:r>
        <w:rPr>
          <w:rFonts w:ascii="Times New Roman" w:hAnsi="Times New Roman" w:eastAsia="宋体"/>
          <w:b w:val="0"/>
          <w:i w:val="0"/>
          <w:sz w:val="22"/>
        </w:rPr>
        <w:t>摘要：美国政府官员和政策分析人士如今普遍将中国视为美国外交政策利益当前最重大的威胁。本文考察美国外交政策界如何调动这一“中国威胁”，在大国竞争时代凸显长期存在的外交政策关切。为说明论点，作者聚焦美国外交政策智库，它们将与中国“一带一路”倡议相关的基础设施项目描绘为对美国在中东北非利益的威胁，尽管“一带一路”项目在该地区政治经济中仍只是次要特征。基于3006份美国智库中东北非报告语料，作者使用定量文本分析考察“一带一路”如何被建构为对美国地区利益的威胁，以及这一威胁如何被用来推动一系列政策建议。研究指出大国竞争的下游后果：即使在中国海外发展融资尚处起步阶段的地区，“一带一路”带来的威胁也可被用来激活美国的长期利益与目标。</w:t>
      </w:r>
    </w:p>
    <w:p>
      <w:r>
        <w:rPr>
          <w:rFonts w:ascii="Times New Roman" w:hAnsi="Times New Roman" w:eastAsia="宋体"/>
          <w:b w:val="0"/>
          <w:i w:val="0"/>
          <w:sz w:val="20"/>
        </w:rPr>
        <w:t>It is now common for US government officials and policy analysts to cite China as the most significant current threat to US foreign policy interests. This article examines how the US foreign policy community mobilizes this ‘China threat’ to make longstanding foreign policy concerns salient in an age of great power competition. To illustrate our argument, we focus on US foreign policy think tanks, which portray infrastructure projects tied to China’s Belt and Road Initiative (BRI) as threatening to US interests in the Middle East and North Africa (MENA). This is in spite of the fact that BRI projects remain only a minor feature of the region’s political economy. Drawing on a corpus of 3,006 US think tank reports on the MENA, we use quantitative text analysis to examine how the BRI has been constructed as a threat to US interests in the region—and how, in turn, this threat is used to motivate a range of policy recommendations. The findings point to a downstream consequence of great power competition: The threat posed by China’s BRI can be used to energize longstanding US interests and goals, even in regions where Chinese overseas development finance is nascent at best.</w:t>
      </w:r>
    </w:p>
    <w:p/>
    <w:p>
      <w:r>
        <w:rPr>
          <w:rFonts w:ascii="Times New Roman" w:hAnsi="Times New Roman" w:eastAsia="黑体"/>
          <w:b/>
          <w:i w:val="0"/>
          <w:sz w:val="24"/>
        </w:rPr>
        <w:t>经济例外：意大利银行如何以危机框架进行治理（1960—1984）</w:t>
      </w:r>
    </w:p>
    <w:p>
      <w:r>
        <w:rPr>
          <w:rFonts w:ascii="Times New Roman" w:hAnsi="Times New Roman" w:eastAsia="宋体"/>
          <w:b w:val="0"/>
          <w:i/>
          <w:color w:val="404040"/>
          <w:sz w:val="20"/>
        </w:rPr>
        <w:t>The economic exception: how the Bank of Italy framed crisis to govern, 1960–1984</w:t>
      </w:r>
    </w:p>
    <w:p>
      <w:r>
        <w:rPr>
          <w:rFonts w:ascii="Times New Roman" w:hAnsi="Times New Roman" w:eastAsia="宋体"/>
          <w:b w:val="0"/>
          <w:i w:val="0"/>
          <w:color w:val="595959"/>
          <w:sz w:val="18"/>
        </w:rPr>
        <w:t>Simone Polillo（Department of Sociology, University of Virginia）</w:t>
      </w:r>
    </w:p>
    <w:p>
      <w:r>
        <w:rPr>
          <w:rFonts w:ascii="Times New Roman" w:hAnsi="Times New Roman" w:eastAsia="宋体"/>
          <w:b w:val="0"/>
          <w:i w:val="0"/>
          <w:sz w:val="22"/>
        </w:rPr>
        <w:t>摘要：何为例外性经济干预？本文提出的“经济例外”概念捕捉央行如何通过危机进行治理，将其具体干预置于何为普通正常、何为例外非常规的更一般范畴中。经济例外指央行等治理机构用来界定非常规干预并将其正当化为对常规治理的必要偏离的框架。作者识别两种主要模式：行政性例外——以短期战术措施优先维持稳定、遏制扰动；天命式例外——将危机框定为重塑治理结构、嵌入长期稳定的机会。通过1960—1984年意大利银行的历史社会学研究，本文考察意大利银行如何框定危机以正当化例外干预并塑造治理结果，分析其年报及两家政治立场相反的全国性报纸的反应。</w:t>
      </w:r>
    </w:p>
    <w:p>
      <w:r>
        <w:rPr>
          <w:rFonts w:ascii="Times New Roman" w:hAnsi="Times New Roman" w:eastAsia="宋体"/>
          <w:b w:val="0"/>
          <w:i w:val="0"/>
          <w:sz w:val="20"/>
        </w:rPr>
        <w:t>What counts as an exceptional economic intervention? The concept of economic exception, developed here, captures how central banks govern through crisis, situating their concrete, specific interventions in more general categories of what constitutes ordinary and normal, as opposed to exceptional and unorthodox. Economic exceptions refer to the framings that governing agencies like central banks use to define extraordinary interventions and justify them as necessary deviations from ordinary governance. These framings work within and shape crisis constraints, structuring interventions in distinctive ways. I identify two main modes: administrative exceptions, which prioritize stability through short-term, tactical measures to contain disruptions; and providential exceptions, which frame crises as opportunities to reshape governance structures and embed long-term stability. Through a historical sociology of the Bank of Italy (BoI) from 1960 to 1984, this paper examines how the BoI framed crisis to justify exceptional interventions and shape governance outcomes. By analyzing its annual reports and their reception in two national newspapers on opposite sides of the political spectrum, I highlight how public discourse mediated the Bank’s legitimacy and authority. I trace how crisis responses evolved within broader governance regimes, from stabilizing the status quo through administrative exceptions to justifying structural transformation through providential exceptions.</w:t>
      </w:r>
    </w:p>
    <w:p/>
    <w:p>
      <w:r>
        <w:rPr>
          <w:rFonts w:ascii="Times New Roman" w:hAnsi="Times New Roman" w:eastAsia="黑体"/>
          <w:b/>
          <w:i w:val="0"/>
          <w:sz w:val="24"/>
        </w:rPr>
        <w:t>全球可可供应链中的殖民余绪：分成制、劳动剥削与性别化（再）生产</w:t>
      </w:r>
    </w:p>
    <w:p>
      <w:r>
        <w:rPr>
          <w:rFonts w:ascii="Times New Roman" w:hAnsi="Times New Roman" w:eastAsia="宋体"/>
          <w:b w:val="0"/>
          <w:i/>
          <w:color w:val="404040"/>
          <w:sz w:val="20"/>
        </w:rPr>
        <w:t>Colonial afterlives in the global cocoa supply chain: sharecropping, labour exploitation, and gendered (re)production</w:t>
      </w:r>
    </w:p>
    <w:p>
      <w:r>
        <w:rPr>
          <w:rFonts w:ascii="Times New Roman" w:hAnsi="Times New Roman" w:eastAsia="宋体"/>
          <w:b w:val="0"/>
          <w:i w:val="0"/>
          <w:color w:val="595959"/>
          <w:sz w:val="18"/>
        </w:rPr>
        <w:t>Ellie Gore（Department of Politics, University of Manchester）</w:t>
      </w:r>
    </w:p>
    <w:p>
      <w:r>
        <w:rPr>
          <w:rFonts w:ascii="Times New Roman" w:hAnsi="Times New Roman" w:eastAsia="宋体"/>
          <w:b w:val="0"/>
          <w:i w:val="0"/>
          <w:sz w:val="22"/>
        </w:rPr>
        <w:t>摘要：本文将女性主义社会再生产路径与种族资本主义文献结合，分析全球可可供应链中的性别化劳动关系，认为可可供应链底层女性受剥削根植于分成制——一种依赖不平等性别化（再）生产关系、控制土地、劳动与资本的殖民资本主义模式。本文将可可业中女性劳动剥削模式置于加纳殖民资本主义发展的长时段，特别是1920年代后转向分成制的过程中加以历史化，经验证据来自2021年在加纳收集的30份可可生产移民女性访谈。作者建议全球价值链中的性别研究应更关注农业价值链生产体系与劳动关系的殖民基础、性别等级在殖民可可产业构成中的核心作用、以及性别化劳动剥削的延续与变化。</w:t>
      </w:r>
    </w:p>
    <w:p>
      <w:r>
        <w:rPr>
          <w:rFonts w:ascii="Times New Roman" w:hAnsi="Times New Roman" w:eastAsia="宋体"/>
          <w:b w:val="0"/>
          <w:i w:val="0"/>
          <w:sz w:val="20"/>
        </w:rPr>
        <w:t>This article blends a feminist social reproduction approach with insights from the racial capitalism literature to analyse gendered labour relations in the global cocoa supply chain. It argues that women’s exploitation at the base of cocoa supply chains is rooted in sharecropping as a colonial capitalist mode of control over land, labour, and capital, which relies on unequal gendered relations of (re)production. The article historicises patterns of women’s labour exploitation in cocoa in relation to the longue durée of colonial capitalist development in Ghana and specifically the shift towards sharecropping after the 1920s. Empirical evidence is drawn from 30 interviews with migrant women working in cocoa production gathered in Ghana in 2021. Based on this analysis, the article suggests that studies of gender within Global Value Chains (GVCs) should pay greater attention to three dynamics: 1) the colonial foundations of production systems and labour relations within agricultural GVCs, namely cocoa; 2) the central role of gendered hierarchies in the constitution of the colonial cocoa industry, as articulated through relations of (re)production; and 3) how gendered labour exploitation is characterised by (colonial capitalist) continuity as well as (neoliberal) change i.e., it is not just reflective of contemporary social and economic ‘downgrading’.</w:t>
      </w:r>
    </w:p>
    <w:p/>
    <w:p>
      <w:r>
        <w:rPr>
          <w:rFonts w:ascii="Times New Roman" w:hAnsi="Times New Roman" w:eastAsia="黑体"/>
          <w:b/>
          <w:i w:val="0"/>
          <w:sz w:val="24"/>
        </w:rPr>
        <w:t>重商主义2.0：美中公众对贸易差额的看法</w:t>
      </w:r>
    </w:p>
    <w:p>
      <w:r>
        <w:rPr>
          <w:rFonts w:ascii="Times New Roman" w:hAnsi="Times New Roman" w:eastAsia="宋体"/>
          <w:b w:val="0"/>
          <w:i/>
          <w:color w:val="404040"/>
          <w:sz w:val="20"/>
        </w:rPr>
        <w:t>Mercantilism 2.0: American and Chinese mass public opinions toward trade balances</w:t>
      </w:r>
    </w:p>
    <w:p>
      <w:r>
        <w:rPr>
          <w:rFonts w:ascii="Times New Roman" w:hAnsi="Times New Roman" w:eastAsia="宋体"/>
          <w:b w:val="0"/>
          <w:i w:val="0"/>
          <w:color w:val="595959"/>
          <w:sz w:val="18"/>
        </w:rPr>
        <w:t>Tanja Schweinberger（Department of International Relations and International Organization, University of Groningen）</w:t>
      </w:r>
    </w:p>
    <w:p>
      <w:r>
        <w:rPr>
          <w:rFonts w:ascii="Times New Roman" w:hAnsi="Times New Roman" w:eastAsia="宋体"/>
          <w:b w:val="0"/>
          <w:i w:val="0"/>
          <w:sz w:val="22"/>
        </w:rPr>
        <w:t>摘要：随着国际贸易合作持续恶化，中美之间的国际权力竞争日趋激烈，尤其围绕中美贸易战，双边贸易失衡被政治化。作者认为权力关切塑造公众对贸易差额的看法，因为逆差被视为限制国家权力。为更好理解贸易失衡观点，作者在中国和美国开展一系列原创调查实验（n=4181），发现两国公民都比顺差更负面地看待逆差，尤其拒斥与政治竞争者之间的逆差；认为美国将被中国超越的美国受访者对双边逆差看法更负面。研究凸显了为何贸易失衡是中美关系的关键争议点；在中美实力差距变化的背景下，看似过时的重商主义观念很可能再次复兴。</w:t>
      </w:r>
    </w:p>
    <w:p>
      <w:r>
        <w:rPr>
          <w:rFonts w:ascii="Times New Roman" w:hAnsi="Times New Roman" w:eastAsia="宋体"/>
          <w:b w:val="0"/>
          <w:i w:val="0"/>
          <w:sz w:val="20"/>
        </w:rPr>
        <w:t>International power competition between the US and China is intensifying as the deterioration of international trade cooperation is ongoing. Especially surrounding the US-China trade war, the bilateral trade imbalance has been politicized. I argue that power concerns shape mass public views of trade balances as deficits are seen to limit national power. To gain a better understanding of trade imbalance views, I conduct a set of original survey experiments in China and the US (n = 4181). I find that citizens from both countries view trade deficits more negatively than surpluses and that particularly deficits with political competitors are rejected. US respondents who believe that the US will be overtaken by China have more negative views of the bilateral deficit. My findings thus highlight why the trade imbalance is a key point of contention in US-Sino relations. In this context of power gap changes between the US and China, seemingly passé mercantilist ideas are likely to be resuscitated again.</w:t>
      </w:r>
    </w:p>
    <w:p/>
    <w:p>
      <w:r>
        <w:rPr>
          <w:rFonts w:ascii="Times New Roman" w:hAnsi="Times New Roman" w:eastAsia="黑体"/>
          <w:b/>
          <w:i w:val="0"/>
          <w:sz w:val="24"/>
        </w:rPr>
        <w:t>种族主义、殖民主义与避税天堂：追溯离岸世界的隐秘历史</w:t>
      </w:r>
    </w:p>
    <w:p>
      <w:r>
        <w:rPr>
          <w:rFonts w:ascii="Times New Roman" w:hAnsi="Times New Roman" w:eastAsia="宋体"/>
          <w:b w:val="0"/>
          <w:i/>
          <w:color w:val="404040"/>
          <w:sz w:val="20"/>
        </w:rPr>
        <w:t>Racism, colonialism, and tax havens: tracing the offshore world’s hidden histories</w:t>
      </w:r>
    </w:p>
    <w:p>
      <w:r>
        <w:rPr>
          <w:rFonts w:ascii="Times New Roman" w:hAnsi="Times New Roman" w:eastAsia="宋体"/>
          <w:b w:val="0"/>
          <w:i w:val="0"/>
          <w:color w:val="595959"/>
          <w:sz w:val="18"/>
        </w:rPr>
        <w:t>Miguel A. Rivera-Quiñones（Department of Economics, Radboud University）</w:t>
      </w:r>
    </w:p>
    <w:p>
      <w:r>
        <w:rPr>
          <w:rFonts w:ascii="Times New Roman" w:hAnsi="Times New Roman" w:eastAsia="宋体"/>
          <w:b w:val="0"/>
          <w:i w:val="0"/>
          <w:sz w:val="22"/>
        </w:rPr>
        <w:t>摘要：本文通过考察种族主义在英美殖民统治下离岸区形成中的核心作用，对国际政治经济学作出去殖民化干预。文章表明殖民自治与种族化法律框架是金融与工业离岸区创建的基础，嵌入了在当代全球经济治理中持续存在的等级。分析表明殖民主义和种族主义是战后嵌入式自由主义自由化的核心，主要离岸金融中心至今仍是殖民地，种族化框架维系其避税天堂地位。通过将种族化领土从西方核心的边缘重新定位并将殖民历史作为当代离岸结构的基础，本文将非西方社会置于全球经济动态分析的中心。巴哈马、开曼群岛和波多黎各的案例说明种族主义如何作为塑造金融与工业离岸区出现和演变的结构性力量。</w:t>
      </w:r>
    </w:p>
    <w:p>
      <w:r>
        <w:rPr>
          <w:rFonts w:ascii="Times New Roman" w:hAnsi="Times New Roman" w:eastAsia="宋体"/>
          <w:b w:val="0"/>
          <w:i w:val="0"/>
          <w:sz w:val="20"/>
        </w:rPr>
        <w:t>This article advances a decolonial intervention in International Political Economy (IPE) by examining the centrality of racism in the formation of offshore zones under British and American colonial rule. It shows how colonial autonomy and racialized legal frameworks were foundational to the creation of financial and industrial offshore zones, embedding hierarchies that persist in contemporary global economic governance. The analysis demonstrates that colonialism and racism were central to the liberalization of postwar embedded liberalism and that leading Offshore Financial Centers remain colonies, with racialized frameworks sustaining their tax haven status. By repositioning racialized territories from the margins of the Western core and foregrounding colonial histories as foundational to contemporary offshore structures, the article centers non-Western societies in analyses of global economic dynamics. Case studies of the Bahamas, the Cayman Islands and Puerto Rico illustrate how racism functioned as a structural force shaping both the emergence and evolution of financial and industrial offshore zones.</w:t>
      </w:r>
    </w:p>
    <w:p/>
    <w:p>
      <w:r>
        <w:rPr>
          <w:rFonts w:ascii="Times New Roman" w:hAnsi="Times New Roman" w:eastAsia="黑体"/>
          <w:b/>
          <w:i w:val="0"/>
          <w:sz w:val="24"/>
        </w:rPr>
        <w:t>从属性融入与21世纪拉丁美洲的政治浪潮</w:t>
      </w:r>
    </w:p>
    <w:p>
      <w:r>
        <w:rPr>
          <w:rFonts w:ascii="Times New Roman" w:hAnsi="Times New Roman" w:eastAsia="宋体"/>
          <w:b w:val="0"/>
          <w:i/>
          <w:color w:val="404040"/>
          <w:sz w:val="20"/>
        </w:rPr>
        <w:t>Subordinated integration and political waves in the 21st century Latin America</w:t>
      </w:r>
    </w:p>
    <w:p>
      <w:r>
        <w:rPr>
          <w:rFonts w:ascii="Times New Roman" w:hAnsi="Times New Roman" w:eastAsia="宋体"/>
          <w:b w:val="0"/>
          <w:i w:val="0"/>
          <w:color w:val="595959"/>
          <w:sz w:val="18"/>
        </w:rPr>
        <w:t>Samuele Bibi（Aalborg University Business School）；Nicole Cerpa Vielma（Department of Global Studies, University of California）；Pedro Perfeito da Silva（University of Exeter）</w:t>
      </w:r>
    </w:p>
    <w:p>
      <w:r>
        <w:rPr>
          <w:rFonts w:ascii="Times New Roman" w:hAnsi="Times New Roman" w:eastAsia="宋体"/>
          <w:b w:val="0"/>
          <w:i w:val="0"/>
          <w:sz w:val="22"/>
        </w:rPr>
        <w:t>摘要：2000年代至2010年代初，巴西、秘鲁和智利经历了左翼选举胜利，反映了被称为“粉红浪潮”的地区趋势；但2010年代中期左翼政府民众支持的削弱中断了这一进程，开启不稳定时期：保守力量在多国重新掌权，左翼仍保持选举实力，并在2010年代末后取得新胜利，甚至引发关于第二次左转的讨论。这些选举周期虽反映国内政治条件，但不能脱离拉丁美洲在全球资本主义等级中的位置。本文认为该地区融入国际贸易与全球金融的方式也塑造并使政治周期从属化：第一次左转期间，大宗商品繁荣与外国直接投资带来的相对稳定流入使政府能够实施进步政策；而近期左翼政府未经历类似的大宗商品繁荣，须更多依赖波动的短期金融流入，对国家稳定与政策空间构成重大挑战。</w:t>
      </w:r>
    </w:p>
    <w:p>
      <w:r>
        <w:rPr>
          <w:rFonts w:ascii="Times New Roman" w:hAnsi="Times New Roman" w:eastAsia="宋体"/>
          <w:b w:val="0"/>
          <w:i w:val="0"/>
          <w:sz w:val="20"/>
        </w:rPr>
        <w:t>In the 2000s and early 2010s, Brazil, Peru, and Chile experienced leftist electoral victories, reflecting the regional trend known as the Pink Tide. However, in the mid-2010s, the erosion of the popular support for left-wing governments interrupted this process, marking the start of a period of instability. On the one hand, in different countries, conservative forces managed to regain power, renewing the impulse to marketization; on the other hand, left-wing parties kept their electoral strength, obtaining new victories after the late 2010s and even opening the debate about a second left turn in the region. Although these electoral cycles in Brazil, Peru, and Chile reflected domestic political conditions, they cannot be detached from Latin America’s position in the hierarchy of global capitalism. This paper argues that the region’s integration into international trade and global finance has also shaped and subordinated political cycles, introducing varied constraints and opportunities for domestic political actors. We show that during the first left turn, relatively stable inflows from the commodities boom and foreign direct investment allowed governments to implement progressive policies. However, recent left-wing governments have not experienced a similar commodities surge and had to rely more heavily on volatile, short-term financial inflows, posing significant challenges to these countries’ stability and policy space. We argue that the analysis of the trade, financial and political past of Latin American countries should serve them to change their path to avoid being trapped in shrinking waves that curb the space for autonomous development.</w:t>
      </w:r>
    </w:p>
    <w:p/>
    <w:p>
      <w:r>
        <w:rPr>
          <w:rFonts w:ascii="Times New Roman" w:hAnsi="Times New Roman" w:eastAsia="宋体"/>
          <w:b/>
          <w:i w:val="0"/>
          <w:sz w:val="22"/>
        </w:rPr>
        <w:t>RIPE： Vol. 32, No. 6, 2025</w:t>
      </w:r>
    </w:p>
    <w:p/>
    <w:p>
      <w:r>
        <w:rPr>
          <w:rFonts w:ascii="Times New Roman" w:hAnsi="Times New Roman" w:eastAsia="黑体"/>
          <w:b/>
          <w:i w:val="0"/>
          <w:sz w:val="24"/>
        </w:rPr>
        <w:t>去风险化脱碳的局限：国内绿色转型战略中的国家能力不均衡</w:t>
      </w:r>
    </w:p>
    <w:p>
      <w:r>
        <w:rPr>
          <w:rFonts w:ascii="Times New Roman" w:hAnsi="Times New Roman" w:eastAsia="宋体"/>
          <w:b w:val="0"/>
          <w:i/>
          <w:color w:val="404040"/>
          <w:sz w:val="20"/>
        </w:rPr>
        <w:t>The limits to derisked decarbonization: state capacity unevenness in domestic green transition strategies</w:t>
      </w:r>
    </w:p>
    <w:p>
      <w:r>
        <w:rPr>
          <w:rFonts w:ascii="Times New Roman" w:hAnsi="Times New Roman" w:eastAsia="宋体"/>
          <w:b w:val="0"/>
          <w:i w:val="0"/>
          <w:color w:val="595959"/>
          <w:sz w:val="18"/>
        </w:rPr>
        <w:t>Rosie Collington（Copenhagen Business School）</w:t>
      </w:r>
    </w:p>
    <w:p>
      <w:r>
        <w:rPr>
          <w:rFonts w:ascii="Times New Roman" w:hAnsi="Times New Roman" w:eastAsia="宋体"/>
          <w:b w:val="0"/>
          <w:i w:val="0"/>
          <w:sz w:val="22"/>
        </w:rPr>
        <w:t>摘要：随着2015年《巴黎协定》通过，世界各国政府承诺制定国家减排计划，但即便是拥有法律化综合多部门战略的政府，也未能实现其计划目标。本文分析全球政治经济动态如何在国家官僚体系内展开，影响实施绿色转型战略的国家能力发展。以智利为例，本文说明绿色氢能、原生林业和采矿三个政策领域的政府机构在发展脱碳国家能力方面获得了不同的努力。现有理论认为在位者反对强烈的部门需要更有针对性的国家能力建设，作者却发现国家能力发展与政策是否契合政府增长战略及相关结构约束、以及是否有用于去风险基础设施投资的融资相关：国家能力有助于向潜在投资者发出项目可行性信号，但“不可融资”政策领域的有限国家能力破坏了碳中和的实现。</w:t>
      </w:r>
    </w:p>
    <w:p>
      <w:r>
        <w:rPr>
          <w:rFonts w:ascii="Times New Roman" w:hAnsi="Times New Roman" w:eastAsia="宋体"/>
          <w:b w:val="0"/>
          <w:i w:val="0"/>
          <w:sz w:val="20"/>
        </w:rPr>
        <w:t>With the adoption of the Paris Agreement in 2015, governments around the world committed to developing national plans to reduce emissions and limit average global temperatures to below 2 °C above pre-industrial levels by the end of the century. However, even governments with comprehensive multi-sectoral strategies enshrined in legislation are failing to implement what their own plans set out to achieve. This article analyzes how the dynamics of the global political economy unfold within national bureaucracies and affect the development of state capacity for implementing green transition strategies. Drawing on the case of Chile, the article illustrates how government agencies across three policy areas—green hydrogen, native forestry, and mining—were met with differential efforts to develop state capacity for implementing decarbonization initiatives. Where existing theories suggest that initiatives in sectors with strong incumbent opposition require more targeted efforts to develop state capacity, instead I find that state capacity development is associated with policies’ alignment with the government’s growth strategy and related structural constraints, and the availability of financing for derisking infrastructure investments. State capacity helps to signal project feasibility to potential investors, but limited state capacity in ‘unbankable’ policy areas undermines the realisation of carbon neutrality.</w:t>
      </w:r>
    </w:p>
    <w:p/>
    <w:p>
      <w:r>
        <w:rPr>
          <w:rFonts w:ascii="Times New Roman" w:hAnsi="Times New Roman" w:eastAsia="黑体"/>
          <w:b/>
          <w:i w:val="0"/>
          <w:sz w:val="24"/>
        </w:rPr>
        <w:t>不稳的根基：欧盟房地产金融监管中的结构—关系权力与企业影响</w:t>
      </w:r>
    </w:p>
    <w:p>
      <w:r>
        <w:rPr>
          <w:rFonts w:ascii="Times New Roman" w:hAnsi="Times New Roman" w:eastAsia="宋体"/>
          <w:b w:val="0"/>
          <w:i/>
          <w:color w:val="404040"/>
          <w:sz w:val="20"/>
        </w:rPr>
        <w:t>Shaky foundations: structural-relational power and business influence in the EU’s regulation of real estate finance</w:t>
      </w:r>
    </w:p>
    <w:p>
      <w:r>
        <w:rPr>
          <w:rFonts w:ascii="Times New Roman" w:hAnsi="Times New Roman" w:eastAsia="宋体"/>
          <w:b w:val="0"/>
          <w:i w:val="0"/>
          <w:color w:val="595959"/>
          <w:sz w:val="18"/>
        </w:rPr>
        <w:t>Giuseppe Montalbano（Institute of Political Science, University of Luxembourg）；Lindsay B. Flynn（Institute of Political Science, University of Luxembourg）</w:t>
      </w:r>
    </w:p>
    <w:p>
      <w:r>
        <w:rPr>
          <w:rFonts w:ascii="Times New Roman" w:hAnsi="Times New Roman" w:eastAsia="宋体"/>
          <w:b w:val="0"/>
          <w:i w:val="0"/>
          <w:sz w:val="22"/>
        </w:rPr>
        <w:t>摘要：房地产金融化已成为政治学研究欧洲经济新自由主义重组的关键维度，但对其在欧盟层面的监管条件及企业权力在其中的作用关注较少。本研究运用贝叶斯过程追踪，考察企业结构性权力、游说与议题显著性如何在欧盟保险业监管中相互作用，并如何影响房地产投资与结构化金融产品。作者提出并实证检验一个解释机制，考察企业团体如何将结构性权力作为关键游说资源，在不同政治显著性情境下塑造决策者对监管的理解。作者收集分析2010—2022年与《偿付能力II》和《职业退休保障机构指令》及其改革相关的立法与文件资料，并对利益攸关方和决策者进行了20次访谈。结果表明，当房地产金融业通过游说运用结构性权力并被欧盟决策者视为可信且重要时，就能获得其偏好结果；反之其努力仅部分成功或大多失败。</w:t>
      </w:r>
    </w:p>
    <w:p>
      <w:r>
        <w:rPr>
          <w:rFonts w:ascii="Times New Roman" w:hAnsi="Times New Roman" w:eastAsia="宋体"/>
          <w:b w:val="0"/>
          <w:i w:val="0"/>
          <w:sz w:val="20"/>
        </w:rPr>
        <w:t>While the financialisation of real estate has emerged in political science as a critical dimension of Neoliberal restructuring of European economies, less attention has been given to its underlying regulatory conditions at the EU level and the role of corporate power in shaping them. This study fills the gap by using a Bayesian process tracing analysis to examine how corporate structural power, lobbying, and salience interact in the regulation of the EU insurance industry, and how this affects real estate investments and structured financial products. We advance and empirically test an explanatory mechanism to investigate the deployment of structural power as a critical lobbying resource for business groups in shaping policymakers’ understandings of regulation in different contexts of political salience. We collected and analysed legislative and documental sources, and conducted 20 interviews with stakeholders and policymakers, related to the Solvency II and Institutions for Occupational Retirement Provision directives and their reforms from 2010 to 2022. Our findings demonstrate how the real estate finance industry secures its preferred outcomes when it leverages structural power through lobbying and is perceived by EU policymakers as credible and salient. Conversely, its efforts are only partially or largely unsuccessful when these conditions are unmet. This article refines the scholarly conceptualisation of the interactions among structural power, lobbying, and salience and sheds light on corporate power in EU real estate finance.</w:t>
      </w:r>
    </w:p>
    <w:p/>
    <w:p>
      <w:r>
        <w:rPr>
          <w:rFonts w:ascii="Times New Roman" w:hAnsi="Times New Roman" w:eastAsia="黑体"/>
          <w:b/>
          <w:i w:val="0"/>
          <w:sz w:val="24"/>
        </w:rPr>
        <w:t>接触EITI成员国如何影响采掘业行为？</w:t>
      </w:r>
    </w:p>
    <w:p>
      <w:r>
        <w:rPr>
          <w:rFonts w:ascii="Times New Roman" w:hAnsi="Times New Roman" w:eastAsia="宋体"/>
          <w:b w:val="0"/>
          <w:i/>
          <w:color w:val="404040"/>
          <w:sz w:val="20"/>
        </w:rPr>
        <w:t>How does exposure to EITI member countries affect extractive industry conduct?</w:t>
      </w:r>
    </w:p>
    <w:p>
      <w:r>
        <w:rPr>
          <w:rFonts w:ascii="Times New Roman" w:hAnsi="Times New Roman" w:eastAsia="宋体"/>
          <w:b w:val="0"/>
          <w:i w:val="0"/>
          <w:color w:val="595959"/>
          <w:sz w:val="18"/>
        </w:rPr>
        <w:t>Ivar Kolstad（Department of Accounting, Auditing and Law, Norwegian School of Economics; Chr. Michelsen Institute）；Arne Wiig（Chr. Michelsen Institute）</w:t>
      </w:r>
    </w:p>
    <w:p>
      <w:r>
        <w:rPr>
          <w:rFonts w:ascii="Times New Roman" w:hAnsi="Times New Roman" w:eastAsia="宋体"/>
          <w:b w:val="0"/>
          <w:i w:val="0"/>
          <w:sz w:val="22"/>
        </w:rPr>
        <w:t>摘要：关于国际治理倡议有效性的文献主要关注其对政府行为或国家层面结果的影响，而非对企业的影响。作者分析石油公司对采掘业透明度倡议成员东道国的暴露对企业行为的影响，结合固定效应模型与移份额工具变量识别因果效应。研究发现对EITI成员国暴露增加会提高企业受到的环境、社会与治理相关负面媒体关注；这一增加不太可能反映企业接触更透明制度后的建设性曝光，原因有三：相应ESG维度的企业政策没有改善；负面效应由有不当行为历史的企业暴露于威权EITI国家所驱动；这类企业也被EITI国家吸引。结果表明EITI暴露对企业行为充其量无关紧要，最坏情况下助长采掘企业行为的漂绿。</w:t>
      </w:r>
    </w:p>
    <w:p>
      <w:r>
        <w:rPr>
          <w:rFonts w:ascii="Times New Roman" w:hAnsi="Times New Roman" w:eastAsia="宋体"/>
          <w:b w:val="0"/>
          <w:i w:val="0"/>
          <w:sz w:val="20"/>
        </w:rPr>
        <w:t>The literature on the effectiveness of the international governance initiatives has predominantly focused on effects on government conduct or country-level outcomes rather than companies. We analyse the effect of petroleum company exposure to host countries that are members of the Extractive Industries Transparency Initiative (EITI) on corporate conduct. To identify causal effects of company EITI exposure, we combine fixed effects models with a shift-share instrumental variable approach. We find that increased exposure to EITI member countries increases the amount of negative media attention related to environmental, social and governance (ESG) matters a company receives. The increased negative attention is unlikely to reflect a constructive exposure of companies to more transparent institutions for three reasons: i) Company policy on corresponding ESG dimensions shows no improvement; ii) the negative effect is driven by exposure to autocratic EITI countries of companies with a history of misconduct; and iii) such companies are also attracted to EITI countries. Our results suggest that EITI exposure is at best inconsequential for corporate behaviour, and at worst contributes to greenwashing of extractive company conduct. Our analysis complements a literature critical to the effectiveness of soft international governance initiatives, raising questions about the power and interests shaping such initiatives.</w:t>
      </w:r>
    </w:p>
    <w:p/>
    <w:p>
      <w:r>
        <w:rPr>
          <w:rFonts w:ascii="Times New Roman" w:hAnsi="Times New Roman" w:eastAsia="黑体"/>
          <w:b/>
          <w:i w:val="0"/>
          <w:sz w:val="24"/>
        </w:rPr>
        <w:t>全球价值链劳动治理的局限：不稳定劳动体制中的排斥、“边缘”人群与公民社会行动</w:t>
      </w:r>
    </w:p>
    <w:p>
      <w:r>
        <w:rPr>
          <w:rFonts w:ascii="Times New Roman" w:hAnsi="Times New Roman" w:eastAsia="宋体"/>
          <w:b w:val="0"/>
          <w:i/>
          <w:color w:val="404040"/>
          <w:sz w:val="20"/>
        </w:rPr>
        <w:t>The limits of labor governance in global value chains: exclusions, ‘edge’ populations and civil society activism in unstable labor regimes</w:t>
      </w:r>
    </w:p>
    <w:p>
      <w:r>
        <w:rPr>
          <w:rFonts w:ascii="Times New Roman" w:hAnsi="Times New Roman" w:eastAsia="宋体"/>
          <w:b w:val="0"/>
          <w:i w:val="0"/>
          <w:color w:val="595959"/>
          <w:sz w:val="18"/>
        </w:rPr>
        <w:t>Natalie Jayne Langford（School of Sociological Studies, Politics and International Relations, University of Sheffield）</w:t>
      </w:r>
    </w:p>
    <w:p>
      <w:r>
        <w:rPr>
          <w:rFonts w:ascii="Times New Roman" w:hAnsi="Times New Roman" w:eastAsia="宋体"/>
          <w:b w:val="0"/>
          <w:i w:val="0"/>
          <w:sz w:val="22"/>
        </w:rPr>
        <w:t>摘要：公民社会组织在全球价值链劳动治理中发挥了关键作用，但许多由全球北方公民社会组织开发的倡议未能考虑全球资本主义内在的不稳定模式，这些模式可能导致工人被逐出价值链，并在全球南方催生“边缘”人群，其劳动经历由零星进出不稳定雇佣工作所塑造。本文以印度茶产业为例，探讨南方公民社会组织为“边缘”人群发展有效劳动治理的努力，借助全球价值链与劳动体制视角记录资本积累边缘的劳动现实，展示生产地理的时空变迁（导致工人与生产者的纳入与排斥）如何塑造并限制公民社会组织改善劳动与生计的策略。</w:t>
      </w:r>
    </w:p>
    <w:p>
      <w:r>
        <w:rPr>
          <w:rFonts w:ascii="Times New Roman" w:hAnsi="Times New Roman" w:eastAsia="宋体"/>
          <w:b w:val="0"/>
          <w:i w:val="0"/>
          <w:sz w:val="20"/>
        </w:rPr>
        <w:t>Civil society organizations (CSOs) have played a pivotal role in the governance of labor in global value chains (GVCs). Yet many initiatives developed by CSOs in the global North fail to account for patterns of instability inherent within global capitalism which can result in expulsions of workers from value chains. Arguably, such patterns of instability propagate the existence of ‘edge’ populations in the global South, whose experiences of labor are shaped by sporadic entry and exit into insecure waged work. This article explores the efforts of Southern CSOs to develop effective labor governance for ‘edge’ populations using the case of the Indian tea industry. It draws on the lens of GVCs and labor regimes to document the reality of work on the margins of capital accumulation and demonstrates the ways through which spatial and temporal shifts in geographies of production (resulting in inclusions and exclusions of workers and producers) shape, but also limit, the strategies of CSOs to improve labor and livelihoods. In doing so, this article reveals a more complex picture of the realities and possibilities of labor governance in globalized production chains.</w:t>
      </w:r>
    </w:p>
    <w:p/>
    <w:p>
      <w:r>
        <w:rPr>
          <w:rFonts w:ascii="Times New Roman" w:hAnsi="Times New Roman" w:eastAsia="黑体"/>
          <w:b/>
          <w:i w:val="0"/>
          <w:sz w:val="24"/>
        </w:rPr>
        <w:t>父权积累的政治经济学</w:t>
      </w:r>
    </w:p>
    <w:p>
      <w:r>
        <w:rPr>
          <w:rFonts w:ascii="Times New Roman" w:hAnsi="Times New Roman" w:eastAsia="宋体"/>
          <w:b w:val="0"/>
          <w:i/>
          <w:color w:val="404040"/>
          <w:sz w:val="20"/>
        </w:rPr>
        <w:t>The political economy of patriarchal accumulation</w:t>
      </w:r>
    </w:p>
    <w:p>
      <w:r>
        <w:rPr>
          <w:rFonts w:ascii="Times New Roman" w:hAnsi="Times New Roman" w:eastAsia="宋体"/>
          <w:b w:val="0"/>
          <w:i w:val="0"/>
          <w:color w:val="595959"/>
          <w:sz w:val="18"/>
        </w:rPr>
        <w:t>Melissa Johnston（School of Political Science and International Studies, The University of Queensland）</w:t>
      </w:r>
    </w:p>
    <w:p>
      <w:r>
        <w:rPr>
          <w:rFonts w:ascii="Times New Roman" w:hAnsi="Times New Roman" w:eastAsia="宋体"/>
          <w:b w:val="0"/>
          <w:i w:val="0"/>
          <w:sz w:val="22"/>
        </w:rPr>
        <w:t>摘要：本文研究彩礼中的一个经验谜题，它对社会再生产路径“资本主义—父权制”统一框架提出问题。在东帝汶，彩礼平均约5000美元，最高可达12万美元。田野调查发现新郎的姑姨和姐妹支付了相当部分彩礼，而新娘的舅舅收取了大部分彩礼，形成彩礼物品与现金从女性向男性的净流动。作者认为彩礼是同样由男性利益而非仅由资本主义驱动的商品回路的一部分，提出“父权积累”概念：一种旨在再生产男性支配与女性从属社会关系的、对剩余劳动与商品反复占有与积累过程的终点。</w:t>
      </w:r>
    </w:p>
    <w:p>
      <w:r>
        <w:rPr>
          <w:rFonts w:ascii="Times New Roman" w:hAnsi="Times New Roman" w:eastAsia="宋体"/>
          <w:b w:val="0"/>
          <w:i w:val="0"/>
          <w:sz w:val="20"/>
        </w:rPr>
        <w:t>This paper investigates an empirical puzzle in brideprice that raises issues for social reproduction approaches’ unitary framework of ‘capitalist-patriarchy’. In Timor-Leste, brideprice averages around US$5000, but can be up to US$120,000. Fieldwork revealed that aunts and sisters of the groom pay a substantial portion of the brideprice, while uncles of the bride receive most of the brideprice. This results in a net flow of brideprice goods and cash from women to men. The paper argues brideprice is part of a commodity circuit that is also motivated by men’s interests, rather than by capitalism alone. It develops the concept of ‘patriarchal accumulation’: the end point of a repetitive process of appropriation and accumulation of surplus labour and commodities aimed at reproducing the social relation of men’s domination and women’s subordination. In demonstrating the utility of patriarchal accumulation, the paper suggests that unitary theories of capitalist-patriarchy may insufficiently address situations where men have institutionalised the direct appropriation of women’s labour and the commodities they produce. While social reproduction analyses of the imbrication of capitalism and patriarchy in a unitary system will always be salient, patriarchal accumulation could be a useful political economy tool to analyse patriarchal drivers of resource distribution and inequality.</w:t>
      </w:r>
    </w:p>
    <w:p/>
    <w:p>
      <w:r>
        <w:rPr>
          <w:rFonts w:ascii="Times New Roman" w:hAnsi="Times New Roman" w:eastAsia="黑体"/>
          <w:b/>
          <w:i w:val="0"/>
          <w:sz w:val="24"/>
        </w:rPr>
        <w:t>真正主宰自己的命运：第三世界与政治自由的去殖民化</w:t>
      </w:r>
    </w:p>
    <w:p>
      <w:r>
        <w:rPr>
          <w:rFonts w:ascii="Times New Roman" w:hAnsi="Times New Roman" w:eastAsia="宋体"/>
          <w:b w:val="0"/>
          <w:i/>
          <w:color w:val="404040"/>
          <w:sz w:val="20"/>
        </w:rPr>
        <w:t>True master of our own destiny: the Third World and the decolonisation of political freedom</w:t>
      </w:r>
    </w:p>
    <w:p>
      <w:r>
        <w:rPr>
          <w:rFonts w:ascii="Times New Roman" w:hAnsi="Times New Roman" w:eastAsia="宋体"/>
          <w:b w:val="0"/>
          <w:i w:val="0"/>
          <w:color w:val="595959"/>
          <w:sz w:val="18"/>
        </w:rPr>
        <w:t>José Miguel Ahumada（Institute of International Studies, University of Chile）</w:t>
      </w:r>
    </w:p>
    <w:p>
      <w:r>
        <w:rPr>
          <w:rFonts w:ascii="Times New Roman" w:hAnsi="Times New Roman" w:eastAsia="宋体"/>
          <w:b w:val="0"/>
          <w:i w:val="0"/>
          <w:sz w:val="22"/>
        </w:rPr>
        <w:t>摘要：本文探讨第三世界如何在战后时期阐述一套新的自由与支配政治词汇，并最终形成对国际经济新秩序和《各国经济权利和义务宪章》的要求。借鉴拉美结构主义和作为“非依附”的自由观，边缘国家将主权重新界定为不仅是不干涉，还包括摆脱结构性经济支配的解放。通过分析《阿尔及尔宪章》、联合国贸发会议第三届会议和联大第六届特别会议等关键政治事件，本研究表明第三世界发展出对国际不平等的独特理解，将发展与自主及对经济结构的主权控制相联系。本文挑战将第三世界诉求简化为物质私利或西方自由主义理想延伸的主流解读，认为这些倡议构成了对全球经济秩序的原创性、系统性批判。</w:t>
      </w:r>
    </w:p>
    <w:p>
      <w:r>
        <w:rPr>
          <w:rFonts w:ascii="Times New Roman" w:hAnsi="Times New Roman" w:eastAsia="宋体"/>
          <w:b w:val="0"/>
          <w:i w:val="0"/>
          <w:sz w:val="20"/>
        </w:rPr>
        <w:t>This article explores how the Third World articulated a novel political vocabulary of freedom and domination during the post-war era, culminating in the demands for a New International Economic Order (NIEO) and the Charter of Economic Rights and Duties of States (CERDS). Drawing on Latin American structuralism and a conception of freedom as non-dependency, peripheral countries reframed sovereignty not merely as non-interference but as emancipation from structural economic domination. Through the analysis of key political events—such as the Algiers Charter, the Third Session of the United Nations Conference on Trade and Development (UNCTAD III), and the Sixth Special Session of the UN General Assembly—this study shows that the Third World developed a distinctive understanding of international inequality, linking development to autonomy and sovereign control over economic structures. The article challenges dominant interpretations that reduce Third World demands to just material self-interest or mere extensions of Western liberal ideals. Instead, it argues that these initiatives constituted an original, systemic critique of the global economic order, with lasting relevance for contemporary debates on development and freedom.</w:t>
      </w:r>
    </w:p>
    <w:p/>
    <w:p>
      <w:r>
        <w:rPr>
          <w:rFonts w:ascii="Times New Roman" w:hAnsi="Times New Roman" w:eastAsia="黑体"/>
          <w:b/>
          <w:i w:val="0"/>
          <w:sz w:val="24"/>
        </w:rPr>
        <w:t>拉美镜像中的印度政治转向：依附与垄断资本的辩证法</w:t>
      </w:r>
    </w:p>
    <w:p>
      <w:r>
        <w:rPr>
          <w:rFonts w:ascii="Times New Roman" w:hAnsi="Times New Roman" w:eastAsia="宋体"/>
          <w:b w:val="0"/>
          <w:i/>
          <w:color w:val="404040"/>
          <w:sz w:val="20"/>
        </w:rPr>
        <w:t>India’s political shift in a Latin American mirror: the dialectics of dependency and monopoly capital</w:t>
      </w:r>
    </w:p>
    <w:p>
      <w:r>
        <w:rPr>
          <w:rFonts w:ascii="Times New Roman" w:hAnsi="Times New Roman" w:eastAsia="宋体"/>
          <w:b w:val="0"/>
          <w:i w:val="0"/>
          <w:color w:val="595959"/>
          <w:sz w:val="18"/>
        </w:rPr>
        <w:t>Rahul A. Sirohi（Department of Humanities and Social Sciences, Indian Institute of Technology Tirupati）</w:t>
      </w:r>
    </w:p>
    <w:p>
      <w:r>
        <w:rPr>
          <w:rFonts w:ascii="Times New Roman" w:hAnsi="Times New Roman" w:eastAsia="宋体"/>
          <w:b w:val="0"/>
          <w:i w:val="0"/>
          <w:sz w:val="22"/>
        </w:rPr>
        <w:t>摘要：过去一二十年间右翼威权运动在世界各地兴起，尽管印度有长期的自由民主历史，也未能例外。关于印度威权主义的大量文献多借鉴北方经验和北方主要思想家的理论框架。本文正是在此切入，以拉美为镜研究印度，特别借鉴战后拉美最多产的思想家之一、巴西马克思主义者鲁伊·毛罗·马里尼的著述：他广泛论述不平等交换的动态，并发展出理解1960—70年代席卷拉美的威权浪潮的深刻框架，将威权转向理解为由政治经济过程塑造，强调须在世界体系等级的背景下将这些社会过程理论化。本文以这一总体性视角为切入点评估印度近期的政治轨迹。</w:t>
      </w:r>
    </w:p>
    <w:p>
      <w:r>
        <w:rPr>
          <w:rFonts w:ascii="Times New Roman" w:hAnsi="Times New Roman" w:eastAsia="宋体"/>
          <w:b w:val="0"/>
          <w:i w:val="0"/>
          <w:sz w:val="20"/>
        </w:rPr>
        <w:t>The last decade or two has witnessed a surge of right-wing, authoritarian movements across the world. India, despite its long history of liberal democracy, has not been an exception to this trend. With the scale and nature of the transformations that have been unfolding, a large literature has emerged on the rising tides of authoritarianism in India. Much of this scholarship, however, has drawn on Northern experiences and the theoretical frameworks of leading Northern thinkers. It is precisely here that this article seeks to enter the debate by studying India in a Latin American mirror. In particular, it draws on the writings of Brazilian Marxist, Ruy Mauro Marini, one of the most prolific thinkers to have emerged from post-War Latin America. Marini wrote extensively on the dynamics of unequal exchange but also developed an incisive framework to understand the authoritarian wave that engulfed Latin America during the 1960s and 70s. He came to understand the authoritarian turn as being shaped by political economy processes and underlined the need to theorise these social processes in the context of world-system level hierarchies. It is this totalising perspective that is used as an entry point to assess the recent political trajectory of India.</w:t>
      </w:r>
    </w:p>
    <w:p/>
    <w:p>
      <w:r>
        <w:rPr>
          <w:rFonts w:ascii="Times New Roman" w:hAnsi="Times New Roman" w:eastAsia="黑体"/>
          <w:b/>
          <w:i w:val="0"/>
          <w:sz w:val="24"/>
        </w:rPr>
        <w:t>从成衣到不满：快速工业化经济体中的城市增长与经济冲击动态</w:t>
      </w:r>
    </w:p>
    <w:p>
      <w:r>
        <w:rPr>
          <w:rFonts w:ascii="Times New Roman" w:hAnsi="Times New Roman" w:eastAsia="宋体"/>
          <w:b w:val="0"/>
          <w:i/>
          <w:color w:val="404040"/>
          <w:sz w:val="20"/>
        </w:rPr>
        <w:t>From garments to grievances: the dynamics of urban growth and economic shocks in rapidly industrialising economies</w:t>
      </w:r>
    </w:p>
    <w:p>
      <w:r>
        <w:rPr>
          <w:rFonts w:ascii="Times New Roman" w:hAnsi="Times New Roman" w:eastAsia="宋体"/>
          <w:b w:val="0"/>
          <w:i w:val="0"/>
          <w:color w:val="595959"/>
          <w:sz w:val="18"/>
        </w:rPr>
        <w:t>Elisa D’Amico（School of International Relations, University of St Andrews）</w:t>
      </w:r>
    </w:p>
    <w:p>
      <w:r>
        <w:rPr>
          <w:rFonts w:ascii="Times New Roman" w:hAnsi="Times New Roman" w:eastAsia="宋体"/>
          <w:b w:val="0"/>
          <w:i w:val="0"/>
          <w:sz w:val="22"/>
        </w:rPr>
        <w:t>摘要：面对快速工业化，当今新兴经济体正经历由贸易“逐底竞争”驱动的空前城市增长，但这种扩张并非没有挑战。本文因果识别外生经济冲击对劳动力需求与城市增长的影响，并考察这些冲击如何在外部强加的经济下行时期独特地改变社会稳定与动荡的条件：劳动需求冲击如何影响城市增长、城市化是否独立导致城市动荡、快速城市扩张与经济冲击结合如何显著提升社会不稳定风险。利用双重差分和三重差分模型，本文分析孟加拉国通过成衣业增长的城市扩张以及粮食价格冲击的数据，揭示这些因素如何汇聚影响社会不满。</w:t>
      </w:r>
    </w:p>
    <w:p>
      <w:r>
        <w:rPr>
          <w:rFonts w:ascii="Times New Roman" w:hAnsi="Times New Roman" w:eastAsia="宋体"/>
          <w:b w:val="0"/>
          <w:i w:val="0"/>
          <w:sz w:val="20"/>
        </w:rPr>
        <w:t>In the face of rapid industrialisation, modern-day emergent economies are experiencing unprecedented urban growth driven by the ‘race to the bottom’ in trade. However, this urban expansion is not without its challenges. This paper causally identifies the impact of exogenous economic shocks on labour market demand and urban growth, while examining how these shocks uniquely alter the conditions for social stability and unrest during periods of externally imposed economic downturns. This work examines how labour demand shocks influence urban growth, investigates whether urbanisation independently leads to urban unrest, and analyses how rapid urban expansion combined with economic shocks can significantly escalate the risk of social instability. Utilising a robust methodological approach, including difference–indifferences and triple difference models, this paper analyses data from Bangladesh’s urban expansion via the growth of the ready-made garment industry and economic food price shocks to reveal how these factors converge to influence social grievances. The findings highlight that while urban growth presents opportunities, its interaction with economic downturns can exacerbate social inequalities and drive unrest. This research underscores the necessity for targeted urban planning and social safety measures to address the complexities of industrialisation and economic volatility in rapidly developing economies.</w:t>
      </w:r>
    </w:p>
    <w:p/>
    <w:p>
      <w:r>
        <w:rPr>
          <w:rFonts w:ascii="Times New Roman" w:hAnsi="Times New Roman" w:eastAsia="黑体"/>
          <w:b/>
          <w:i w:val="0"/>
          <w:sz w:val="24"/>
        </w:rPr>
        <w:t>自由规范与殖民沉积：以OECD援助统计为例</w:t>
      </w:r>
    </w:p>
    <w:p>
      <w:r>
        <w:rPr>
          <w:rFonts w:ascii="Times New Roman" w:hAnsi="Times New Roman" w:eastAsia="宋体"/>
          <w:b w:val="0"/>
          <w:i/>
          <w:color w:val="404040"/>
          <w:sz w:val="20"/>
        </w:rPr>
        <w:t>Liberal norms, colonial sediments: the case of OECD aid statistics</w:t>
      </w:r>
    </w:p>
    <w:p>
      <w:r>
        <w:rPr>
          <w:rFonts w:ascii="Times New Roman" w:hAnsi="Times New Roman" w:eastAsia="宋体"/>
          <w:b w:val="0"/>
          <w:i w:val="0"/>
          <w:color w:val="595959"/>
          <w:sz w:val="18"/>
        </w:rPr>
        <w:t>Anna Khakee（Department of International Relations, University of Malta）；Christa Callus（Insecurity Insight）</w:t>
      </w:r>
    </w:p>
    <w:p>
      <w:r>
        <w:rPr>
          <w:rFonts w:ascii="Times New Roman" w:hAnsi="Times New Roman" w:eastAsia="宋体"/>
          <w:b w:val="0"/>
          <w:i w:val="0"/>
          <w:sz w:val="22"/>
        </w:rPr>
        <w:t>摘要：直至今日，经合组织规则仍允许殖民国家将对其剩余海外领地的转移计为官方发展援助。作者系统量化了1960—2022年这一研究不足的“帝国内部交易计为援助”的做法（不应与对前殖民地的援助混淆），并以官方发展援助概念史和经合组织同行审议的分析为支撑，揭示此类转移纳入官方发展援助如何被常态化。理论上，作者提出“规范沉积”概念，定义为国际组织内部建立在冲突或矛盾价值观之上的规范自然化共存：来自不同时期的较旧（殖民）规范持续有效，其与机构所宣称的当前根本（自由）规范的兼容性未受质疑。文章最后讨论殖民援助的后果：常态化并延续宗主国对其殖民地臣民有限责任的殖民理解，并通过虚增援助数字提升大国作为仁慈行为体的形象。</w:t>
      </w:r>
    </w:p>
    <w:p>
      <w:r>
        <w:rPr>
          <w:rFonts w:ascii="Times New Roman" w:hAnsi="Times New Roman" w:eastAsia="宋体"/>
          <w:b w:val="0"/>
          <w:i w:val="0"/>
          <w:sz w:val="20"/>
        </w:rPr>
        <w:t>Up until today, rules of the Organisation for Economic Co-operation and Development (OECD) allow colonial powers to count transfers to remaining overseas territories as official development assistance (ODA). We systematically quantify this under-researched practice of intra-imperial transactions counted as aid—not to be conflated with aid to former colonies—from 1960 to 2022. This quantitative analysis is underpinned by an analysis of the history of the ODA concept and of OECD peer reviews of ODA, which reveal how the inclusion of such transfers in ODA is normalised. To analyse this theoretically, we propose the notion of norm sedimentation, which we define as the naturalised coexistence within an international organisation (IO) of norms that are founded on conflicting or contradictory values. Stemming from different time periods, older (colonial) norms remain valid without their compatibility with current fundamental (liberal) norms claimed by the institution being questioned. The concept of norm sedimentation is particularly useful in studying inert and naturalised norms and hitherto understudied non-liberal norms. The article concludes by discussing the consequences of colonial aid: A normalisation and perpetuating of colonial understandings of the metropoles’ limited responsibilities for their colonial subjects and a boosting—through the inflated aid figures—of the image of major powers as benevolent actors.</w:t>
      </w:r>
    </w:p>
    <w:p/>
    <w:p>
      <w:r>
        <w:rPr>
          <w:rFonts w:ascii="Times New Roman" w:hAnsi="Times New Roman" w:eastAsia="黑体"/>
          <w:b/>
          <w:i w:val="0"/>
          <w:sz w:val="24"/>
        </w:rPr>
        <w:t>长期停滞与气候变化</w:t>
      </w:r>
    </w:p>
    <w:p>
      <w:r>
        <w:rPr>
          <w:rFonts w:ascii="Times New Roman" w:hAnsi="Times New Roman" w:eastAsia="宋体"/>
          <w:b w:val="0"/>
          <w:i/>
          <w:color w:val="404040"/>
          <w:sz w:val="20"/>
        </w:rPr>
        <w:t>Secular stagnation and climate change</w:t>
      </w:r>
    </w:p>
    <w:p>
      <w:r>
        <w:rPr>
          <w:rFonts w:ascii="Times New Roman" w:hAnsi="Times New Roman" w:eastAsia="宋体"/>
          <w:b w:val="0"/>
          <w:i w:val="0"/>
          <w:color w:val="595959"/>
          <w:sz w:val="18"/>
        </w:rPr>
        <w:t>Matthew Soener（Department of Sociology, University of Illinois）</w:t>
      </w:r>
    </w:p>
    <w:p>
      <w:r>
        <w:rPr>
          <w:rFonts w:ascii="Times New Roman" w:hAnsi="Times New Roman" w:eastAsia="宋体"/>
          <w:b w:val="0"/>
          <w:i w:val="0"/>
          <w:sz w:val="22"/>
        </w:rPr>
        <w:t>摘要：关于资本主义“增长范式”与气候变化的关注与争论日益增多，但这些讨论常忽略增长率的中长期下降即“长期停滞”。本文借鉴马克思主义与后凯恩斯主义视角，提出基于世界经济核心/外围模型的不同停滞与排放路径：在全球北方，排放存量高但因去工业化而下降，取代工业的服务业、知识产权体制与金融化与停滞相关；在全球南方，随着工业转移排放上升，但全球生产碎片化、竞争性与从属性特征造成基于高剥削的生产过剩问题，同样导致停滞。</w:t>
      </w:r>
    </w:p>
    <w:p>
      <w:r>
        <w:rPr>
          <w:rFonts w:ascii="Times New Roman" w:hAnsi="Times New Roman" w:eastAsia="宋体"/>
          <w:b w:val="0"/>
          <w:i w:val="0"/>
          <w:sz w:val="20"/>
        </w:rPr>
        <w:t>There is increasing attention and debate about the capitalist ‘growth paradigm’ and climate change. Yet, frequently left out of these discussions is the medium to long-term decline in growth rates or ‘secular stagnation’. In this article, I draw on Marxist and Post-Keynesian perspectives to square this circle. I argue there are distinct stagnation and emissions pathways based on a core/periphery model of the world economy. In the Global North, emission stocks are high but have been falling due to de-industrialisation, while activities replacing industry like services, intellectual property regimes, and financialisation are associated with stagnation. In the Global South, emissions are rising as industrial activity has relocated there. However, the fragmented, competitive, and subordinate character of global production has produced a problem of overproduction based on high exploitation thereby leading to stagnation as well. Analysing stagnation reveals a number of important structural forces at play in emissions and gives new insight into the political economy of climate change.</w:t>
      </w:r>
    </w:p>
    <w:p/>
    <w:p>
      <w:r>
        <w:rPr>
          <w:rFonts w:ascii="Times New Roman" w:hAnsi="Times New Roman" w:eastAsia="黑体"/>
          <w:b/>
          <w:i w:val="0"/>
          <w:sz w:val="24"/>
        </w:rPr>
        <w:t>让内罗毕“开放营商”：LGBTQ+权利的经济论证、投机性治理术与前沿地带的企业未来投资</w:t>
      </w:r>
    </w:p>
    <w:p>
      <w:r>
        <w:rPr>
          <w:rFonts w:ascii="Times New Roman" w:hAnsi="Times New Roman" w:eastAsia="宋体"/>
          <w:b w:val="0"/>
          <w:i/>
          <w:color w:val="404040"/>
          <w:sz w:val="20"/>
        </w:rPr>
        <w:t>Making Nairobi ‘open for business’: the economic case for LGBTQ+ rights, speculative governmentality, and corporate investments in the future at the (queer and economic) frontier</w:t>
      </w:r>
    </w:p>
    <w:p>
      <w:r>
        <w:rPr>
          <w:rFonts w:ascii="Times New Roman" w:hAnsi="Times New Roman" w:eastAsia="宋体"/>
          <w:b w:val="0"/>
          <w:i w:val="0"/>
          <w:color w:val="595959"/>
          <w:sz w:val="18"/>
        </w:rPr>
        <w:t>Olimpia Burchiellaro（Essex Business School, University of Essex）</w:t>
      </w:r>
    </w:p>
    <w:p>
      <w:r>
        <w:rPr>
          <w:rFonts w:ascii="Times New Roman" w:hAnsi="Times New Roman" w:eastAsia="宋体"/>
          <w:b w:val="0"/>
          <w:i w:val="0"/>
          <w:sz w:val="22"/>
        </w:rPr>
        <w:t>摘要：本文考察支撑内罗毕LGBTQ+权利“经济论证”的关于未来的投机性叙事。通过话语与民族志分析，作者将经济论证视为一种想象性技术——企业用以将前沿市场框定为可投资的多种投机工具之一，认为企业对LGBTQ+权利的投资作为一种“投机性治理术”运作，试图管理风险、吸引资本并利用酷儿性的生产潜力，以将城市塑造为“LGBTQ友好”和“开放营商”。同时，本文关注经济论证如何由当地活动人士中介，揭示LGBTQ+权利在实践中是具有不均衡、协商性与矛盾治理效应的争夺场所。</w:t>
      </w:r>
    </w:p>
    <w:p>
      <w:r>
        <w:rPr>
          <w:rFonts w:ascii="Times New Roman" w:hAnsi="Times New Roman" w:eastAsia="宋体"/>
          <w:b w:val="0"/>
          <w:i w:val="0"/>
          <w:sz w:val="20"/>
        </w:rPr>
        <w:t>This article examines the speculative narratives about the future underpinning the economic case for LGBTQ+ rights in Nairobi. Through discursive and ethnographic analysis, I explore the economic case as an imaginative technology—one of several speculative tools that corporations use to frame frontier markets as investible. I argue that corporate investments in LGBTQ+ rights operate as a form of speculative governmentality that attempt to manage risk, attract capital, and harness the productive potential of queerness in an effort to posit the city as ‘LGBTQ-friendly’ and ‘open for business’. The article contributes to queer IPE by highlighting how queerness is entangled in global capital accumulation and the search for new frontiers of (homo)capitalist expansion. In particular, moving beyond pinkwashing critiques, I show how queer sexuality is central to and constitutive of global political economy not simply as moral or political achievement but as a speculative economic strategy. At the same time, the article also moves beyond top-down understandings of governmentality and LGBTQ+ rights as capitalist mechanisms for value extraction by focusing on how the economic case is brokered by activists on the ground. This reveals LGBTQ+ rights as a site of contestation with uneven, negotiated, and ambivalent governmental effects in practice.</w:t>
      </w:r>
    </w:p>
    <w:p/>
    <w:p>
      <w:r>
        <w:rPr>
          <w:rFonts w:ascii="Times New Roman" w:hAnsi="Times New Roman" w:eastAsia="黑体"/>
          <w:b/>
          <w:i w:val="0"/>
          <w:sz w:val="24"/>
        </w:rPr>
        <w:t>钢厂、市场与战争：描绘性别化的暴力回路</w:t>
      </w:r>
    </w:p>
    <w:p>
      <w:r>
        <w:rPr>
          <w:rFonts w:ascii="Times New Roman" w:hAnsi="Times New Roman" w:eastAsia="宋体"/>
          <w:b w:val="0"/>
          <w:i/>
          <w:color w:val="404040"/>
          <w:sz w:val="20"/>
        </w:rPr>
        <w:t>Steel mills, markets and war: mapping gendered circuits of violence</w:t>
      </w:r>
    </w:p>
    <w:p>
      <w:r>
        <w:rPr>
          <w:rFonts w:ascii="Times New Roman" w:hAnsi="Times New Roman" w:eastAsia="宋体"/>
          <w:b w:val="0"/>
          <w:i w:val="0"/>
          <w:color w:val="595959"/>
          <w:sz w:val="18"/>
        </w:rPr>
        <w:t>Daniela Lai（Department of Politics, International Relations and Philosophy, Royal Holloway, University of London）</w:t>
      </w:r>
    </w:p>
    <w:p>
      <w:r>
        <w:rPr>
          <w:rFonts w:ascii="Times New Roman" w:hAnsi="Times New Roman" w:eastAsia="宋体"/>
          <w:b w:val="0"/>
          <w:i w:val="0"/>
          <w:sz w:val="22"/>
        </w:rPr>
        <w:t>摘要：在俄罗斯入侵乌克兰带来的全球政治经济重构背景下，炼钢再次成为战争讨论的焦点。尽管钢铁在历史上与战争经济和男性气质相关，但目前对钢铁与战时暴力之间的性别化联系及其在冲突之外的影响关注较少。本文借鉴并推进女性主义国际政治经济学关于“性别化暴力回路”的研究，认为钢铁与炼钢在物质上（实际生产并为战争动员）和话语上（沿性别路线象征性地动员钢铁支持战争）都构成暴力回路：回路被配置为优先保障商品与利润流通，而炼钢社区尤其是女性仍易受性别化的身体、社会经济与环境伤害。</w:t>
      </w:r>
    </w:p>
    <w:p>
      <w:r>
        <w:rPr>
          <w:rFonts w:ascii="Times New Roman" w:hAnsi="Times New Roman" w:eastAsia="宋体"/>
          <w:b w:val="0"/>
          <w:i w:val="0"/>
          <w:sz w:val="20"/>
        </w:rPr>
        <w:t>Steelmaking has come back to the forefront of discussions around war, in the context of the global political and economic reconfigurations brought about by the Russian invasion of Ukraine. Despite steel’s historical associations with war economies and masculinity, less attention is currently being paid to the gendered connections between steel and wartime violence, and their ramifications beyond active conflict. This article thus explores the role of steel in the (re)production of contemporary economies of violence, drawing on and contributing to feminist IPE scholarship on ‘gendered circuits of violence’. It argues that steel and steelmaking constitute circuits of violence both materially, physically producing them and mobilising them for war, and discursively, through the symbolic mobilisation of steel along gendered lines in support of the war effort. The article shows how circuits are configured to prioritise the circulation of commodities and profit, while steelmaking communities and especially women remain vulnerable to gendered physical, socioeconomic and environmental harms. While methodologically following the steel, the analysis focuses on local and global events surrounding the war in Ukraine, and in the tradition of feminist IPE it draws together developments at the macro-level with an attention to social dynamics and the everyday.</w:t>
      </w:r>
    </w:p>
    <w:p/>
    <w:p>
      <w:r>
        <w:rPr>
          <w:rFonts w:ascii="Times New Roman" w:hAnsi="Times New Roman" w:eastAsia="黑体"/>
          <w:b/>
          <w:i w:val="0"/>
          <w:sz w:val="24"/>
        </w:rPr>
        <w:t>“大绿色国家”的原型？中国对绿色宏观金融体制的启示</w:t>
      </w:r>
    </w:p>
    <w:p>
      <w:r>
        <w:rPr>
          <w:rFonts w:ascii="Times New Roman" w:hAnsi="Times New Roman" w:eastAsia="宋体"/>
          <w:b w:val="0"/>
          <w:i/>
          <w:color w:val="404040"/>
          <w:sz w:val="20"/>
        </w:rPr>
        <w:t>The archetype of a ‘big green state’? What China tells us about green macrofinancial regimes</w:t>
      </w:r>
    </w:p>
    <w:p>
      <w:r>
        <w:rPr>
          <w:rFonts w:ascii="Times New Roman" w:hAnsi="Times New Roman" w:eastAsia="宋体"/>
          <w:b w:val="0"/>
          <w:i w:val="0"/>
          <w:color w:val="595959"/>
          <w:sz w:val="18"/>
        </w:rPr>
        <w:t>Mathias Larsen（Watson Institute for International &amp; Public Affairs, Brown University）</w:t>
      </w:r>
    </w:p>
    <w:p>
      <w:r>
        <w:rPr>
          <w:rFonts w:ascii="Times New Roman" w:hAnsi="Times New Roman" w:eastAsia="宋体"/>
          <w:b w:val="0"/>
          <w:i w:val="0"/>
          <w:sz w:val="22"/>
        </w:rPr>
        <w:t>摘要：受气候危机紧迫性驱动，政治经济学者在辩论国家如何最好地确保绿色转型融资。绿色宏观金融体制理论为讨论不同国家角色提供概念框架，按公共支出与对私人资本的纪律约束，提出从有限到广泛国家干预的四种理想类型：“碳休克疗法”、“弱或强去风险化”和“大绿色国家”。问题在于辩论与框架都主要聚焦西方国家。本文检验“中国是大绿色国家原型”这一基本未经检验的主流假设，发现中国政治经济模式确实符合大绿色国家的制度模型；但中国在主要使用大绿色国家工具的同时，也使用若干被认为属于其他体制的工具。这表明体制的制度互补性并不像现在认为的那样相互排斥；而且体制之间的界限主要是单向流动的：大绿色国家可跨体制使用工具，干预较少的国家则缺乏使用大绿色国家工具的能力。</w:t>
      </w:r>
    </w:p>
    <w:p>
      <w:r>
        <w:rPr>
          <w:rFonts w:ascii="Times New Roman" w:hAnsi="Times New Roman" w:eastAsia="宋体"/>
          <w:b w:val="0"/>
          <w:i w:val="0"/>
          <w:sz w:val="20"/>
        </w:rPr>
        <w:t>Driven by the urgency of the climate crisis, political economists are debating how the state can best ensure financing for a green transition. Providing a conceptual scaffolding for discussing different state roles, the theory of green macrofinancial regimes presents four ideal types from limited to extensive state intervention, as measured by public spending and discipline on private capital: from ‘carbon shock therapy’, to ‘weak or robust de-risking’, and to a ‘big green state’. Problematically, both the debate and the scaffolding focus predominantly on Western countries. Here, I examine the largely untested prevailing assumption that China is the archetype of a big green state. I find that China’s political economy model indeed fits the institutional mold of a big green state. However, while the country primarily uses big green state tools, it also uses a number of tools thought to belong to other regimes. This suggests that the institutional complementarities of regimes do not make them as mutually exclusive as currently thought. From that, I discuss how the lines between regimes are predominantly fluid in only one direction: While a big green state can use tools across regime types, less interventionist states lack the capacity to use big green state tools.</w:t>
      </w:r>
    </w:p>
    <w:p/>
    <w:p>
      <w:r>
        <w:rPr>
          <w:rFonts w:ascii="Times New Roman" w:hAnsi="Times New Roman" w:eastAsia="黑体"/>
          <w:b/>
          <w:i w:val="0"/>
          <w:sz w:val="24"/>
        </w:rPr>
        <w:t>“缩减与分配”还是“合并与垄断”：对企业金融化理论的批判</w:t>
      </w:r>
    </w:p>
    <w:p>
      <w:r>
        <w:rPr>
          <w:rFonts w:ascii="Times New Roman" w:hAnsi="Times New Roman" w:eastAsia="宋体"/>
          <w:b w:val="0"/>
          <w:i/>
          <w:color w:val="404040"/>
          <w:sz w:val="20"/>
        </w:rPr>
        <w:t>‘Downsize and distribute’ or ‘merge and monopolize’: a critique of corporate financialisation theories</w:t>
      </w:r>
    </w:p>
    <w:p>
      <w:r>
        <w:rPr>
          <w:rFonts w:ascii="Times New Roman" w:hAnsi="Times New Roman" w:eastAsia="宋体"/>
          <w:b w:val="0"/>
          <w:i w:val="0"/>
          <w:color w:val="595959"/>
          <w:sz w:val="18"/>
        </w:rPr>
        <w:t>Niall Reddy（Southern Centre for Inequality Studies, University of the Witwatersrand）</w:t>
      </w:r>
    </w:p>
    <w:p>
      <w:r>
        <w:rPr>
          <w:rFonts w:ascii="Times New Roman" w:hAnsi="Times New Roman" w:eastAsia="宋体"/>
          <w:b w:val="0"/>
          <w:i w:val="0"/>
          <w:sz w:val="22"/>
        </w:rPr>
        <w:t>摘要：越来越多文献以股东价值要求及相关的“缩减与分配”压力解释利润水平与投资低迷之间的持续差距。利用数十年企业层面数据并改进资本、派息与投资的关键测量（考虑无形化、经济折旧与净流量），本文发现常被引用的“利润—投资之谜”并非贯穿整个金融化时代，而仅在2000年后才明显；股东派息也仅在2000年后普遍扩大，而非自1980年代起稳步上升；这一时期派息与负投资之间的条件相关性减弱。证据与强版本的“缩减与分配”理论明显背离，后者无法解释这一结构断裂；市场势力、全球一体化与新经济技术三重因素更好地解释了高利润为何未转化为强劲再投资。</w:t>
      </w:r>
    </w:p>
    <w:p>
      <w:r>
        <w:rPr>
          <w:rFonts w:ascii="Times New Roman" w:hAnsi="Times New Roman" w:eastAsia="宋体"/>
          <w:b w:val="0"/>
          <w:i w:val="0"/>
          <w:sz w:val="20"/>
        </w:rPr>
        <w:t>A growing literature has explained the persistent gap between profit levels and subdued investment by pointing to shareholder value imperatives and the associated pressure to ‘downsize and distribute’ (DD). Using multi-decade firm-level data and refining key measures of capital, payouts and investment (to account for intangibilisation, economic depreciation and net flows), this paper finds that the commonly invoked ‘profit–investment puzzle’ does not characterise the entire financialisation era but only becomes pronounced after the year 2000. In the same way, shareholder payouts scale up broadly only in this post-2000 period, rather than rising steadily from the 1980s onward. Over this period, the conditional correlation between payouts and negative investment attenuates. The evidence thus departs sharply from strong versions of DD theory, which cannot readily account for this structural break. Instead, a trifecta of other factors—market power, global integration, and new-economy technologies—better explains why high profits have not translated into robust reinvestment. These findings challenge the analytical primacy given to financialisation in critical political economy and highlight the need to foreground the changing structure of corporate power in understanding contemporary growth and distribution dynamics.</w:t>
      </w:r>
    </w:p>
    <w:p/>
    <w:p>
      <w:r>
        <w:rPr>
          <w:rFonts w:ascii="Times New Roman" w:hAnsi="Times New Roman" w:eastAsia="黑体"/>
          <w:b/>
          <w:i w:val="0"/>
          <w:sz w:val="24"/>
        </w:rPr>
        <w:t>作为虚构商品的货币：理解波兰尼《大转型》中的金本位</w:t>
      </w:r>
    </w:p>
    <w:p>
      <w:r>
        <w:rPr>
          <w:rFonts w:ascii="Times New Roman" w:hAnsi="Times New Roman" w:eastAsia="宋体"/>
          <w:b w:val="0"/>
          <w:i/>
          <w:color w:val="404040"/>
          <w:sz w:val="20"/>
        </w:rPr>
        <w:t>Money as a fictitious commodity: making sense of the gold standard in Karl Polanyi’s The Great Transformation</w:t>
      </w:r>
    </w:p>
    <w:p>
      <w:r>
        <w:rPr>
          <w:rFonts w:ascii="Times New Roman" w:hAnsi="Times New Roman" w:eastAsia="宋体"/>
          <w:b w:val="0"/>
          <w:i w:val="0"/>
          <w:color w:val="595959"/>
          <w:sz w:val="18"/>
        </w:rPr>
        <w:t>Indigo Carson（Department of Political Science, York University）</w:t>
      </w:r>
    </w:p>
    <w:p>
      <w:r>
        <w:rPr>
          <w:rFonts w:ascii="Times New Roman" w:hAnsi="Times New Roman" w:eastAsia="宋体"/>
          <w:b w:val="0"/>
          <w:i w:val="0"/>
          <w:sz w:val="22"/>
        </w:rPr>
        <w:t>摘要：近期对波兰尼《大转型》中金本位论述的评价质疑其货币思想对国际政治经济学的影响与当代相关性，指责其掩盖了现代货币的关键政治与治理功能。本文认为这些批评忽视了波兰尼根本上社会性而非经济主义的货币本体论，从而忽略了其货币思想中对国际政治经济学潜在有用的诸多内容。例如，为何波兰尼将通常被视为商品交换同义词的货币列入“虚构”商品？为何央行处于双向运动的核心？通过对《大转型》的同情性重读，本文表明除了强调自由主义观念或市场心态推动货币商品化的传统解读外，波兰尼还提出了推动采用金本位及其两战间恢复的物质、政治与制度因素；他强调试图让货币作为商品运作给社会带来的扰动反而推动了现代货币治理的出现。</w:t>
      </w:r>
    </w:p>
    <w:p>
      <w:r>
        <w:rPr>
          <w:rFonts w:ascii="Times New Roman" w:hAnsi="Times New Roman" w:eastAsia="宋体"/>
          <w:b w:val="0"/>
          <w:i w:val="0"/>
          <w:sz w:val="20"/>
        </w:rPr>
        <w:t>Recent appraisals of Karl Polanyi’s account of the gold standard in The Great Transformation (The GT) have questioned the influence and contemporary relevance of his monetary thought for international political economy (IPE), charging that it obscures the critical political and governance functions of modern money. In this article, I argue that by ignoring his fundamentally social, rather than economistic, ontology of money, these critiques overlook much that is potentially useful for IPE in Polanyi’s thinking about money. Why, for instance, does Polanyi include money, commonly viewed as synonymous with commodity exchange, among the ‘fictitious’ commodities? Why is central banking at the heart of the double movement? Exploring these questions through a sympathetic rereading of The GT shows that beyond conventional interpretations that center the influence of liberal ideas or market mentalities in the drive to commodify money, Polanyi presents compelling material, political, and institutional factors motivating gold standard adoption and its interwar restoration. Instead of reflecting the conventional story of a self-equilibrating, market-based international monetary system, Polanyi highlights how the disruptions imposed on society by attempting to make money act as a commodity paradoxically propelled the emergence of modern monetary governance.</w:t>
      </w:r>
    </w:p>
    <w:p/>
    <w:p>
      <w:r>
        <w:rPr>
          <w:rFonts w:ascii="Times New Roman" w:hAnsi="Times New Roman" w:eastAsia="黑体"/>
          <w:b/>
          <w:i w:val="0"/>
          <w:sz w:val="24"/>
        </w:rPr>
        <w:t>法国警戒义务法：调和人权与企业盈利</w:t>
      </w:r>
    </w:p>
    <w:p>
      <w:r>
        <w:rPr>
          <w:rFonts w:ascii="Times New Roman" w:hAnsi="Times New Roman" w:eastAsia="宋体"/>
          <w:b w:val="0"/>
          <w:i/>
          <w:color w:val="404040"/>
          <w:sz w:val="20"/>
        </w:rPr>
        <w:t>The French duty of vigilance law: reconciling human rights and firm profitability</w:t>
      </w:r>
    </w:p>
    <w:p>
      <w:r>
        <w:rPr>
          <w:rFonts w:ascii="Times New Roman" w:hAnsi="Times New Roman" w:eastAsia="宋体"/>
          <w:b w:val="0"/>
          <w:i w:val="0"/>
          <w:color w:val="595959"/>
          <w:sz w:val="18"/>
        </w:rPr>
        <w:t>Bernhard Reinsberg（School of Social and Political Sciences, University of Glasgow）；Christoph Valentin Steinert（Department for Political Science, University of Zurich）</w:t>
      </w:r>
    </w:p>
    <w:p>
      <w:r>
        <w:rPr>
          <w:rFonts w:ascii="Times New Roman" w:hAnsi="Times New Roman" w:eastAsia="宋体"/>
          <w:b w:val="0"/>
          <w:i w:val="0"/>
          <w:sz w:val="22"/>
        </w:rPr>
        <w:t>摘要：有人担忧要求企业对其供应链中人权侵犯与环境损害负责的尽职调查法律会对企业绩效产生负面影响，批评者认为合规成本、更多审查和供应链潜在中断将侵蚀盈利能力。本研究通过考察2017年法国“警戒义务法”对11504家法国企业绩效的影响检验这些担忧。双重差分分析未发现该法显著影响受监管企业盈利可能性的证据，也未观察到对关键利润驱动因素的明显影响；但在法律实施前几年受监管企业的盈利可能性略有下降。进一步分析显示该法对企业参与联合国全球契约也无显著影响，表明硬法监管与联合国全球契约等自愿倡议可能不是替代而是互补关系。</w:t>
      </w:r>
    </w:p>
    <w:p>
      <w:r>
        <w:rPr>
          <w:rFonts w:ascii="Times New Roman" w:hAnsi="Times New Roman" w:eastAsia="宋体"/>
          <w:b w:val="0"/>
          <w:i w:val="0"/>
          <w:sz w:val="20"/>
        </w:rPr>
        <w:t>Concerns have arisen that due diligence laws, which hold companies accountable for human rights abuses and environmental damage in their supply chains, will negatively impact firm performance. Critics have argued that compliance costs, increased scrutiny, and potential disruptions to supply chains will erode profitability. This study investigates these concerns by examining the impact of the 2017 French ‘loi de vigilance’ on the performance of 11,504 French firms. Employing a difference-indifference analysis, we find no evidence that the law significantly affected the likelihood of profit of regulated firms. Furthermore, we observe no discernible impact on key profit drivers. However, we find a slight decrease in the likelihood of profit for firms falling under the regulation in the years preceding it. In further analyses, we show that the law had also no significant impact on firms’ engagement with the UN Global Compact, suggesting that hard-law regulations and voluntary initiatives like the UN Global Compact may not be substitutes but rather complementary approaches to promoting sustainable business practices. Our findings challenge the prevailing narrative of significant negative consequences for businesses and provide valuable insights for policymakers considering similar legislation.</w:t>
      </w:r>
    </w:p>
    <w:p/>
    <w:p>
      <w:r>
        <w:rPr>
          <w:rFonts w:ascii="Times New Roman" w:hAnsi="Times New Roman" w:eastAsia="黑体"/>
          <w:b/>
          <w:i w:val="0"/>
          <w:sz w:val="24"/>
        </w:rPr>
        <w:t>债券持有人在哪里：新兴市场的指数、养老基金与投资者基础</w:t>
      </w:r>
    </w:p>
    <w:p>
      <w:r>
        <w:rPr>
          <w:rFonts w:ascii="Times New Roman" w:hAnsi="Times New Roman" w:eastAsia="宋体"/>
          <w:b w:val="0"/>
          <w:i/>
          <w:color w:val="404040"/>
          <w:sz w:val="20"/>
        </w:rPr>
        <w:t>Where the bondholders are: indexes, pension funds, and investor bases in emerging markets</w:t>
      </w:r>
    </w:p>
    <w:p>
      <w:r>
        <w:rPr>
          <w:rFonts w:ascii="Times New Roman" w:hAnsi="Times New Roman" w:eastAsia="宋体"/>
          <w:b w:val="0"/>
          <w:i w:val="0"/>
          <w:color w:val="595959"/>
          <w:sz w:val="18"/>
        </w:rPr>
        <w:t>Ben Cormier（Department of Government and Public Policy, University of Strathclyde）</w:t>
      </w:r>
    </w:p>
    <w:p>
      <w:r>
        <w:rPr>
          <w:rFonts w:ascii="Times New Roman" w:hAnsi="Times New Roman" w:eastAsia="宋体"/>
          <w:b w:val="0"/>
          <w:i w:val="0"/>
          <w:sz w:val="22"/>
        </w:rPr>
        <w:t>摘要：主权投资者基础中本国或外国居民的比重在新兴市场之间各不相同。债券持有人居住地具有重要含义，但新兴市场投资者基础为何不同尚未被广泛探讨。对哥伦比亚与墨西哥的比较案例研究发现，一个全球金融因素（债券指数构成）和一个国内制度因素（养老基金投资监管）比其他推拉因素和国内制度更直接地影响债券持有人居住地：在全球层面，基准债券指数构成的变化可推动投资者基础迅速大幅转移；在国内层面，不同的养老基金投资监管导致投资者基础长期趋势分化。研究推进了主权债务文献，凸显指数投资相对于其他推动因素的重要性，并将指数识别为金融从属的来源之一。</w:t>
      </w:r>
    </w:p>
    <w:p>
      <w:r>
        <w:rPr>
          <w:rFonts w:ascii="Times New Roman" w:hAnsi="Times New Roman" w:eastAsia="宋体"/>
          <w:b w:val="0"/>
          <w:i w:val="0"/>
          <w:sz w:val="20"/>
        </w:rPr>
        <w:t>The extent to which sovereign investor bases include domestic or foreign residents varies across Emerging Markets (EMs). Bondholder residency has significant implications, but why EM investor bases vary in the first place has not been widely explored. A comparative case study of Colombia and Mexico finds that one global financial factor (bond index composition) and one domestic institutional factor (pension fund investment regulations) affect bondholder residency more directly than several other push-pull factors and domestic institutions. Globally, changes in the composition of benchmark bond indexes can drive large and rapid investor base shifts. Domestically, different pension fund investment regulations lead to divergent investor base trends over time. The study advances the sovereign debt literature, highlights the importance of index investment vis-à-vis other push factors, identifies indexes as a source of financial subordination, and clarifies an implication of financial repression for sovereign debt.</w:t>
      </w:r>
    </w:p>
    <w:p/>
    <w:p>
      <w:r>
        <w:rPr>
          <w:rFonts w:ascii="Times New Roman" w:hAnsi="Times New Roman" w:eastAsia="黑体"/>
          <w:b/>
          <w:i w:val="0"/>
          <w:sz w:val="24"/>
        </w:rPr>
        <w:t>职业如何维持殖民性：旅行医学史中的跨职业策略</w:t>
      </w:r>
    </w:p>
    <w:p>
      <w:r>
        <w:rPr>
          <w:rFonts w:ascii="Times New Roman" w:hAnsi="Times New Roman" w:eastAsia="宋体"/>
          <w:b w:val="0"/>
          <w:i/>
          <w:color w:val="404040"/>
          <w:sz w:val="20"/>
        </w:rPr>
        <w:t>How professions maintain coloniality: interprofessional strategies in the history of travel medicine</w:t>
      </w:r>
    </w:p>
    <w:p>
      <w:r>
        <w:rPr>
          <w:rFonts w:ascii="Times New Roman" w:hAnsi="Times New Roman" w:eastAsia="宋体"/>
          <w:b w:val="0"/>
          <w:i w:val="0"/>
          <w:color w:val="595959"/>
          <w:sz w:val="18"/>
        </w:rPr>
        <w:t>Luis Aue（Institute for History, Humboldt Universität zu Berlin）</w:t>
      </w:r>
    </w:p>
    <w:p>
      <w:r>
        <w:rPr>
          <w:rFonts w:ascii="Times New Roman" w:hAnsi="Times New Roman" w:eastAsia="宋体"/>
          <w:b w:val="0"/>
          <w:i w:val="0"/>
          <w:sz w:val="22"/>
        </w:rPr>
        <w:t>摘要：本文将跨职业竞争与妥协的政治经济学如何维系殖民主义职业实践概念化：当职业沿殖民差异划分其工作时，可从维持宗主国与边缘之间的等级中获益。历史分析表明旅行医学职业延续殖民性，类似殖民时期热带医学，为宗主国旅行者提供应对全球疾病的优质护理。作者理论化职业群体如何协作再生产殖民实践：第一，旅行医学通过成立专门治疗旅行者的专业团体与其他医学职业群体形成封闭；第二，旅行医学建立跨职业桥梁，使以公平为导向的国际/全球卫生职业从对旅行者的排他性治疗中获益；第三，国际/全球卫生专业人员通过跨职业套利将知识与无知转移至旅行医学而获益。</w:t>
      </w:r>
    </w:p>
    <w:p>
      <w:r>
        <w:rPr>
          <w:rFonts w:ascii="Times New Roman" w:hAnsi="Times New Roman" w:eastAsia="宋体"/>
          <w:b w:val="0"/>
          <w:i w:val="0"/>
          <w:sz w:val="20"/>
        </w:rPr>
        <w:t>This article conceptualises how the political economy of interprofessional competition and compromises has sustained colonialist professional practices. When professions distinguish their work along the lines of colonial difference, they can benefit from maintaining hierarchies between the metropole and periphery. The historical analysis indicates how the travel medicine profession continues to enact coloniality, mirroring colonial tropical medicine by providing superior care for metropolitan travelers against global diseases. I theorise how professional groups have collaborated to reproduce colonialist practices. First, travel medicine established closure from other medical professional groups by forming professional bodies dedicated to treating travelers. Second, travel medicine established interprofessional bridges that enabled the equity-oriented international/global health profession to profit from the exclusionary treatment of travelers. Third, international/global health professionals have benefitted from interprofessional arbitrage by shifting knowledge and ignorance to travel medicine. Focusing especially on the treatment of diarrheal diseases, this article contributes by demonstrating how the political economy of professions can shed light on the persistence of colonialist practices.</w:t>
      </w:r>
    </w:p>
    <w:p/>
    <w:p>
      <w:r>
        <w:rPr>
          <w:rFonts w:ascii="Times New Roman" w:hAnsi="Times New Roman" w:eastAsia="黑体"/>
          <w:b/>
          <w:i w:val="0"/>
          <w:sz w:val="24"/>
        </w:rPr>
        <w:t>非洲天然气生产国气候殖民主义的两种图景：欧洲的液化天然气需求与资产搁浅风险</w:t>
      </w:r>
    </w:p>
    <w:p>
      <w:r>
        <w:rPr>
          <w:rFonts w:ascii="Times New Roman" w:hAnsi="Times New Roman" w:eastAsia="宋体"/>
          <w:b w:val="0"/>
          <w:i/>
          <w:color w:val="404040"/>
          <w:sz w:val="20"/>
        </w:rPr>
        <w:t>Two visions of climate colonialism in African gas producers: Europe’s demand for LNG and the danger of stranded assets</w:t>
      </w:r>
    </w:p>
    <w:p>
      <w:r>
        <w:rPr>
          <w:rFonts w:ascii="Times New Roman" w:hAnsi="Times New Roman" w:eastAsia="宋体"/>
          <w:b w:val="0"/>
          <w:i w:val="0"/>
          <w:color w:val="595959"/>
          <w:sz w:val="18"/>
        </w:rPr>
        <w:t>Jesse Salah Ovadia（Department of Political Science, University of Windsor）</w:t>
      </w:r>
    </w:p>
    <w:p>
      <w:r>
        <w:rPr>
          <w:rFonts w:ascii="Times New Roman" w:hAnsi="Times New Roman" w:eastAsia="宋体"/>
          <w:b w:val="0"/>
          <w:i w:val="0"/>
          <w:sz w:val="22"/>
        </w:rPr>
        <w:t>摘要：富裕国家与资本市场已停止支持全球南方新化石燃料项目，同时却鼓励非洲出口液化天然气满足欧洲短期需求。有人认为剥夺非洲国家开发天然气的机会是一种气候殖民主义，作者则表明更隐蔽的气候殖民主义是复制殖民与新殖民的“飞地开采”模式，使新基础设施支出服务于原材料出口。利用为非洲气候基金会构建的全球液化天然气需求模型及莫桑比克深度案例，作者考察非洲液化天然气项目的金融风险及项目层面金融结果，将资产搁浅风险与资源型发展、结构转型和气候殖民主义辩论相联系，认为尽管短中期天然气投资条件看似有利，但2022年以来欧洲推动的新液化天然气项目长期而言面临相当大的资产搁浅、机会丧失与欠发达风险。</w:t>
      </w:r>
    </w:p>
    <w:p>
      <w:r>
        <w:rPr>
          <w:rFonts w:ascii="Times New Roman" w:hAnsi="Times New Roman" w:eastAsia="宋体"/>
          <w:b w:val="0"/>
          <w:i w:val="0"/>
          <w:sz w:val="20"/>
        </w:rPr>
        <w:t>Wealthy countries and capital markets have moved to end support of new fossil fuel projects in the Global South, while simultaneously encouraging the export of African liquid natural gas (LNG) to meet Europe’s short-term need. While some have suggested denying African states the opportunity to exploit gas is a form of climate colonialism, I demonstrate that a more insidious expression of climate colonialism would be to replicate colonial and neo-colonial patterns of enclave extraction that direct new infrastructure spending toward facilitating the export of raw materials. Using a model of global LNG demand combined with a deeper dive into the case of Mozambique that was created for the African Climate Foundation (ACF), I explore the financial risks for African LNG projects and examine the financial outcomes at the project level for LNG assets across Africa. Connecting the risk of stranded assets to debates around resource-based development, structural transformation, and climate colonialism, I argue that while the conditions for gas investment seem favorable in the short- and medium-terms, new LNG projects promoted by Europe since 2022 involve considerable risk of stranded assets, lost opportunities, and underdevelopment for African nations in the long-term.</w:t>
      </w:r>
    </w:p>
    <w:p/>
    <w:p>
      <w:r>
        <w:rPr>
          <w:rFonts w:ascii="Times New Roman" w:hAnsi="Times New Roman" w:eastAsia="宋体"/>
          <w:b/>
          <w:i w:val="0"/>
          <w:sz w:val="22"/>
        </w:rPr>
        <w:t>RIPE： Vol. 32, No. 5, 2025</w:t>
      </w:r>
    </w:p>
    <w:p/>
    <w:p>
      <w:r>
        <w:rPr>
          <w:rFonts w:ascii="Times New Roman" w:hAnsi="Times New Roman" w:eastAsia="黑体"/>
          <w:b/>
          <w:i w:val="0"/>
          <w:sz w:val="24"/>
        </w:rPr>
        <w:t>不请自来的正义：FCPA执法对腐败与投资的影响</w:t>
      </w:r>
    </w:p>
    <w:p>
      <w:r>
        <w:rPr>
          <w:rFonts w:ascii="Times New Roman" w:hAnsi="Times New Roman" w:eastAsia="宋体"/>
          <w:b w:val="0"/>
          <w:i/>
          <w:color w:val="404040"/>
          <w:sz w:val="20"/>
        </w:rPr>
        <w:t>Unsolicited justice: the impact of FCPA enforcement on corruption and investment</w:t>
      </w:r>
    </w:p>
    <w:p>
      <w:r>
        <w:rPr>
          <w:rFonts w:ascii="Times New Roman" w:hAnsi="Times New Roman" w:eastAsia="宋体"/>
          <w:b w:val="0"/>
          <w:i w:val="0"/>
          <w:color w:val="595959"/>
          <w:sz w:val="18"/>
        </w:rPr>
        <w:t>Jian Xu（Department of Political Science, National University of Singapore）</w:t>
      </w:r>
    </w:p>
    <w:p>
      <w:r>
        <w:rPr>
          <w:rFonts w:ascii="Times New Roman" w:hAnsi="Times New Roman" w:eastAsia="宋体"/>
          <w:b w:val="0"/>
          <w:i w:val="0"/>
          <w:sz w:val="22"/>
        </w:rPr>
        <w:t>摘要：【摘译】利用FCPA执法原创数据，作者发现跨国反腐执法同时抑制东道国受贿官员与行贿跨国公司，相当于向法治薄弱的发展中国家提供“制度补贴”；但它只是提高了行贿门槛，企业转向利润更高的交易，无法维持腐败安排的企业则失去寻租机会。</w:t>
      </w:r>
    </w:p>
    <w:p>
      <w:r>
        <w:rPr>
          <w:rFonts w:ascii="Times New Roman" w:hAnsi="Times New Roman" w:eastAsia="宋体"/>
          <w:b w:val="0"/>
          <w:i w:val="0"/>
          <w:sz w:val="20"/>
        </w:rPr>
        <w:t>Can transnational anti-corruption enforcement affect government-business interactions in the targeted countries? Conventional research has focused on the responses of state and firms separately to extraterritorial legal interventions, instead of changes in the way of interactions among different actors. This paper provides a systematic analysis of the affected local economies by examining the responses of firms and government officials as a whole to transnational legal scrutiny. The study uses an original dataset on the enforcement actions of the Foreign Corrupt Practices Act (FCPA) to examine its impact on political risks faced by multinational corporations (MNCs) and changes in their behavior. I argue that transnational law enforcement provides a form of institutional subsidy to developing countries that lack robust legal regimes. I find that FCPA enforcement discourages actors on both ends of corrupt exchanges: Host government officials who receive bribes and MNCs who offer bribes. However, external enforcement only raises the costs and the threshold of engaging in bribery. Firms are pressured to pursue more lucrative business deals as risk premiums, and firms that cannot sustain corrupt arrangements lose rent-seeking opportunities. This paper has important implications for the global rule of law and transnational regulation, especially regarding emerging economies.</w:t>
      </w:r>
    </w:p>
    <w:p/>
    <w:p>
      <w:r>
        <w:rPr>
          <w:rFonts w:ascii="Times New Roman" w:hAnsi="Times New Roman" w:eastAsia="黑体"/>
          <w:b/>
          <w:i w:val="0"/>
          <w:sz w:val="24"/>
        </w:rPr>
        <w:t>重新思考观念对结构性权力的塑造：以特拉斯经济学为例</w:t>
      </w:r>
    </w:p>
    <w:p>
      <w:r>
        <w:rPr>
          <w:rFonts w:ascii="Times New Roman" w:hAnsi="Times New Roman" w:eastAsia="宋体"/>
          <w:b w:val="0"/>
          <w:i/>
          <w:color w:val="404040"/>
          <w:sz w:val="20"/>
        </w:rPr>
        <w:t>Rethinking the ideational shaping of structural power: the case of Trussonomics</w:t>
      </w:r>
    </w:p>
    <w:p>
      <w:r>
        <w:rPr>
          <w:rFonts w:ascii="Times New Roman" w:hAnsi="Times New Roman" w:eastAsia="宋体"/>
          <w:b w:val="0"/>
          <w:i w:val="0"/>
          <w:color w:val="595959"/>
          <w:sz w:val="18"/>
        </w:rPr>
        <w:t>David Yarrow（School of Social and Political Science, University of Edinburgh）</w:t>
      </w:r>
    </w:p>
    <w:p>
      <w:r>
        <w:rPr>
          <w:rFonts w:ascii="Times New Roman" w:hAnsi="Times New Roman" w:eastAsia="宋体"/>
          <w:b w:val="0"/>
          <w:i w:val="0"/>
          <w:sz w:val="22"/>
        </w:rPr>
        <w:t>摘要：【摘译】特拉斯政府被金融市场击垮，对强调决策者能“塑造”结构性权力的建构主义提出谜题。作者发现关键在于嵌入预测机构（如财政责任办公室）实践中的观念，它们为市场解读宏观政策提供认知基础设施，决策者能动性被高估。</w:t>
      </w:r>
    </w:p>
    <w:p>
      <w:r>
        <w:rPr>
          <w:rFonts w:ascii="Times New Roman" w:hAnsi="Times New Roman" w:eastAsia="宋体"/>
          <w:b w:val="0"/>
          <w:i w:val="0"/>
          <w:sz w:val="20"/>
        </w:rPr>
        <w:t>The demise of the Truss administration at the hands of the financial markets presents a puzzle for constructivist analyses of structural power that have emphasised the agency of policymakers to ‘shape’ its operation. Why did an avowedly pro-capital administration possess such limited agency to contest the seemingly automatic operation of capital flight? Addressing this question, this paper shows how economic ideas were fundamental to mediating structural power in the case of Trussonomics, but not predominantly the ideas of policymakers or business associations foregrounded in existing literature. Rather, ideas embedded in the forecasting practices of key institutions were vital to informing market participants’ judgements about the macroeconomic implications of Trussonomics. This finding suggests the need to investigate how institutionalised models mediate the ideational formation of investor sentiment, while pointing to a constructivist analysis of structural power that avoids exaggerated claims about policymaker agency. The Trussonomics case illustrates how political actors are often highly constrained by institutionalised ideas, that shape the operation of capital flight by supplying the epistemic infrastructures through which macroeconomic policies are interpreted by capital markets.</w:t>
      </w:r>
    </w:p>
    <w:p/>
    <w:p>
      <w:r>
        <w:rPr>
          <w:rFonts w:ascii="Times New Roman" w:hAnsi="Times New Roman" w:eastAsia="黑体"/>
          <w:b/>
          <w:i w:val="0"/>
          <w:sz w:val="24"/>
        </w:rPr>
        <w:t>国家认可的不确定性：阿达纳、伊尔比德与哥德堡叙利亚难民劳动力市场参与的治理</w:t>
      </w:r>
    </w:p>
    <w:p>
      <w:r>
        <w:rPr>
          <w:rFonts w:ascii="Times New Roman" w:hAnsi="Times New Roman" w:eastAsia="宋体"/>
          <w:b w:val="0"/>
          <w:i/>
          <w:color w:val="404040"/>
          <w:sz w:val="20"/>
        </w:rPr>
        <w:t>State-sanctioned uncertainty: governing the labour market participation of Syrian refugees in Adana, Irbid and Gothenburg</w:t>
      </w:r>
    </w:p>
    <w:p>
      <w:r>
        <w:rPr>
          <w:rFonts w:ascii="Times New Roman" w:hAnsi="Times New Roman" w:eastAsia="宋体"/>
          <w:b w:val="0"/>
          <w:i w:val="0"/>
          <w:color w:val="595959"/>
          <w:sz w:val="18"/>
        </w:rPr>
        <w:t>Alexander Jung（International Institute of Social Studies, Erasmus University Rotterdam）；Andrea Spehar（Department of Political Science and Centre on Global Migration, University of Gothenburg）</w:t>
      </w:r>
    </w:p>
    <w:p>
      <w:r>
        <w:rPr>
          <w:rFonts w:ascii="Times New Roman" w:hAnsi="Times New Roman" w:eastAsia="宋体"/>
          <w:b w:val="0"/>
          <w:i w:val="0"/>
          <w:sz w:val="22"/>
        </w:rPr>
        <w:t>摘要：【摘译】基于土耳其阿达纳、约旦伊尔比德、瑞典哥德堡对叙利亚难民及相关行为体的访谈，作者认为国家回应中的不一致、模糊与碎片化——即“国家认可的不确定性”——加剧了难民劳动的边缘化，这一机制跨越南北二分存在。</w:t>
      </w:r>
    </w:p>
    <w:p>
      <w:r>
        <w:rPr>
          <w:rFonts w:ascii="Times New Roman" w:hAnsi="Times New Roman" w:eastAsia="宋体"/>
          <w:b w:val="0"/>
          <w:i w:val="0"/>
          <w:sz w:val="20"/>
        </w:rPr>
        <w:t>In the wake of policies that facilitate access to the formal labour market, refugees encounter skills devaluation, precarious employment and exploitation. Scholarship on the political economy of refugee governance has not only pointed to the economic rationale behind such marginalisation, but has also highlighted the significance of state-capital relations. Relying on interview material with Syrian refugees and state and non-state actors in the cities of Adana, Irbid, and Gothenburg, this article further advances our understanding of the operations of the capitalist state in two important ways. First, putting literature on the political economy of refugee governance into conversation with work on uncertainty as a tool of refugee governance, this article analyses how the marginalisation of refugee labour is furthered through inconsistencies, ambiguities and fragmentation underpinning state responses. Second, by analysing refugees’ experiences of uncertainty in Turkey, Jordan and Sweden, we highlight the economic significance of uncertainty in refugee labour governance across North/South binaries. Overall, this article contends that the austerity-induced fragmentation of the state, its ambiguous policies and implementation gaps strengthen its role as an actor that caters towards capital’s interests.</w:t>
      </w:r>
    </w:p>
    <w:p/>
    <w:p>
      <w:r>
        <w:rPr>
          <w:rFonts w:ascii="Times New Roman" w:hAnsi="Times New Roman" w:eastAsia="黑体"/>
          <w:b/>
          <w:i w:val="0"/>
          <w:sz w:val="24"/>
        </w:rPr>
        <w:t>个性的收益：推进国际政治经济学研究中的第四个“I”</w:t>
      </w:r>
    </w:p>
    <w:p>
      <w:r>
        <w:rPr>
          <w:rFonts w:ascii="Times New Roman" w:hAnsi="Times New Roman" w:eastAsia="宋体"/>
          <w:b w:val="0"/>
          <w:i/>
          <w:color w:val="404040"/>
          <w:sz w:val="20"/>
        </w:rPr>
        <w:t>The profits of personality: advancing the fourth ‘I’ in international political economy research</w:t>
      </w:r>
    </w:p>
    <w:p>
      <w:r>
        <w:rPr>
          <w:rFonts w:ascii="Times New Roman" w:hAnsi="Times New Roman" w:eastAsia="宋体"/>
          <w:b w:val="0"/>
          <w:i w:val="0"/>
          <w:color w:val="595959"/>
          <w:sz w:val="18"/>
        </w:rPr>
        <w:t>Julia Calvert（School of Social &amp; Political Science, University of Edinburg）；Juliet Kaarbo（School of International Relations, University of St）</w:t>
      </w:r>
    </w:p>
    <w:p>
      <w:r>
        <w:rPr>
          <w:rFonts w:ascii="Times New Roman" w:hAnsi="Times New Roman" w:eastAsia="宋体"/>
          <w:b w:val="0"/>
          <w:i w:val="0"/>
          <w:sz w:val="22"/>
        </w:rPr>
        <w:t>摘要：【摘译】国际政治经济学长期由利益、制度、观念“三I”主导，个人这一“第四I”缺失。作者借鉴外交政策分析的领导人特质分析，比较2003—2013年大宗商品繁荣期厄瓜多尔科雷亚与秘鲁乌马拉对暴利征税的不同做法，认为个性差异结合情境压力最能解释差异。</w:t>
      </w:r>
    </w:p>
    <w:p>
      <w:r>
        <w:rPr>
          <w:rFonts w:ascii="Times New Roman" w:hAnsi="Times New Roman" w:eastAsia="宋体"/>
          <w:b w:val="0"/>
          <w:i w:val="0"/>
          <w:sz w:val="20"/>
        </w:rPr>
        <w:t>Two decades after Hay’s classification of political economy research, not much has changed. Interests, institutions, and ideas continue to dominate, especially in international political economy (IPE) scholarship. Despite calls for more actor-centred and psychological approaches, the individual remains a missing ‘I’ in most IPE research. This paper advances the fourth ‘I’ in IPE by drawing on psychological work in foreign policy analysis (FPA) and demonstrating the utility of personality analysis in accounting for ways that political leaders manage integrated national economies. We use corporate taxation and tax competition as our illustrative case study, focusing in particular on the different ways leaders in Ecuador and Peru responded to windfall profits during the 2003–2013 commodities boom. We argue that interests, institutions, and ideas do not completely account for variation in the taxation of windfall profits in these countries and we employ leadership trait analyses of Presidents Correa and Humala to provide the missing link. Our results suggest personality differences, when combined with contextualised understandings of the pressures that leaders face, best explain their different approaches. Overall, the paper points to the profits of including personality in IPE and forges stronger links between IPE and FPA research.</w:t>
      </w:r>
    </w:p>
    <w:p/>
    <w:p>
      <w:r>
        <w:rPr>
          <w:rFonts w:ascii="Times New Roman" w:hAnsi="Times New Roman" w:eastAsia="黑体"/>
          <w:b/>
          <w:i w:val="0"/>
          <w:sz w:val="24"/>
        </w:rPr>
        <w:t>身份政治与贸易偏好：贸易的性别化与种族化效应如何重要</w:t>
      </w:r>
    </w:p>
    <w:p>
      <w:r>
        <w:rPr>
          <w:rFonts w:ascii="Times New Roman" w:hAnsi="Times New Roman" w:eastAsia="宋体"/>
          <w:b w:val="0"/>
          <w:i/>
          <w:color w:val="404040"/>
          <w:sz w:val="20"/>
        </w:rPr>
        <w:t>Identity politics and trade preferences: how the gendered and racialised effects of trade matter</w:t>
      </w:r>
    </w:p>
    <w:p>
      <w:r>
        <w:rPr>
          <w:rFonts w:ascii="Times New Roman" w:hAnsi="Times New Roman" w:eastAsia="宋体"/>
          <w:b w:val="0"/>
          <w:i w:val="0"/>
          <w:color w:val="595959"/>
          <w:sz w:val="18"/>
        </w:rPr>
        <w:t>Tyler Girard（Department of Political Science, Purdue University）；Andrea Lawlor（Department of Political Science, McMaster University）；Erin Hannah（Department of Politics and International Relations, Western University）</w:t>
      </w:r>
    </w:p>
    <w:p>
      <w:r>
        <w:rPr>
          <w:rFonts w:ascii="Times New Roman" w:hAnsi="Times New Roman" w:eastAsia="宋体"/>
          <w:b w:val="0"/>
          <w:i w:val="0"/>
          <w:sz w:val="22"/>
        </w:rPr>
        <w:t>摘要：【摘译】利用加拿大全国代表性调查、多维偏好标度与两项预注册实验，作者发现加拿大人的贸易态度反映了对经济性别化建构的内化信念，但对性别或种族身份启动高度不敏感，表明美国式的内群体偏好与外群体焦虑在美国之外不以同样方式被激活。</w:t>
      </w:r>
    </w:p>
    <w:p>
      <w:r>
        <w:rPr>
          <w:rFonts w:ascii="Times New Roman" w:hAnsi="Times New Roman" w:eastAsia="宋体"/>
          <w:b w:val="0"/>
          <w:i w:val="0"/>
          <w:sz w:val="20"/>
        </w:rPr>
        <w:t>There is a considerable body of evidence that shows differentiated levels of support for trade based on identity characteristics, such as gender and race. Yet much of this work focuses on the US, with little evidence of how this relationship might operate amongst the US’ trade partners. This article examines how the racialised and gendered effects of trade matter for individuals’ trade preferences in Canada. Using an online, nationally representative survey, we combine a unique implementation of multidimensional preference scaling and two survey experiments to determine: (1) How people think of trade-offs between industry sectors that are affected by trade and (2) whether using identity priming about occupations as gendered or racialised affects their views about trade and state support for affected workers. Our observational data and pre-registered experiments demonstrate that Canadians’ trade attitudes reflect internalised beliefs about the gendered construction of the economy but are highly resistant to new information and either gendered or racialised identity priming, suggesting in-group favouritism and out-group anxiety are not activated in the same way outside of the US as within. This article thus contributes to growing work on the connections between gender inequality and racial discrimination in international trade politics.</w:t>
      </w:r>
    </w:p>
    <w:p/>
    <w:p>
      <w:r>
        <w:rPr>
          <w:rFonts w:ascii="Times New Roman" w:hAnsi="Times New Roman" w:eastAsia="黑体"/>
          <w:b/>
          <w:i w:val="0"/>
          <w:sz w:val="24"/>
        </w:rPr>
        <w:t>反信用货币的信用理论：加密货币领域如何变成影子银行体系</w:t>
      </w:r>
    </w:p>
    <w:p>
      <w:r>
        <w:rPr>
          <w:rFonts w:ascii="Times New Roman" w:hAnsi="Times New Roman" w:eastAsia="宋体"/>
          <w:b w:val="0"/>
          <w:i/>
          <w:color w:val="404040"/>
          <w:sz w:val="20"/>
        </w:rPr>
        <w:t>A credit theory of anti-credit money: How the cryptocurrency sphere turned into a shadow banking system</w:t>
      </w:r>
    </w:p>
    <w:p>
      <w:r>
        <w:rPr>
          <w:rFonts w:ascii="Times New Roman" w:hAnsi="Times New Roman" w:eastAsia="宋体"/>
          <w:b w:val="0"/>
          <w:i w:val="0"/>
          <w:color w:val="595959"/>
          <w:sz w:val="18"/>
        </w:rPr>
        <w:t>Christopher Olk（Otto Suhr Institute for Political Science, Free University Berlin）；Louis Miebs（Otto Suhr Institute for Political Science, Free University Berlin）</w:t>
      </w:r>
    </w:p>
    <w:p>
      <w:r>
        <w:rPr>
          <w:rFonts w:ascii="Times New Roman" w:hAnsi="Times New Roman" w:eastAsia="宋体"/>
          <w:b w:val="0"/>
          <w:i w:val="0"/>
          <w:sz w:val="22"/>
        </w:rPr>
        <w:t>摘要：【摘译】加密货币本为无需银行的货币，为何2022年出现银行危机？作者认为中心化交易所对代币创造信用债权、稳定币连接传统银行体系，使加密领域成为影子银行体系，信用货币理论反而能解释其“反信用”工程。</w:t>
      </w:r>
    </w:p>
    <w:p>
      <w:r>
        <w:rPr>
          <w:rFonts w:ascii="Times New Roman" w:hAnsi="Times New Roman" w:eastAsia="宋体"/>
          <w:b w:val="0"/>
          <w:i w:val="0"/>
          <w:sz w:val="20"/>
        </w:rPr>
        <w:t>Cryptocurrencies were designed to function as money without banks. How, then, could they run into a banking crisis in 2022? We argue that the evolution of the crypto sphere into a credit based system is driven by its inherent contradictions: Bitcoin and other cryptocurrencies only became money-like when centralised exchanges began to create credit claims on crypto tokens, thus providing liquidity and elasticity to crypto markets. Stablecoins connect the crypto sphere to the conventional banking system, thereby securing indirect sovereign backing. Both centralized exchanges and stablecoin issuers are functionally equivalent to shadow banks. Stablecoins additionally fulfil the defining criteria of shadow money. The contemporary cryptocurrency sphere comprises an internal hierarchy of credit that is firmly integrated into the conventional monetary system. The emergence of ‘crypto shadow banking’ can be understood as the latest chapter in the long and turbulent history of unregulated private monetary innovation. Our analysis not only explains the 2022 crisis, it also demonstrates that credit theories of money can, counterintuitively, account for the anti-credit project of cryptocurrencies.</w:t>
      </w:r>
    </w:p>
    <w:p/>
    <w:p>
      <w:r>
        <w:rPr>
          <w:rFonts w:ascii="Times New Roman" w:hAnsi="Times New Roman" w:eastAsia="黑体"/>
          <w:b/>
          <w:i w:val="0"/>
          <w:sz w:val="24"/>
        </w:rPr>
        <w:t>两极世界中的武器化相互依赖：经济力量与安全利益如何塑造美中云数据中心的全球布局</w:t>
      </w:r>
    </w:p>
    <w:p>
      <w:r>
        <w:rPr>
          <w:rFonts w:ascii="Times New Roman" w:hAnsi="Times New Roman" w:eastAsia="宋体"/>
          <w:b w:val="0"/>
          <w:i/>
          <w:color w:val="404040"/>
          <w:sz w:val="20"/>
        </w:rPr>
        <w:t>Weaponised interdependence in a bipolar world: how economic forces and security interests shape the global reach of US and Chinese cloud data centres</w:t>
      </w:r>
    </w:p>
    <w:p>
      <w:r>
        <w:rPr>
          <w:rFonts w:ascii="Times New Roman" w:hAnsi="Times New Roman" w:eastAsia="宋体"/>
          <w:b w:val="0"/>
          <w:i w:val="0"/>
          <w:color w:val="595959"/>
          <w:sz w:val="18"/>
        </w:rPr>
        <w:t>Vili Lehdonvirta（Oxford Internet Institute, University of Oxford; Department of Computer Science, Aalto University）；Boxi Wú（Department of Computer Science, Aalto University）；Zoe Hawkins（Department of Computer Science, Aalto University）</w:t>
      </w:r>
    </w:p>
    <w:p>
      <w:r>
        <w:rPr>
          <w:rFonts w:ascii="Times New Roman" w:hAnsi="Times New Roman" w:eastAsia="宋体"/>
          <w:b w:val="0"/>
          <w:i w:val="0"/>
          <w:sz w:val="22"/>
        </w:rPr>
        <w:t>摘要：美中科技公司主导数字网络。什么解释第三国在多大程度上接入美国或中国的网络枢纽？这很重要，因为两国政府都已显示出将其枢纽“武器化”以推进安全利益的能力。作者从既有定性文献综合三种假设：网络枢纽接入是经济力量的产物；由竞争大国诱导和胁迫第三国接入其枢纽所决定；是第三国政府战略政策选择的结果。在该主题首个定量研究中，作者以美中所有的超大规模云基础设施全球地理原创数据评估这些解释，认为第三国即“辐条国”在两极网络中享有单极网络中没有的能动性，其战略利益结合经济力量比大国竞争更能塑造地理分布的两极网络拓扑。该模型补充了武器化相互依赖框架——后者预测了替代枢纽的兴起，却缺乏两极网络拓扑模型。</w:t>
      </w:r>
    </w:p>
    <w:p>
      <w:r>
        <w:rPr>
          <w:rFonts w:ascii="Times New Roman" w:hAnsi="Times New Roman" w:eastAsia="宋体"/>
          <w:b w:val="0"/>
          <w:i w:val="0"/>
          <w:sz w:val="20"/>
        </w:rPr>
        <w:t>United States (US) and Chinese technology companies dominate digital networks. What explains the extent to which third countries attach to US versus Chinese network hubs? The answer matters, because both governments have demonstrated the ability to ‘weaponise’ their hubs to advance their security interests. We synthesise three hypothetical explanations for third countries’ network hub attachment from previous qualitative literature: (1) Network hub attachment is a product of economic forces; (2) network hub attachment is determined by rivaling great powers coaxing and coercing third countries to attach to their hubs over their rival’s; and (3) network hub attachment results from third-country governments’ strategic policy choices. In the first quantitative study on the topic, we assess these explanations with original data on the global geography of US and Chinese -owned hyperscale cloud infrastructures. Based on the findings, we argue that third countries or ‘spoke states’ enjoy agency in bipolar networks which they did not have in unipolar networks, and that their strategic interests in combination with economic forces shape the topology of geographically distributed bipolar networks more so than great-power rivalry. Our model contributes to the weaponised interdependence framework which predicted the rise of alternative hubs but lacked a model of bipolar network topology.</w:t>
      </w:r>
    </w:p>
    <w:p/>
    <w:p>
      <w:r>
        <w:rPr>
          <w:rFonts w:ascii="Times New Roman" w:hAnsi="Times New Roman" w:eastAsia="黑体"/>
          <w:b/>
          <w:i w:val="0"/>
          <w:sz w:val="24"/>
        </w:rPr>
        <w:t>表演贸易：“全球英国”与英国脱欧后同澳大利亚、新西兰的自由贸易协定</w:t>
      </w:r>
    </w:p>
    <w:p>
      <w:r>
        <w:rPr>
          <w:rFonts w:ascii="Times New Roman" w:hAnsi="Times New Roman" w:eastAsia="宋体"/>
          <w:b w:val="0"/>
          <w:i/>
          <w:color w:val="404040"/>
          <w:sz w:val="20"/>
        </w:rPr>
        <w:t>Performing trade: ‘Global Britain’ and the UK’s post-Brexit free trade agreements with Australia and New Zealand</w:t>
      </w:r>
    </w:p>
    <w:p>
      <w:r>
        <w:rPr>
          <w:rFonts w:ascii="Times New Roman" w:hAnsi="Times New Roman" w:eastAsia="宋体"/>
          <w:b w:val="0"/>
          <w:i w:val="0"/>
          <w:color w:val="595959"/>
          <w:sz w:val="18"/>
        </w:rPr>
        <w:t>Tony Heron（Department of Politics and International Relations, University of York）；Gabriel Siles-Brügge（School for Policy Studies, University of Bristol）；Darrin McDonald（School of Humanities and Social Sciences, Leeds Beckett University）</w:t>
      </w:r>
    </w:p>
    <w:p>
      <w:r>
        <w:rPr>
          <w:rFonts w:ascii="Times New Roman" w:hAnsi="Times New Roman" w:eastAsia="宋体"/>
          <w:b w:val="0"/>
          <w:i w:val="0"/>
          <w:sz w:val="22"/>
        </w:rPr>
        <w:t>摘要：【摘译】英国为何优先与澳新签订经济收益几乎可忽略的脱欧后自贸协定？作者以“表演性”概念解释：谈判与签署本身用于反复表演脱欧后的主权与独立，依托“盎格鲁圈”叙事脚本，后又被重塑为“印太倾斜”的组成部分。</w:t>
      </w:r>
    </w:p>
    <w:p>
      <w:r>
        <w:rPr>
          <w:rFonts w:ascii="Times New Roman" w:hAnsi="Times New Roman" w:eastAsia="宋体"/>
          <w:b w:val="0"/>
          <w:i w:val="0"/>
          <w:sz w:val="20"/>
        </w:rPr>
        <w:t>Why did the United Kingdom (UK) prioritise post-Brexit free trade agreements (FTAs) with Australia and New Zealand, despite the almost negligible economic benefits on offer? We address this puzzle by focusing on practices in trade policy, contributing to a broader agenda emphasising their role in International Political Economy (IPE). More specifically, we use the concept of performativity to argue that the UK’s pursuit of these agreements reflected a desire to repeatedly perform sovereignty and independence from the European Union (EU): The act of negotiating and signing agreements was more important than policy content or economic impact. This performance of trade policy independence relied on a series of Eurosceptic scripts related to the Anglosphere—an imagined community of English-speaking nations with which the UK purportedly shared neoliberal economic values. As the prospects of a trade agreement with the United States (US) receded, the UK Government improvised on these Anglosphere scripts. The FTAs with Australia and New Zealand were recast as contributions to a wider Asia-Pacific tilt in UK trade policy, a region equated with economic dynamism and commitment to free trade, albeit without the historic connection to the UK.</w:t>
      </w:r>
    </w:p>
    <w:p/>
    <w:p>
      <w:r>
        <w:rPr>
          <w:rFonts w:ascii="Times New Roman" w:hAnsi="Times New Roman" w:eastAsia="黑体"/>
          <w:b/>
          <w:i w:val="0"/>
          <w:sz w:val="24"/>
        </w:rPr>
        <w:t>解释全球金融监管中的制度变迁</w:t>
      </w:r>
    </w:p>
    <w:p>
      <w:r>
        <w:rPr>
          <w:rFonts w:ascii="Times New Roman" w:hAnsi="Times New Roman" w:eastAsia="宋体"/>
          <w:b w:val="0"/>
          <w:i/>
          <w:color w:val="404040"/>
          <w:sz w:val="20"/>
        </w:rPr>
        <w:t>Explaining institutional change in global financial regulation</w:t>
      </w:r>
    </w:p>
    <w:p>
      <w:r>
        <w:rPr>
          <w:rFonts w:ascii="Times New Roman" w:hAnsi="Times New Roman" w:eastAsia="宋体"/>
          <w:b w:val="0"/>
          <w:i w:val="0"/>
          <w:color w:val="595959"/>
          <w:sz w:val="18"/>
        </w:rPr>
        <w:t>Simon Linder（Center for International and Comparative Political Economy, Freie Universität Berlin）；Thomas Rixen（Center for International and Comparative Political Economy, Freie Universität Berlin）</w:t>
      </w:r>
    </w:p>
    <w:p>
      <w:r>
        <w:rPr>
          <w:rFonts w:ascii="Times New Roman" w:hAnsi="Times New Roman" w:eastAsia="宋体"/>
          <w:b w:val="0"/>
          <w:i w:val="0"/>
          <w:sz w:val="22"/>
        </w:rPr>
        <w:t>摘要：什么解释全球金融监管中的制度变迁？作者提出一个模型：对金融危机与合法性担忧等外生冲击的制度变迁受内生变量“制度化程度”调节。利用新构建的制度化定量指标分析1967—2017年16个全球监管机构，并以非正式、合同型与条约型制度的新区分开展三个案例研究。结果支持模型：巴塞尔银行监管委员会等低制度化的非正式机构经历显著变迁与正式化，成为合同型机构；国际会计准则理事会等中等制度化的合同型机构发生变化但保持类别；国际货币基金组织等高度制度化的条约型机构基本抵制变化。</w:t>
      </w:r>
    </w:p>
    <w:p>
      <w:r>
        <w:rPr>
          <w:rFonts w:ascii="Times New Roman" w:hAnsi="Times New Roman" w:eastAsia="宋体"/>
          <w:b w:val="0"/>
          <w:i w:val="0"/>
          <w:sz w:val="20"/>
        </w:rPr>
        <w:t>What explains institutional change in global financial regulation? We propose a model in which institutional change in response to exogenous shocks such as financial crises and legitimacy concerns is moderated by an endogenous variable, institutionalisation. We test our model using a mixed methods design. Relying on a newly constructed quantitative indicator of institutionalisation, we analyse 16 global regulatory institutions from 1967 to 2017. We examine causal mechanisms in three case studies using a new distinction between informal, contract- and treaty-based institutions. Our results support the model. Lowly institutionalised and informal institutions, like the Basel Committee on Banking Supervision, experienced significant institutional change and formalisation, becoming contract-based institutions. Contract-based institutions with intermediate institutionalisation, such as the International Accounting Standards Board, underwent change but remained in their category. Treaty-based institutions with high institutionalisation, like the International Monetary Fund, largely resisted change. These findings address gaps and complement the literature on global finance by providing a systematic large-N analysis with a focus on institutional development. We also contribute to historical institutionalism by highlighting the interaction of exogenous and endogenous factors, and to the literature on institutional choice between formal and informal IOs.</w:t>
      </w:r>
    </w:p>
    <w:p/>
    <w:p>
      <w:r>
        <w:rPr>
          <w:rFonts w:ascii="Times New Roman" w:hAnsi="Times New Roman" w:eastAsia="黑体"/>
          <w:b/>
          <w:i w:val="0"/>
          <w:sz w:val="24"/>
        </w:rPr>
        <w:t>税收博弈：全球公司税动态中的爱尔兰案例</w:t>
      </w:r>
    </w:p>
    <w:p>
      <w:r>
        <w:rPr>
          <w:rFonts w:ascii="Times New Roman" w:hAnsi="Times New Roman" w:eastAsia="宋体"/>
          <w:b w:val="0"/>
          <w:i/>
          <w:color w:val="404040"/>
          <w:sz w:val="20"/>
        </w:rPr>
        <w:t>Tax games: the case of Ireland in the global dynamics of corporate taxation</w:t>
      </w:r>
    </w:p>
    <w:p>
      <w:r>
        <w:rPr>
          <w:rFonts w:ascii="Times New Roman" w:hAnsi="Times New Roman" w:eastAsia="宋体"/>
          <w:b w:val="0"/>
          <w:i w:val="0"/>
          <w:color w:val="595959"/>
          <w:sz w:val="18"/>
        </w:rPr>
        <w:t>Nessa Ní Chasaide（Department of Sociology, National University of Ireland Maynooth）；Seán Ó Riain（Department of Sociology, National University of Ireland Maynooth）</w:t>
      </w:r>
    </w:p>
    <w:p>
      <w:r>
        <w:rPr>
          <w:rFonts w:ascii="Times New Roman" w:hAnsi="Times New Roman" w:eastAsia="宋体"/>
          <w:b w:val="0"/>
          <w:i w:val="0"/>
          <w:sz w:val="22"/>
        </w:rPr>
        <w:t>摘要：【摘译】作者提出“税收博弈”框架——国家与企业在规则秩序中的制度化战略互动，由税率、管辖、纳税资本所有者、税基定义四维构成，追踪爱尔兰七十年间六种博弈及苹果案，揭示工具性、结构性与基础设施性权力的交织。</w:t>
      </w:r>
    </w:p>
    <w:p>
      <w:r>
        <w:rPr>
          <w:rFonts w:ascii="Times New Roman" w:hAnsi="Times New Roman" w:eastAsia="宋体"/>
          <w:b w:val="0"/>
          <w:i w:val="0"/>
          <w:sz w:val="20"/>
        </w:rPr>
        <w:t>This article proposes a new analytical framework of ‘tax games’ providing fresh insights into the dynamics of global corporate taxation. Tax games are defined as institutionalised configurations of strategic interaction among states and corporations in rule-based orders. These games are constituted by the organisation and interaction of four fundamental dimensions of tax: The rate of taxation, the jurisdiction which makes the claim, the capital owner responsible for any payment, and the definition of the return upon which the tax is claimed. The configurations of tax games re-arrange over time in response to contestation over political legitimacy. Through interviews and documentary analysis of sectoral and statistical data we examine the critical case of the Republic of Ireland. The article provides a new account of change in corporate taxation by tracing the entanglement of three kinds of power—instrumental, structural and (a version of) infrastructural power—across six Irish games over seventy years. We closely examine the case of Apple, significant both to Ireland and to the global tax games, revealing tax politics among state agencies, within the interactions of state tax codes, and the power relations within and beyond the United States-Ireland onshore-offshore world.</w:t>
      </w:r>
    </w:p>
    <w:p/>
    <w:p>
      <w:r>
        <w:rPr>
          <w:rFonts w:ascii="Times New Roman" w:hAnsi="Times New Roman" w:eastAsia="黑体"/>
          <w:b/>
          <w:i w:val="0"/>
          <w:sz w:val="24"/>
        </w:rPr>
        <w:t>谁来照顾照顾者？父权矛盾与全球经济的再造</w:t>
      </w:r>
    </w:p>
    <w:p>
      <w:r>
        <w:rPr>
          <w:rFonts w:ascii="Times New Roman" w:hAnsi="Times New Roman" w:eastAsia="宋体"/>
          <w:b w:val="0"/>
          <w:i/>
          <w:color w:val="404040"/>
          <w:sz w:val="20"/>
        </w:rPr>
        <w:t>Who cares for the carers? Patriarchal contradictions and the reinvention of the global economy</w:t>
      </w:r>
    </w:p>
    <w:p>
      <w:r>
        <w:rPr>
          <w:rFonts w:ascii="Times New Roman" w:hAnsi="Times New Roman" w:eastAsia="宋体"/>
          <w:b w:val="0"/>
          <w:i w:val="0"/>
          <w:color w:val="595959"/>
          <w:sz w:val="18"/>
        </w:rPr>
        <w:t>Maria Tanyag（Department of International Relations, Australian National University）</w:t>
      </w:r>
    </w:p>
    <w:p>
      <w:r>
        <w:rPr>
          <w:rFonts w:ascii="Times New Roman" w:hAnsi="Times New Roman" w:eastAsia="宋体"/>
          <w:b w:val="0"/>
          <w:i w:val="0"/>
          <w:sz w:val="22"/>
        </w:rPr>
        <w:t>摘要：【摘译】基于菲律宾2020—2022年有偿照护者的疫情经历，作者表明菲律宾的社会再生产危机结构性地根植于全球北方的国家层面缓解策略，国家通过重构经济、文化与安全边界、以日益全球化的威权危机管理迫使社会再生产“弹性化”。</w:t>
      </w:r>
    </w:p>
    <w:p>
      <w:r>
        <w:rPr>
          <w:rFonts w:ascii="Times New Roman" w:hAnsi="Times New Roman" w:eastAsia="宋体"/>
          <w:b w:val="0"/>
          <w:i w:val="0"/>
          <w:sz w:val="20"/>
        </w:rPr>
        <w:t>At the height of the global Covid-19 pandemic, health workers and women’s rights service providers worldwide experienced severe depletion and mortality. Feminist political economy scholarship has framed this paradox in relation to the intensification of a longstanding ‘crisis of social reproduction’ – a contradiction endogenous to capitalist global economy. Recent analyses, however, have yet to adequately theorise this neoliberal contradiction in relation to changing forms of state involvement to manage social reproductive crises for the preservation of power, and for the continuation of capital accumulation across different contexts especially in the Global South. This article draws on the pandemic experiences of paid carers in the Philippines from 2020 to 2022 to show how social reproductive crises in the country are structurally rooted in state-level mitigation strategies in the Global North. Moreover, their experiences highlight how the state reconfigures economic, cultural and security boundaries to compel the elasticity of social reproduction via increasingly globalised authoritarian forms of crisis management. Making visible how the unfolding of social reproductive crises manifest in uneven, differentiated and interrelated ways is central to understanding the crisis-driven, patriarchal re-invention of the global economy.</w:t>
      </w:r>
    </w:p>
    <w:p/>
    <w:p>
      <w:r>
        <w:rPr>
          <w:rFonts w:ascii="Times New Roman" w:hAnsi="Times New Roman" w:eastAsia="黑体"/>
          <w:b/>
          <w:i w:val="0"/>
          <w:sz w:val="24"/>
        </w:rPr>
        <w:t>紧缩治理与税收国家的绩效焦虑</w:t>
      </w:r>
    </w:p>
    <w:p>
      <w:r>
        <w:rPr>
          <w:rFonts w:ascii="Times New Roman" w:hAnsi="Times New Roman" w:eastAsia="宋体"/>
          <w:b w:val="0"/>
          <w:i/>
          <w:color w:val="404040"/>
          <w:sz w:val="20"/>
        </w:rPr>
        <w:t>Austerity governance and the performance anxieties of the tax state</w:t>
      </w:r>
    </w:p>
    <w:p>
      <w:r>
        <w:rPr>
          <w:rFonts w:ascii="Times New Roman" w:hAnsi="Times New Roman" w:eastAsia="宋体"/>
          <w:b w:val="0"/>
          <w:i w:val="0"/>
          <w:color w:val="595959"/>
          <w:sz w:val="18"/>
        </w:rPr>
        <w:t>Ian Lovering（School of History, Philosophy, Political Science and International Relations, Te Herenga Waka Victoria University of Wellington）</w:t>
      </w:r>
    </w:p>
    <w:p>
      <w:r>
        <w:rPr>
          <w:rFonts w:ascii="Times New Roman" w:hAnsi="Times New Roman" w:eastAsia="宋体"/>
          <w:b w:val="0"/>
          <w:i w:val="0"/>
          <w:sz w:val="22"/>
        </w:rPr>
        <w:t>摘要：【摘译】作者认为紧缩使国家更集中、强制与管理主义，这源于1960年代美国国防部的“预算规划”谱系：它将预算从民主协商空间改造为追求“有效”政策的集中决策工具。</w:t>
      </w:r>
    </w:p>
    <w:p>
      <w:r>
        <w:rPr>
          <w:rFonts w:ascii="Times New Roman" w:hAnsi="Times New Roman" w:eastAsia="宋体"/>
          <w:b w:val="0"/>
          <w:i w:val="0"/>
          <w:sz w:val="20"/>
        </w:rPr>
        <w:t>Austerity might not have reduced the net spend of the state, but it has certainly transformed it into something more centralised, coercive, and managerial. The austerity literature often explains this as the governance implications of a neoliberal drive to cut spending. In contrast, I argue it reflects a distinct managerial lineage of austerity. To make this argument, I theorise austerity through a history of budgetary planning. This was an approach to budgeting that emerged in the United States (US) Department of Defense (DoD) in the 1960s. It was motivated less by a concern that spending was too high and more by a feeling it was too diffuse across welfare beneficiaries, subsidised corporations, and delegated agencies. Budgetary planning addressed this by remaking budgets from democratic spaces of negotiation into centralised instruments of decision-making focused on pursuing ‘effective’ policy. The austerity literature has overlooked budgetary planning because it focuses on changes to tax revenue structures, macroeconomic dynamics, and cost control. Instead, I address microeconomic tools of public expenditure management. Historicising budgetary planning in this way invites us to theorise austerity not only in terms of how much government spends, but also who gets to decide what it buys.</w:t>
      </w:r>
    </w:p>
    <w:p/>
    <w:p>
      <w:r>
        <w:rPr>
          <w:rFonts w:ascii="Times New Roman" w:hAnsi="Times New Roman" w:eastAsia="黑体"/>
          <w:b/>
          <w:i w:val="0"/>
          <w:sz w:val="24"/>
        </w:rPr>
        <w:t>“互联互通”的空洞能指：基础设施如何重塑世界秩序</w:t>
      </w:r>
    </w:p>
    <w:p>
      <w:r>
        <w:rPr>
          <w:rFonts w:ascii="Times New Roman" w:hAnsi="Times New Roman" w:eastAsia="宋体"/>
          <w:b w:val="0"/>
          <w:i/>
          <w:color w:val="404040"/>
          <w:sz w:val="20"/>
        </w:rPr>
        <w:t>The empty signifier of ‘connectivity’: how infrastructure reorders the world</w:t>
      </w:r>
    </w:p>
    <w:p>
      <w:r>
        <w:rPr>
          <w:rFonts w:ascii="Times New Roman" w:hAnsi="Times New Roman" w:eastAsia="宋体"/>
          <w:b w:val="0"/>
          <w:i w:val="0"/>
          <w:color w:val="595959"/>
          <w:sz w:val="18"/>
        </w:rPr>
        <w:t>Mohammadbagher Forough（Department of History, Erasmus Universiteit Rotterdam; Institute for Middle East Studies, The German Institute for Global and Area Studies (GIGA)）；Anna Fünfgeld（School of Integrated Climate and Earth System Sciences, University of Hamburg and German Institute for Global and Area Studies (GIGA)）</w:t>
      </w:r>
    </w:p>
    <w:p>
      <w:r>
        <w:rPr>
          <w:rFonts w:ascii="Times New Roman" w:hAnsi="Times New Roman" w:eastAsia="宋体"/>
          <w:b w:val="0"/>
          <w:i w:val="0"/>
          <w:sz w:val="22"/>
        </w:rPr>
        <w:t>摘要：“互联互通”已成为大规模基础设施倡议的全球流行词，但理论化不足。本文以中国“一带一路”倡议和东盟《互联互通总体规划》为主要案例，并兼及欧盟“全球门户”及美国与七国集团推动的倡议，将互联互通概念化为“空洞能指”。运用拉克劳的政治话语理论，作者将互联互通理论化为一种霸权性空洞能指，使某一特定发展模式（中国或西方）普遍化，同时吸纳替代模式；并结合批判地缘政治，揭示互联互通倡议如何生产“新丝绸之路”“印太”等新地理建构。作者沿三条分析线考察互联互通话语：其战略模糊性；其在建构地理与身份中的作用；其将发展与基础设施互联互通误表为纯技术性问题。</w:t>
      </w:r>
    </w:p>
    <w:p>
      <w:r>
        <w:rPr>
          <w:rFonts w:ascii="Times New Roman" w:hAnsi="Times New Roman" w:eastAsia="宋体"/>
          <w:b w:val="0"/>
          <w:i w:val="0"/>
          <w:sz w:val="20"/>
        </w:rPr>
        <w:t>‘Connectivity’ has emerged as a global buzzword for large-scale infrastructure initiatives but remains under-theorised. This paper addresses this gap by conceptualising connectivity as an ‘empty signifier’, using China’s Belt and Road Initiative (BRI) and ASEAN’s Master Plan on Connectivity (MPAC) as primary case studies, alongside lesser-developed initiatives like the EU’s Global Gateway or those driven by the US and G7. Applying Laclau’s Political Discourse Theory (PDT), we theorise connectivity as a hegemonic empty signifier that universalises one specific developmental model (Chinese or Western) while subsuming alternative models. Drawing on PDT’s insights into ‘third way’ politics, we critique the ideological misrepresentation of development and connectivity as purely technical. To explore how connectivity initiatives produce new geographic constructs (e.g. ‘new Silk Roads’ and ‘Indo-Pacific’), we combine PDT with critical geopolitics, which reveals how politics is spatialised and space politicised. We analyse connectivity discourses along three analytical lines: (a) their strategic ambiguity, (b) their role in constructing geographies and identities, and (c) their misrepresentation of development and infrastructural connectivity as exclusively technical. In conclusion, we discuss how global connectivity initiatives are reordering the contemporary world and underscore the value of PDT for understanding IPE and International relations.</w:t>
      </w:r>
    </w:p>
    <w:p/>
    <w:p>
      <w:r>
        <w:rPr>
          <w:rFonts w:ascii="Times New Roman" w:hAnsi="Times New Roman" w:eastAsia="黑体"/>
          <w:b/>
          <w:i w:val="0"/>
          <w:sz w:val="24"/>
        </w:rPr>
        <w:t>从国内权力到国际从属：新兴资本主义经济体公司债发行的用途与影响</w:t>
      </w:r>
    </w:p>
    <w:p>
      <w:r>
        <w:rPr>
          <w:rFonts w:ascii="Times New Roman" w:hAnsi="Times New Roman" w:eastAsia="宋体"/>
          <w:b w:val="0"/>
          <w:i/>
          <w:color w:val="404040"/>
          <w:sz w:val="20"/>
        </w:rPr>
        <w:t>From domestic power to international subordination: the uses and impact of corporate bond issuance in emerging capitalist economies</w:t>
      </w:r>
    </w:p>
    <w:p>
      <w:r>
        <w:rPr>
          <w:rFonts w:ascii="Times New Roman" w:hAnsi="Times New Roman" w:eastAsia="宋体"/>
          <w:b w:val="0"/>
          <w:i w:val="0"/>
          <w:color w:val="595959"/>
          <w:sz w:val="18"/>
        </w:rPr>
        <w:t>Elif Karaçimen（Department of Economics, Recep Tayyip Erdogan University; Open University）；Joel Rabinovich（School of Politics &amp; Economics, King’s College London; CEED, Universidad Nacional de San Martin）</w:t>
      </w:r>
    </w:p>
    <w:p>
      <w:r>
        <w:rPr>
          <w:rFonts w:ascii="Times New Roman" w:hAnsi="Times New Roman" w:eastAsia="宋体"/>
          <w:b w:val="0"/>
          <w:i w:val="0"/>
          <w:sz w:val="22"/>
        </w:rPr>
        <w:t>摘要：【摘译】企业层面数据显示，新兴经济体非金融企业发行公司债主要用于降低短期债务和利息、延长期限以增强财务，而非投机性套利；发行集中于能源与材料两个采掘行业，在增强国内支配地位的同时强化了本国的国际从属地位。</w:t>
      </w:r>
    </w:p>
    <w:p>
      <w:r>
        <w:rPr>
          <w:rFonts w:ascii="Times New Roman" w:hAnsi="Times New Roman" w:eastAsia="宋体"/>
          <w:b w:val="0"/>
          <w:i w:val="0"/>
          <w:sz w:val="20"/>
        </w:rPr>
        <w:t>This article focuses on the increasing trend of corporate bond issuance by the nonfinancial sector in emerging capitalist economies (ECEs). Contrary to prevailing views that ECE firms predominantly engage in speculative carry trade operations, our analysis, informed by firm-level data, indicates a strategic utilisation of bond proceeds particularly for financial strengthening through a reduction of short-term debt and interest expenses, as well as an extension of debt maturities. Noteworthy is the concentration of bond issuances in two extractive industries, ‘energy and power’ and ‘materials’. By integrating the subordinate financialisation and leverage as power frameworks, this study sheds new light on the strategic financial actions of ECE firms, who, while enhancing their domestic dominance, also reinforce the subordinate position of their home countries.</w:t>
      </w:r>
    </w:p>
    <w:p/>
    <w:p>
      <w:r>
        <w:rPr>
          <w:rFonts w:ascii="Times New Roman" w:hAnsi="Times New Roman" w:eastAsia="黑体"/>
          <w:b/>
          <w:i w:val="0"/>
          <w:sz w:val="24"/>
        </w:rPr>
        <w:t>区域与国内价值链中体面劳动的私人与公共治理：撒哈拉以南非洲园艺与服装业案例</w:t>
      </w:r>
    </w:p>
    <w:p>
      <w:r>
        <w:rPr>
          <w:rFonts w:ascii="Times New Roman" w:hAnsi="Times New Roman" w:eastAsia="宋体"/>
          <w:b w:val="0"/>
          <w:i/>
          <w:color w:val="404040"/>
          <w:sz w:val="20"/>
        </w:rPr>
        <w:t>Private and public governance of decent work in regional and domestic value chains: the case of horticulture and garments in Sub-Saharan Africa</w:t>
      </w:r>
    </w:p>
    <w:p>
      <w:r>
        <w:rPr>
          <w:rFonts w:ascii="Times New Roman" w:hAnsi="Times New Roman" w:eastAsia="宋体"/>
          <w:b w:val="0"/>
          <w:i w:val="0"/>
          <w:color w:val="595959"/>
          <w:sz w:val="18"/>
        </w:rPr>
        <w:t>Matthew Alford（Alliance Manchester Business School (AMBS), University of Manchester）；Stephanie Barrientos（Global Development Institute, University of Manchester）；Shane Godfrey（Labour, Development and Governance, Commercial Law Department, University of Cape Town）；Khalid Nadvi（Global Development Institute, University of Manchester）；Maggie Opondo（Department of Earth and Climate, University of Nairobi）；Margareet Visser（Labour, Development and Governance, Commercial Law Department, University of Cape Town）</w:t>
      </w:r>
    </w:p>
    <w:p>
      <w:r>
        <w:rPr>
          <w:rFonts w:ascii="Times New Roman" w:hAnsi="Times New Roman" w:eastAsia="宋体"/>
          <w:b w:val="0"/>
          <w:i w:val="0"/>
          <w:sz w:val="22"/>
        </w:rPr>
        <w:t>摘要：全球生产地理的巨变表明区域价值链与国内价值链在全球南方日益重要。它们常由南方领军企业治理，与全球价值链并行或交叉。全球价值链研究长期分析北方领军企业对体面劳动的私人治理，近期研究考察国家主导的公共治理，但对区域与国内价值链中体面劳动的公共与私人治理了解有限。作者对撒哈拉以南非洲园艺与服装业的区域/国内价值链进行跨国与跨部门分析，发现区域与国内价值链中体面劳动的私人治理相对薄弱，同时出现向多样化公共治理形式的转变，园艺业更明显，服装业也出现初步变化。作者提出从“指令型”到“促进型”的公共治理—权力连续谱，但其对体面劳动的有效性尚不清楚。</w:t>
      </w:r>
    </w:p>
    <w:p>
      <w:r>
        <w:rPr>
          <w:rFonts w:ascii="Times New Roman" w:hAnsi="Times New Roman" w:eastAsia="宋体"/>
          <w:b w:val="0"/>
          <w:i w:val="0"/>
          <w:sz w:val="20"/>
        </w:rPr>
        <w:t>Seismic shifts in the geographies of global production point to the growing importance of Regional and Domestic Value Chains (RVCs and DVCs) in the global South. RVCs and DVCs, often governed by Southern lead firms, operate alongside or intersect with Global Value Chains (GVCs). GVC studies have long analysed private governance of decent work by Northern lead firms. Recent studies examine state-led public governance. Yet, our understanding of public and private governance of decent work in RVCs/DVCs remains limited. We conduct a cross-country and sectoral analysis of horticultural and garments RVCs/DVCs in Sub-Saharan Africa, asking: How is public and private governance of decent work evolving in intersecting GVCs, RVCs and DVCs? We observe relatively weak private governance of decent work in DVCs and RVCs, alongside a shift towards variegated forms of public governance. Whilst these trends are more pronounced in horticulture, nascent changes are occurring in garments. To capture the variety of public governance patterns, we present a governance-power continuum ranging from ‘directive’ to ‘facilitative’ public governance. However, the potential efficacy of such developments for decent work remains unclear. Future research could benefit from utilising our framework to explore how public governance evolves in the context of polycentric trade.</w:t>
      </w:r>
    </w:p>
    <w:p/>
    <w:p>
      <w:r>
        <w:rPr>
          <w:rFonts w:ascii="Times New Roman" w:hAnsi="Times New Roman" w:eastAsia="黑体"/>
          <w:b/>
          <w:i w:val="0"/>
          <w:sz w:val="24"/>
        </w:rPr>
        <w:t>不叫的狗——世界贸易组织中的武器化相互依赖与数字贸易</w:t>
      </w:r>
    </w:p>
    <w:p>
      <w:r>
        <w:rPr>
          <w:rFonts w:ascii="Times New Roman" w:hAnsi="Times New Roman" w:eastAsia="宋体"/>
          <w:b w:val="0"/>
          <w:i/>
          <w:color w:val="404040"/>
          <w:sz w:val="20"/>
        </w:rPr>
        <w:t>The dog that does not bark – Weaponised interdependence and digital trade at the World Trade Organization</w:t>
      </w:r>
    </w:p>
    <w:p>
      <w:r>
        <w:rPr>
          <w:rFonts w:ascii="Times New Roman" w:hAnsi="Times New Roman" w:eastAsia="宋体"/>
          <w:b w:val="0"/>
          <w:i w:val="0"/>
          <w:color w:val="595959"/>
          <w:sz w:val="18"/>
        </w:rPr>
        <w:t>Nora Kürzdörfer（Munich Security Conference）</w:t>
      </w:r>
    </w:p>
    <w:p>
      <w:r>
        <w:rPr>
          <w:rFonts w:ascii="Times New Roman" w:hAnsi="Times New Roman" w:eastAsia="宋体"/>
          <w:b w:val="0"/>
          <w:i w:val="0"/>
          <w:sz w:val="22"/>
        </w:rPr>
        <w:t>摘要：作为全球最大数字企业的母国并争夺全球技术领导地位，美国与中国可利用其在全球数字网络中的中心地位控制海量数据，按武器化相互依赖理论，这使其能通过收集战略信息或限制网络访问来胁迫对方及第三国。本文考察这些数字武器化相互依赖风险是否在WTO电子商务谈判中被处理。为检验成员是否超越日益援引的第21条“国家安全”例外而将（数字）贸易安全化，作者结合对2015—2024年“电子商务工作计划”与“电子商务联合声明倡议”中陈述的定量（n=1428）与定性（n=100）文本分析，发现“武器化相互依赖”考量在辩论中基本缺席：成员将数字贸易安全化时，是为本国网络政策与法规辩护，而非表达对他国做法的担忧；它们转而批评彼此做法的市场扭曲效应。传统贸易议题更为突出且很少与安全挂钩，表明WTO倾向于以技术官僚“筒仓”方式处理贸易。</w:t>
      </w:r>
    </w:p>
    <w:p>
      <w:r>
        <w:rPr>
          <w:rFonts w:ascii="Times New Roman" w:hAnsi="Times New Roman" w:eastAsia="宋体"/>
          <w:b w:val="0"/>
          <w:i w:val="0"/>
          <w:sz w:val="20"/>
        </w:rPr>
        <w:t>As home to the world’s largest digital companies and competing for global technological leadership, the United States (US) and China can leverage their centrality to global digital networks to gain control over vast amounts of data. In line with the theory of ‘weaponized interdependence’ (WI), this allows them to economically coerce each other and third countries by gathering strategic information or restricting network access. In this paper, I take up these risks of digital WI and analyse whether they are being addressed in the course of the World Trade Organization’s (WTO) negotiations on e-commerce. To examine whether members securitise (digital) trade beyond the increasing invocation of Article XXI on ‘national security’ grounds, I combine quantitative (n = 1,428) with qualitative (n = 100) textual analysis of statements made in the Work Programme on Electronic Commerce (WPEC) and the Joint Statement Initiative on Electronic Commerce (JSI-EC), respectively, between 2015 and 2024. I find that considerations of ‘WI’ are largely absent from the debate. When members securitise digital trade, they do so to justify their own cyber policies and regulations, but not to express concern about those of others. Instead, they criticise the market-distorting effects of each other’s practices. Traditional trade issues feature more prominently in these negotiations and are rarely linked to security issues, pointing to the WTO’s tendency to approach trade in technocratic silos.</w:t>
      </w:r>
    </w:p>
    <w:p/>
    <w:p>
      <w:r>
        <w:rPr>
          <w:rFonts w:ascii="Times New Roman" w:hAnsi="Times New Roman" w:eastAsia="黑体"/>
          <w:b/>
          <w:i w:val="0"/>
          <w:sz w:val="24"/>
        </w:rPr>
        <w:t>波兰尼与批判国际政治经济学：大转型、国家与控制“变化速率”的重要性</w:t>
      </w:r>
    </w:p>
    <w:p>
      <w:r>
        <w:rPr>
          <w:rFonts w:ascii="Times New Roman" w:hAnsi="Times New Roman" w:eastAsia="宋体"/>
          <w:b w:val="0"/>
          <w:i/>
          <w:color w:val="404040"/>
          <w:sz w:val="20"/>
        </w:rPr>
        <w:t>Karl Polanyi and critical IPE: great transformations, the state and the importance of controlling the ‘rate of change’</w:t>
      </w:r>
    </w:p>
    <w:p>
      <w:r>
        <w:rPr>
          <w:rFonts w:ascii="Times New Roman" w:hAnsi="Times New Roman" w:eastAsia="宋体"/>
          <w:b w:val="0"/>
          <w:i w:val="0"/>
          <w:color w:val="595959"/>
          <w:sz w:val="18"/>
        </w:rPr>
        <w:t>Ilirjan Shehu（Department of Political Science, Carleton University）；Randall Germain（Department of Political Science, Carleton University）</w:t>
      </w:r>
    </w:p>
    <w:p>
      <w:r>
        <w:rPr>
          <w:rFonts w:ascii="Times New Roman" w:hAnsi="Times New Roman" w:eastAsia="宋体"/>
          <w:b w:val="0"/>
          <w:i w:val="0"/>
          <w:sz w:val="22"/>
        </w:rPr>
        <w:t>摘要：【摘译】多数国际政治经济学沿用鲁杰对波兰尼的“嵌入/脱嵌”与双向运动的用法。作者拓展两个被低估的面向：国家作为建立与组织世界市场的最关键争夺场所，以及控制社会变化“速率”的关切，二者都植根于其深厚的历史视角。</w:t>
      </w:r>
    </w:p>
    <w:p>
      <w:r>
        <w:rPr>
          <w:rFonts w:ascii="Times New Roman" w:hAnsi="Times New Roman" w:eastAsia="宋体"/>
          <w:b w:val="0"/>
          <w:i w:val="0"/>
          <w:sz w:val="20"/>
        </w:rPr>
        <w:t>The work of Karl Polanyi has figured prominently over the past two decades in critical international political economy (IPE) scholarship that attempts to understand the changing foundations of the world economy. Especially important have been the concepts of ‘embedded’ versus ‘disembedded’ economies and the double movement, which were embraced by John Ruggie in his pathbreaking effort to harness Polanyi to better understand changes in the Bretton Woods era during the 1980s. Most IPE scholarship follows Ruggie’s use of Polanyi, which we argue does not fully exploit the depth and scale of his usefulness. We extend the applicability of Polanyi’s ideas for IPE by considering two under-appreciated facets of his thought: his focus on the state as the most critical site of contestation through which world market is established and organised, and his concern for controlling the speed by which change unfolds in society, or what he called the ‘rate of change’. Both facets are underpinned by Polanyi’s deeply historical account of global change and transformation. Including these into our use of Polanyi extends the utility of his ideas to better understand contemporary developments such as technological change and the resurgence of nationalism and populism, which are the well-springs of the next great transformation.</w:t>
      </w:r>
    </w:p>
    <w:p/>
    <w:p>
      <w:r>
        <w:rPr>
          <w:rFonts w:ascii="Times New Roman" w:hAnsi="Times New Roman" w:eastAsia="黑体"/>
          <w:b/>
          <w:i w:val="0"/>
          <w:sz w:val="24"/>
        </w:rPr>
        <w:t>迈向“大塑料”理论</w:t>
      </w:r>
    </w:p>
    <w:p>
      <w:r>
        <w:rPr>
          <w:rFonts w:ascii="Times New Roman" w:hAnsi="Times New Roman" w:eastAsia="宋体"/>
          <w:b w:val="0"/>
          <w:i/>
          <w:color w:val="404040"/>
          <w:sz w:val="20"/>
        </w:rPr>
        <w:t>Towards a theory of ‘Big plastic’</w:t>
      </w:r>
    </w:p>
    <w:p>
      <w:r>
        <w:rPr>
          <w:rFonts w:ascii="Times New Roman" w:hAnsi="Times New Roman" w:eastAsia="宋体"/>
          <w:b w:val="0"/>
          <w:i w:val="0"/>
          <w:color w:val="595959"/>
          <w:sz w:val="18"/>
        </w:rPr>
        <w:t>Babet De Groot（School of Social and Political Sciences, University of Sydney）；Robert MacNeil（School of Social and Political Sciences, Sydney Environment Institute, University of Sydney）</w:t>
      </w:r>
    </w:p>
    <w:p>
      <w:r>
        <w:rPr>
          <w:rFonts w:ascii="Times New Roman" w:hAnsi="Times New Roman" w:eastAsia="宋体"/>
          <w:b w:val="0"/>
          <w:i w:val="0"/>
          <w:sz w:val="22"/>
        </w:rPr>
        <w:t>摘要：【摘译】作者发展“大塑料”概念，借助富克斯“企业权力三面”框架，认为尽管供应链异质，塑料业仍在很大程度上作为协调一致的政治力量运作。</w:t>
      </w:r>
    </w:p>
    <w:p>
      <w:r>
        <w:rPr>
          <w:rFonts w:ascii="Times New Roman" w:hAnsi="Times New Roman" w:eastAsia="宋体"/>
          <w:b w:val="0"/>
          <w:i w:val="0"/>
          <w:sz w:val="20"/>
        </w:rPr>
        <w:t>This paper aims to shed light on the nature of the plastic industry’s political power by developing the concept of Big Plastic. To date, the nascent field of ‘plastic political economy’ has shied away from engaging fully with this neologism, typically using it as a throwaway term to note the sector’s influence over governments, or simply rejecting it, noting that the disaggregated nature of the plastics supply chain means that the industry cannot be understood as a monopolised juggernaut similar to Big Oil, Big Pharma, Big Tech, or other highly consolidated sectors that have been assigned this descriptor. In contrast, we argue that, properly understood, the concept has significant value in helping international political economy (IPE) scholars and environmentalists understand the nature of the industry’s power, and how it might be challenged. Drawing on Fuch’s (2007) ‘three faces of business power’ framework, we sketch a picture of an industry which, despite its heterogeneous supply chain, nevertheless acts to a considerable degree as a coherent political force, leveraging its extensive power at a structural, discursive, and instrumental level to defend the continuity of unmitigated plastic production and consumption.</w:t>
      </w:r>
    </w:p>
    <w:p/>
    <w:p>
      <w:r>
        <w:rPr>
          <w:rFonts w:ascii="Times New Roman" w:hAnsi="Times New Roman" w:eastAsia="黑体"/>
          <w:b/>
          <w:i w:val="0"/>
          <w:sz w:val="24"/>
        </w:rPr>
        <w:t>通过全球小组协作教授日常生活的国际政治经济学</w:t>
      </w:r>
    </w:p>
    <w:p>
      <w:r>
        <w:rPr>
          <w:rFonts w:ascii="Times New Roman" w:hAnsi="Times New Roman" w:eastAsia="宋体"/>
          <w:b w:val="0"/>
          <w:i/>
          <w:color w:val="404040"/>
          <w:sz w:val="20"/>
        </w:rPr>
        <w:t>Teaching the International Political Economy (IPE) of everyday life through global groupwork</w:t>
      </w:r>
    </w:p>
    <w:p>
      <w:r>
        <w:rPr>
          <w:rFonts w:ascii="Times New Roman" w:hAnsi="Times New Roman" w:eastAsia="宋体"/>
          <w:b w:val="0"/>
          <w:i w:val="0"/>
          <w:color w:val="595959"/>
          <w:sz w:val="18"/>
        </w:rPr>
        <w:t>Batrisyia Najwa Azalan（School of Arts and Social Sciences, Monash University Malaysia）；James Brassett（Department of Politics and International Studies, University of Warwick）；Tom Chodor（School of Social Sciences, Monash University）；Juanita Elias（Department of Politics and International Studies, University of Warwick）；Samanthi Gunawardana（School of Social Sciences, Monash University）；Ruben Kremers（Department of Political Science, Johannes Gutenberg University Mainz）；Helen Nesadurai（School of Arts and Social Sciences, Monash University Malaysia）；George Nikolaidis（School of Social Sciences, Monash University）；Lena Rethel（Department of Politics and International Studies, University of Warwick）；Ben Richardson（Department of Politics and International Studies, University of Warwick）；Marek Rutkowski（School of Arts and Social Sciences, Monash University Malaysia）</w:t>
      </w:r>
    </w:p>
    <w:p>
      <w:r>
        <w:rPr>
          <w:rFonts w:ascii="Times New Roman" w:hAnsi="Times New Roman" w:eastAsia="宋体"/>
          <w:b w:val="0"/>
          <w:i w:val="0"/>
          <w:sz w:val="22"/>
        </w:rPr>
        <w:t>摘要：【摘译】文章讨论澳大利亚、马来西亚、英国学生参与的课外“全球小组协作”项目，以日常生活视角教授国际政治经济学并促进南北学生对话。</w:t>
      </w:r>
    </w:p>
    <w:p>
      <w:r>
        <w:rPr>
          <w:rFonts w:ascii="Times New Roman" w:hAnsi="Times New Roman" w:eastAsia="宋体"/>
          <w:b w:val="0"/>
          <w:i w:val="0"/>
          <w:sz w:val="20"/>
        </w:rPr>
        <w:t>This article explores new pedagogical avenues in teaching International Political Economy (IPE) through a focus on the everyday. The everyday serves as a fruitful starting point to devise pedagogical strategies that go beyond conventional teaching repertoires. We discuss an extra-curricular global groupwork project (GGP) involving students from Australia, Malaysia, and the United Kingdom (UK). Grounded in a student-led, collaborative research approach, this two-year project invited participants to reflect on their daily experiences of the Covid-19 pandemic and the environmental crisis through the lens of IPE, culminating in peer-reviewed publications. We outline the multifaceted potentials of the everyday in IPE pedagogies and its specific application in the GGP, describing our practical organisation of the project while identifying challenges and opportunities for future initiatives. We conclude by reflecting on the GGP’s role in broadening notions of ‘what matters’ in IPE, fostering North-South student dialogue, while highlighting its more ambiguous role in relation to the commodification of critical knowledge within the context of the neoliberal university.</w:t>
      </w:r>
    </w:p>
    <w:p/>
    <w:p>
      <w:r>
        <w:rPr>
          <w:rFonts w:ascii="Times New Roman" w:hAnsi="Times New Roman" w:eastAsia="宋体"/>
          <w:b/>
          <w:i w:val="0"/>
          <w:sz w:val="22"/>
        </w:rPr>
        <w:t>RIPE： Vol. 32, No. 4, 2025</w:t>
      </w:r>
    </w:p>
    <w:p/>
    <w:p>
      <w:r>
        <w:rPr>
          <w:rFonts w:ascii="Times New Roman" w:hAnsi="Times New Roman" w:eastAsia="黑体"/>
          <w:b/>
          <w:i w:val="0"/>
          <w:sz w:val="24"/>
        </w:rPr>
        <w:t>中国崛起与全球经济治理的重构</w:t>
      </w:r>
    </w:p>
    <w:p>
      <w:r>
        <w:rPr>
          <w:rFonts w:ascii="Times New Roman" w:hAnsi="Times New Roman" w:eastAsia="宋体"/>
          <w:b w:val="0"/>
          <w:i/>
          <w:color w:val="404040"/>
          <w:sz w:val="20"/>
        </w:rPr>
        <w:t>China’s rise and the reconfiguration of global economic governance</w:t>
      </w:r>
    </w:p>
    <w:p>
      <w:r>
        <w:rPr>
          <w:rFonts w:ascii="Times New Roman" w:hAnsi="Times New Roman" w:eastAsia="宋体"/>
          <w:b w:val="0"/>
          <w:i w:val="0"/>
          <w:color w:val="595959"/>
          <w:sz w:val="18"/>
        </w:rPr>
        <w:t>Eugénia C. Heldt（Department of Governance, TUM School of Social Sciences and Technology, Technical University of Munich）；Susan Park（Department of Government and International Relations, School of Social and Political Science, University of Sydney）</w:t>
      </w:r>
    </w:p>
    <w:p>
      <w:r>
        <w:rPr>
          <w:rFonts w:ascii="Times New Roman" w:hAnsi="Times New Roman" w:eastAsia="宋体"/>
          <w:b w:val="0"/>
          <w:i w:val="0"/>
          <w:sz w:val="22"/>
        </w:rPr>
        <w:t>摘要：中国在经济和政治上的快速崛起正在改变全球经济治理格局。在一些情况下，中国倡议改善并补充了全球治理结构，而非从根本上改变和破坏它们；在另一些情况下，有时更脆弱的现状得以延续。本期特刊考察中国如何寻求重构全球经济治理，分两步介绍：第一，聚焦中国崛起如何改变发展融资、贸易与主权债务重组领域的全球经济治理；第二，详细分析中国在全球经济治理中的行动，确立从深度合作到深度挑战的不同程度支持与反对。特刊文章通过指出中国如何以及为何选择挑战、支持或改变多边经济制度，探讨中国如何与全球经济秩序互动。这为中国是修正主义者还是自由国际秩序支持者的论断提供了更多实质内容，并提供了理解中国如何（不）参与多边经济制度的更细致方式；更具体地，它凸显中国如何通过自身行动以及西方对其行动的回应改变了经济制度。</w:t>
      </w:r>
    </w:p>
    <w:p>
      <w:r>
        <w:rPr>
          <w:rFonts w:ascii="Times New Roman" w:hAnsi="Times New Roman" w:eastAsia="宋体"/>
          <w:b w:val="0"/>
          <w:i w:val="0"/>
          <w:sz w:val="20"/>
        </w:rPr>
        <w:t>China ‘s rapid economic and political ascension is changing the configuration of global economic governance. In some cases, Chinese initiatives have improved and complemented global governance structures, rather than fundamentally altering and undermining them. In other cases, a sometimes more fragile status quo endures. This special issue examines how China seeks to reconfigure global economic governance. It introduces the issue in two steps. First, it focuses on how China’s rise is altering global economic governance in development finance, trade, and sovereign debt restructuring. Second, the special issue provides detailed analysis of China’s actions in global economic governance, establishing varying degrees of support and opposition ranging from deep cooperation to deep challenging. The special issue features contributions that explore how China is interacting with the global economic order by pinpointing how and why China chooses to challenge, support, or alter multilateral economic institutions. This provides more substance to the claims that China is either a revisionist or a supporter of the liberal international order and offers a more nuanced way to understand how China (dis)engages with multilateral economic institutions. More specifically, it highlights how China has changed economic institutions through its actions and responses by the West to its actions.</w:t>
      </w:r>
    </w:p>
    <w:p/>
    <w:p>
      <w:r>
        <w:rPr>
          <w:rFonts w:ascii="Times New Roman" w:hAnsi="Times New Roman" w:eastAsia="黑体"/>
          <w:b/>
          <w:i w:val="0"/>
          <w:sz w:val="24"/>
        </w:rPr>
        <w:t>点菜式多边主义：中国如何周旋于全球经济制度</w:t>
      </w:r>
    </w:p>
    <w:p>
      <w:r>
        <w:rPr>
          <w:rFonts w:ascii="Times New Roman" w:hAnsi="Times New Roman" w:eastAsia="宋体"/>
          <w:b w:val="0"/>
          <w:i/>
          <w:color w:val="404040"/>
          <w:sz w:val="20"/>
        </w:rPr>
        <w:t>Multilateralism à la carte: how China navigates global economic institutions</w:t>
      </w:r>
    </w:p>
    <w:p>
      <w:r>
        <w:rPr>
          <w:rFonts w:ascii="Times New Roman" w:hAnsi="Times New Roman" w:eastAsia="宋体"/>
          <w:b w:val="0"/>
          <w:i w:val="0"/>
          <w:color w:val="595959"/>
          <w:sz w:val="18"/>
        </w:rPr>
        <w:t>Eugénia C. Heldt（School of Social Sciences and Technology, Department of Governance, Carl von Linde Fellow Institute for Advanced Study, Technical University of Munich）；Henning Schmidtke（Robert Schuman Centre for Advanced Studies, European University Institute, IT and German Institute for Global and Area Studies）；Omar Serrano Oswald（Business School, Bern University of Applied Sciences）</w:t>
      </w:r>
    </w:p>
    <w:p>
      <w:r>
        <w:rPr>
          <w:rFonts w:ascii="Times New Roman" w:hAnsi="Times New Roman" w:eastAsia="宋体"/>
          <w:b w:val="0"/>
          <w:i w:val="0"/>
          <w:sz w:val="22"/>
        </w:rPr>
        <w:t>摘要：中国参与多边经济制度既非完全支持，也非彻底修正主义：它支持世界贸易组织、出资多边开发银行，但也通过不向经合组织提供贷款数据、绕开巴黎俱乐部等方式挑战全球经济秩序的某些方面。为捕捉这种复杂性，作者提出一个将中国多边战略分为四类的框架：深度合作、浅层支持、深度挑战和浅层抵制，认为中国的战略选择受三个关键因素塑造：国内偏好、国内能力以及更广泛的国际战略环境；这些因素单独并相互作用地影响中国不断演变的多边战略。借助本期特刊的案例研究，作者说明中国如何根据议题领域动态、国内官僚竞争与全球权力转移，在全球金融、多边发展融资和贸易等多个议题领域选择性地支持或抵制多边制度。中国并非采取维持现状或修正主义挑战者的固定立场，而是实行“点菜式多边主义”——在符合国家利益时拥抱合作，必要时抵制约束，甚至在机会出现时创建替代制度。</w:t>
      </w:r>
    </w:p>
    <w:p>
      <w:r>
        <w:rPr>
          <w:rFonts w:ascii="Times New Roman" w:hAnsi="Times New Roman" w:eastAsia="宋体"/>
          <w:b w:val="0"/>
          <w:i w:val="0"/>
          <w:sz w:val="20"/>
        </w:rPr>
        <w:t>China’s engagement with multilateral economic institutions is neither fully supportive nor outright revisionist. While it supports institutions like the World Trade Organization and contributes to multilateral development banks, it also challenges aspects of the global economic order by withholding lending data from the Organization for Economic Cooperation and Development and bypassing the Paris Club. To capture this complexity, we introduce a framework that categorises China’s multilateral strategies into four types: Deep cooperation, shallow support, deep challenge, and shallow resistance. We argue that China’s strategic choices are shaped by three key factors: Domestic preferences, domestic capabilities, and the broader international strategic environment. These factors not only influence China’s engagement individually but also interact with each other, shaping its evolving multilateral strategies. Drawing on case studies from this special issue, we illustrate how China selectively supports or resists multilateral institutions across multiple issue areas—including global finance, multilateral development finance, and trade—depending on issue-area dynamics, domestic bureaucratic competition, and global power shifts. Rather than adopting a fixed position as a status quo power or a revisionist challenger, China pursues an à la carte approach to multilateralism—embracing cooperation where it aligns with national interests, resisting constraints when necessary, and even creating alternative institutions when opportunities arise. By offering a structured way to analyse these varied strategies, this framework provides insights into China’s broader role in multilateral economic governance and its implications for the future of multilateralism.</w:t>
      </w:r>
    </w:p>
    <w:p/>
    <w:p>
      <w:r>
        <w:rPr>
          <w:rFonts w:ascii="Times New Roman" w:hAnsi="Times New Roman" w:eastAsia="黑体"/>
          <w:b/>
          <w:i w:val="0"/>
          <w:sz w:val="24"/>
        </w:rPr>
        <w:t>挑战维持现状—修正主义的二分法：贸易机制中的中国与美国</w:t>
      </w:r>
    </w:p>
    <w:p>
      <w:r>
        <w:rPr>
          <w:rFonts w:ascii="Times New Roman" w:hAnsi="Times New Roman" w:eastAsia="宋体"/>
          <w:b w:val="0"/>
          <w:i/>
          <w:color w:val="404040"/>
          <w:sz w:val="20"/>
        </w:rPr>
        <w:t>Challenging the status quo-revisionist power dichotomy: China and the United States in the trade regime</w:t>
      </w:r>
    </w:p>
    <w:p>
      <w:r>
        <w:rPr>
          <w:rFonts w:ascii="Times New Roman" w:hAnsi="Times New Roman" w:eastAsia="宋体"/>
          <w:b w:val="0"/>
          <w:i w:val="0"/>
          <w:color w:val="595959"/>
          <w:sz w:val="18"/>
        </w:rPr>
        <w:t>Kristen Hopewell（School of Public Policy and Global Affairs, University of British Columbia）</w:t>
      </w:r>
    </w:p>
    <w:p>
      <w:r>
        <w:rPr>
          <w:rFonts w:ascii="Times New Roman" w:hAnsi="Times New Roman" w:eastAsia="宋体"/>
          <w:b w:val="0"/>
          <w:i w:val="0"/>
          <w:sz w:val="22"/>
        </w:rPr>
        <w:t>摘要：关于中国是国际体系中的“维持现状”还是“修正主义”大国一直争论激烈。自特朗普第一任期以来，美国转向激进单边主义并攻击国际制度，许多人质疑美国才是修正主义大国。作者认为这场争论建立在一个错误的二分法之上，未能认识到国际规范、规则与原则的可变、多义与有争议性质。文章以贸易机制——全球秩序的关键支柱、中美冲突尤具破坏性的场域——为例表明，美中都能将其相互冲突的立场呈现为源于既定规范与原则，同时将对方描绘为体系威胁。关于修正主义与维持现状大国的争论忽视了现存治理机制中存在多种相互冲突的规范，许多机制的规则是有争议且不断演变的，而非固定静态的。理解当代权力转移对自由国际秩序的影响，需要更细致准确地理解其构成制度的实际运作。</w:t>
      </w:r>
    </w:p>
    <w:p>
      <w:r>
        <w:rPr>
          <w:rFonts w:ascii="Times New Roman" w:hAnsi="Times New Roman" w:eastAsia="宋体"/>
          <w:b w:val="0"/>
          <w:i w:val="0"/>
          <w:sz w:val="20"/>
        </w:rPr>
        <w:t>There has been intense debate about whether China is a ‘status quo’ or ‘revisionist’ power in the international system. Since the first Trump administration, prompted by the American turn to aggressive unilateralism and assault on international institutions, many have questioned whether it is in fact the United States (US) that is the revisionist power. In this article, I argue that this debate rests on a false dichotomy that fails to recognise the changeable, multivalent and contested nature of international norms, rules and principles. The article draws on analysis of the trade regime, a key pillar of global order and a site where US-China conflict has been particularly destabilising. As I show, the US and China have each been able to present their conflicting positions as derived from established norms and principles, while portraying the other as a threat to the system. Existing debates about revisionist versus status-quo powers miss the fact that there are multiple, conflicting norms in existing governance regimes, and the rules of many regimes are contested and evolving, rather than fixed and static. Understanding the impact of contemporary power shifts on the liberal international order therefore requires a more nuanced and accurate understanding of how its constituent institutions actually operate.</w:t>
      </w:r>
    </w:p>
    <w:p/>
    <w:p>
      <w:r>
        <w:rPr>
          <w:rFonts w:ascii="Times New Roman" w:hAnsi="Times New Roman" w:eastAsia="黑体"/>
          <w:b/>
          <w:i w:val="0"/>
          <w:sz w:val="24"/>
        </w:rPr>
        <w:t>解释中国对主权债务困境全球治理的方式：一种国家转型分析</w:t>
      </w:r>
    </w:p>
    <w:p>
      <w:r>
        <w:rPr>
          <w:rFonts w:ascii="Times New Roman" w:hAnsi="Times New Roman" w:eastAsia="宋体"/>
          <w:b w:val="0"/>
          <w:i/>
          <w:color w:val="404040"/>
          <w:sz w:val="20"/>
        </w:rPr>
        <w:t>Explaining China’s approach to the global governance of sovereign debt distress: a state transformation analysis</w:t>
      </w:r>
    </w:p>
    <w:p>
      <w:r>
        <w:rPr>
          <w:rFonts w:ascii="Times New Roman" w:hAnsi="Times New Roman" w:eastAsia="宋体"/>
          <w:b w:val="0"/>
          <w:i w:val="0"/>
          <w:color w:val="595959"/>
          <w:sz w:val="18"/>
        </w:rPr>
        <w:t>Shahar Hameiri（School of Political Science and International Studies, University of Queensland）；Lee Jones（School of Politics and International Relations, Queen Mary University of London）</w:t>
      </w:r>
    </w:p>
    <w:p>
      <w:r>
        <w:rPr>
          <w:rFonts w:ascii="Times New Roman" w:hAnsi="Times New Roman" w:eastAsia="宋体"/>
          <w:b w:val="0"/>
          <w:i w:val="0"/>
          <w:sz w:val="22"/>
        </w:rPr>
        <w:t>摘要：主权债务困境的全球治理被普遍认为受到已成为全球最大官方双边债权人的中国的威胁。在应对全球南方2020年后的债务危机中，中国削弱了以IMF和巴黎俱乐部为主导的既定方法，许多人视之为北京挑战美国主导的自由国际秩序的又一证据。然而中国并未提出有意义的替代方案，其行为可以说损害了而非推进了北京的全球地位与战略利益；而且中国积极参与大量借鉴巴黎俱乐部规则的G20框架，比巴黎俱乐部成员国更坚决地坚持与其他债权人的“可比待遇”。因此其行为显得矛盾、不连贯，而非战略选择的体现。本文用“国家转型路径”解释这一现象：将中国党国视为一个松散协调、高度竞争、追求可能相互矛盾利益的行为体集合，而非战略性的单一行为体。这解释了为何中国商业贷款方在债务危机中成功维护了自身利益，代价是其他债权人和北京更广泛的地缘政治利益。</w:t>
      </w:r>
    </w:p>
    <w:p>
      <w:r>
        <w:rPr>
          <w:rFonts w:ascii="Times New Roman" w:hAnsi="Times New Roman" w:eastAsia="宋体"/>
          <w:b w:val="0"/>
          <w:i w:val="0"/>
          <w:sz w:val="20"/>
        </w:rPr>
        <w:t>The global governance of sovereign debt distress is widely understood to be under threat from China, which has risen to become the world’s largest official bilateral creditor. In response to the Global South’s post-2020 debt crisis, China has undermined established approaches led by the International Monetary Fund and the Paris Club, with many seeing this as further evidence of Beijing’s challenge to the US-led liberal international order. Yet, China has proposed no meaningful alternative to the existing regime, and its behaviour has arguably undermined Beijing’s global standing, rather than advancing its strategic interests. Moreover, China has actively participated in Group of 20 frameworks drawing heavily on Paris Club rules, and insists more resolutely on ‘comparable treatment’ with other creditors than Paris Club member-states. Its behaviour therefore seems contradictory and incoherent, rather than reflecting a strategic choice. This article explains this using the State Transformation Approach, which sees the Chinese party-state not as a strategic, unitary actor but as a loosely coordinated, highly contested array of agents pursuing potentially contradictory interests. This explains why China’s commercial lenders have successfully safeguarded their interests during the debt crisis, at the expense of other creditors and Beijing’s wider geopolitical interests.</w:t>
      </w:r>
    </w:p>
    <w:p/>
    <w:p>
      <w:r>
        <w:rPr>
          <w:rFonts w:ascii="Times New Roman" w:hAnsi="Times New Roman" w:eastAsia="黑体"/>
          <w:b/>
          <w:i w:val="0"/>
          <w:sz w:val="24"/>
        </w:rPr>
        <w:t>华尔街在中国：地缘政治时代全球金融的可塑性</w:t>
      </w:r>
    </w:p>
    <w:p>
      <w:r>
        <w:rPr>
          <w:rFonts w:ascii="Times New Roman" w:hAnsi="Times New Roman" w:eastAsia="宋体"/>
          <w:b w:val="0"/>
          <w:i/>
          <w:color w:val="404040"/>
          <w:sz w:val="20"/>
        </w:rPr>
        <w:t>Wall Street in China: the malleability of global finance in the age of geopolitics</w:t>
      </w:r>
    </w:p>
    <w:p>
      <w:r>
        <w:rPr>
          <w:rFonts w:ascii="Times New Roman" w:hAnsi="Times New Roman" w:eastAsia="宋体"/>
          <w:b w:val="0"/>
          <w:i w:val="0"/>
          <w:color w:val="595959"/>
          <w:sz w:val="18"/>
        </w:rPr>
        <w:t>Johannes Petry（Institute of Political Science, Goethe University Frankfurt）</w:t>
      </w:r>
    </w:p>
    <w:p>
      <w:r>
        <w:rPr>
          <w:rFonts w:ascii="Times New Roman" w:hAnsi="Times New Roman" w:eastAsia="宋体"/>
          <w:b w:val="0"/>
          <w:i w:val="0"/>
          <w:sz w:val="22"/>
        </w:rPr>
        <w:t>摘要：近年来全球金融机构大幅扩展在华业务。这种日益加深的纠缠发生在一个自由的、美国主导的全球金融秩序情境中，其规范与权力格局主要由私人金融行为体推动；而历史上中国资本市场在国家资本主义经济体制中发展，与全球市场显著不同。鉴于这些组织金融方式的分歧，本文研究中国在日益金融开放中与全球金融秩序的关系：中国是否接受了自由主义规范和当代秩序的权力格局？还是私人金融迁就了中国的非自由规范，从而影响美国权力？本文首先说明中国对全球金融秩序的抵制——拒绝其原则、维持国家资本主义原则；进而分析全球金融的可塑性：即便在地缘政治紧张加剧之际，私人金融行为体与中国的接触日益妥协于自由规范和美国权力。中国并未积极寻求取代既有制度，但随着华尔街迁就中国的替代市场组织模式，全球金融秩序被重构。</w:t>
      </w:r>
    </w:p>
    <w:p>
      <w:r>
        <w:rPr>
          <w:rFonts w:ascii="Times New Roman" w:hAnsi="Times New Roman" w:eastAsia="宋体"/>
          <w:b w:val="0"/>
          <w:i w:val="0"/>
          <w:sz w:val="20"/>
        </w:rPr>
        <w:t>In recent years, global financial firms have greatly expanded their business activities in China. This growing entanglement took place within the context of a liberal, US-dominated global financial order (GFO) whose norms and power constellations are largely facilitated by private financial actors. Historically, however, Chinese capital markets developed within the context of a state-capitalist economic system and significantly differed from global markets. Given these diverging ways of organizing finance, this paper investigates China’s relationship with the GFO amidst this increasing financial opening. Has China adopted liberal norms and accepted the contemporary order’s power constellations? Or has private finance accommodated China’s non-liberal norms with implications for US power? The paper first illustrates China’s resistance towards the GFO, rejecting its principles and maintaining state-capitalist principles. Moreover, it analyses the malleability of global finance as private financial actors’ China engagement increasingly compromises liberal norms and US power even amidst growing geopolitical tensions. While China does not actively seek to replace existing institutions, the global financial order is reconfigured as Wall Street accommodates China’s alternative model of market organisation. More broadly, the paper points towards a need for analysing other actors’ reactions towards China’s rise to understand its impact on global economic governance.</w:t>
      </w:r>
    </w:p>
    <w:p/>
    <w:p>
      <w:r>
        <w:rPr>
          <w:rFonts w:ascii="Times New Roman" w:hAnsi="Times New Roman" w:eastAsia="黑体"/>
          <w:b/>
          <w:i w:val="0"/>
          <w:sz w:val="24"/>
        </w:rPr>
        <w:t>竞争性基础设施投资的扩散：效仿与学习中国</w:t>
      </w:r>
    </w:p>
    <w:p>
      <w:r>
        <w:rPr>
          <w:rFonts w:ascii="Times New Roman" w:hAnsi="Times New Roman" w:eastAsia="宋体"/>
          <w:b w:val="0"/>
          <w:i/>
          <w:color w:val="404040"/>
          <w:sz w:val="20"/>
        </w:rPr>
        <w:t>Competitive infrastructure investment diffusion: emulating and learning from China</w:t>
      </w:r>
    </w:p>
    <w:p>
      <w:r>
        <w:rPr>
          <w:rFonts w:ascii="Times New Roman" w:hAnsi="Times New Roman" w:eastAsia="宋体"/>
          <w:b w:val="0"/>
          <w:i w:val="0"/>
          <w:color w:val="595959"/>
          <w:sz w:val="18"/>
        </w:rPr>
        <w:t>Yukyung Yeo（Department of International Studies, Kyung Hee University）</w:t>
      </w:r>
    </w:p>
    <w:p>
      <w:r>
        <w:rPr>
          <w:rFonts w:ascii="Times New Roman" w:hAnsi="Times New Roman" w:eastAsia="宋体"/>
          <w:b w:val="0"/>
          <w:i w:val="0"/>
          <w:sz w:val="22"/>
        </w:rPr>
        <w:t>摘要：自2000年代中期以来，国际发展日益强调硬基础设施项目，偏离了社会与人类发展的传统优先事项。由此产生关键问题：什么解释基础设施项目及相关贷款在区域间的扩散？什么驱动传统贷方偏好与政策的变化，它们如何适应中国崛起塑造的地缘政治格局？现有发展融资研究广泛考察了中国在该领域的战略与影响，但较少关注传统贷方对中国全球基础设施倡议的回应。本研究采用并推进国际扩散理论作为分析框架，探讨传统贷方如何选择性地学习并隐性效仿中国做法，以在不断演变的发展融资格局中保持竞争力。</w:t>
      </w:r>
    </w:p>
    <w:p>
      <w:r>
        <w:rPr>
          <w:rFonts w:ascii="Times New Roman" w:hAnsi="Times New Roman" w:eastAsia="宋体"/>
          <w:b w:val="0"/>
          <w:i w:val="0"/>
          <w:sz w:val="20"/>
        </w:rPr>
        <w:t>Since the mid-2000s, international development has seen a growing emphasis on hard infrastructure projects, marking a shift away from traditional priorities in social and human development. This raises critical question: What explains the diffusion of infrastructure projects and the associated lending across regions? What drives changes in the preferences and policies of traditional lenders, and how have they adapted to the shifting geopolitical landscape shaped by China’s rise? While existing studies on development finance have extensively examined China’s strategies and influence within the regime, less attention has been given to the responses of traditional lenders to China’s global infrastructure initiatives. This study addresses this gap by employing and advancing international diffusion theory as an analytic framework. It explores how traditional lenders selectively learn from and implicitly emulate Chinese practices to maintain competitiveness within the evolving development finance landscape.</w:t>
      </w:r>
    </w:p>
    <w:p/>
    <w:p>
      <w:r>
        <w:rPr>
          <w:rFonts w:ascii="Times New Roman" w:hAnsi="Times New Roman" w:eastAsia="黑体"/>
          <w:b/>
          <w:i w:val="0"/>
          <w:sz w:val="24"/>
        </w:rPr>
        <w:t>社会化、政策机遇与官僚议价：解释中国参与多边债务重组的曲折进程</w:t>
      </w:r>
    </w:p>
    <w:p>
      <w:r>
        <w:rPr>
          <w:rFonts w:ascii="Times New Roman" w:hAnsi="Times New Roman" w:eastAsia="宋体"/>
          <w:b w:val="0"/>
          <w:i/>
          <w:color w:val="404040"/>
          <w:sz w:val="20"/>
        </w:rPr>
        <w:t>Socialisation, policy opportunity, and bureaucratic bargaining: explaining China’s zig-zag engagement with multilateral debt restructuring</w:t>
      </w:r>
    </w:p>
    <w:p>
      <w:r>
        <w:rPr>
          <w:rFonts w:ascii="Times New Roman" w:hAnsi="Times New Roman" w:eastAsia="宋体"/>
          <w:b w:val="0"/>
          <w:i w:val="0"/>
          <w:color w:val="595959"/>
          <w:sz w:val="18"/>
        </w:rPr>
        <w:t>Yufan Huang（Department of Government, Cornell University）；Deborah Brautigam（School of Advanced International Studies, Johns Hopkins University）</w:t>
      </w:r>
    </w:p>
    <w:p>
      <w:r>
        <w:rPr>
          <w:rFonts w:ascii="Times New Roman" w:hAnsi="Times New Roman" w:eastAsia="宋体"/>
          <w:b w:val="0"/>
          <w:i w:val="0"/>
          <w:sz w:val="22"/>
        </w:rPr>
        <w:t>摘要：学者长期争论中国等新兴大国如何参与全球治理机制。本文提出一个解释中国参与模式非连续变化的框架，以中国参与G20—巴黎俱乐部“暂停偿债倡议”和“债务处理共同框架”为案例。基于档案、新数据和170多次访谈，研究发现随着更多中国官员被社会化进入该机制，中国与现有国际机制的合作程度提高，但这可能是缓慢过程。从外部看中国行为令人困惑：国家作出国际合作新承诺却似乎随后违背。作者将这种“之字形”行为解释为不均衡社会化、政策机遇与官僚议价相互作用的结果。因此遵约问题可被视为将中国纳入多边债务重组机制进程的一部分，而非倒退。</w:t>
      </w:r>
    </w:p>
    <w:p>
      <w:r>
        <w:rPr>
          <w:rFonts w:ascii="Times New Roman" w:hAnsi="Times New Roman" w:eastAsia="宋体"/>
          <w:b w:val="0"/>
          <w:i w:val="0"/>
          <w:sz w:val="20"/>
        </w:rPr>
        <w:t>Scholars have long debated how emerging powers like China engage with global governance regimes. This paper contributes to the debate by suggesting a framework for discontinuous change of China’s engagement mode. We use China’s participation in the Group of Twenty (G20)-Paris Club Debt Service Suspension Initiative (DSSI) and the Common Framework for Debt Treatments (Common Framework or CF), as a case study. Drawing on archives, new data and over 170 interviews, our findings suggest that China became more cooperative with the existing international regime as more Chinese bureaucrats were socialised into the regime. But this can be a slow process. Observed from outside, Chinese behavior can be confusing: The state makes a new commitment to international cooperation but then appears to renege on that commitment. We explain this ‘zig-zag’ behavior as the result of an interplay between uneven socialisation, policy opportunity, and bureaucratic bargaining. The compliance problem can therefore be seen as part of the progress rather than a setback of integrating China into the multilateral regime. Only when the majority of Chinese officials are socialised and when bureaucratic and banking interests are realigned through domestic reforms, can we expect full cooperation from China with the multilateral regime.</w:t>
      </w:r>
    </w:p>
    <w:p/>
    <w:p>
      <w:r>
        <w:rPr>
          <w:rFonts w:ascii="Times New Roman" w:hAnsi="Times New Roman" w:eastAsia="黑体"/>
          <w:b/>
          <w:i w:val="0"/>
          <w:sz w:val="24"/>
        </w:rPr>
        <w:t>分解中国：分析在非中国民营企业的关系性方法</w:t>
      </w:r>
    </w:p>
    <w:p>
      <w:r>
        <w:rPr>
          <w:rFonts w:ascii="Times New Roman" w:hAnsi="Times New Roman" w:eastAsia="宋体"/>
          <w:b w:val="0"/>
          <w:i/>
          <w:color w:val="404040"/>
          <w:sz w:val="20"/>
        </w:rPr>
        <w:t>Fragmenting China: a relational approach to analyzing Chinese private companies in Africa</w:t>
      </w:r>
    </w:p>
    <w:p>
      <w:r>
        <w:rPr>
          <w:rFonts w:ascii="Times New Roman" w:hAnsi="Times New Roman" w:eastAsia="宋体"/>
          <w:b w:val="0"/>
          <w:i w:val="0"/>
          <w:color w:val="595959"/>
          <w:sz w:val="18"/>
        </w:rPr>
        <w:t>Yujun Zou（Economics &amp; Technology Research Institute, CNPC）；Lina Benabdallah（Politics and International Affairs, Wake Forest University）</w:t>
      </w:r>
    </w:p>
    <w:p>
      <w:r>
        <w:rPr>
          <w:rFonts w:ascii="Times New Roman" w:hAnsi="Times New Roman" w:eastAsia="宋体"/>
          <w:b w:val="0"/>
          <w:i w:val="0"/>
          <w:sz w:val="22"/>
        </w:rPr>
        <w:t>摘要：许多试图将中国定位为“修正主义”或“维持现状”大国的国际关系争论忽视了一个要点：中国的全球行为发生在东道国产业政策、多边制度以及国有和民营企业交织的复杂关系网络中。为此本文提出三点干预：第一，表明全球南方国家积极塑造并促成中国企业成为全球大玩家；第二，指出因果式影响分析在南方行为体能动性与中国全球经济参与方面的局限，主张关系性影响路径；第三，强调研究民营企业对以政府和制度为中心分析的必要矫正。通过研究中国民营企业Sunmaker进入乌干达油气产业的案例，本文为理解全球南方行为体如何塑造中国的全球经济治理观提供了深入分析路径。</w:t>
      </w:r>
    </w:p>
    <w:p>
      <w:r>
        <w:rPr>
          <w:rFonts w:ascii="Times New Roman" w:hAnsi="Times New Roman" w:eastAsia="宋体"/>
          <w:b w:val="0"/>
          <w:i w:val="0"/>
          <w:sz w:val="20"/>
        </w:rPr>
        <w:t>Many International Relations (IR) debates seeking to situate China either as ‘revisionist’ or a ‘status-quo’ power miss an important point. China’s global behavior – wherever it may fall on the spectrum of cooperation to resistance – occurs within a complex network of relations involving host government industrial policies, multilateral institutions, and a mix of state-owned and private enterprises. To redress this shortcoming, this article makes three interventions. First, it shows how Global South states actively shape and contribute to the making of Chinese enterprises into the big global players they have become. Second, it demonstrates the limitations of the causal approach to influence when it comes to the agency of Global South actors and China’s engagements in the global economy and argues in favor of a relational approach to influence. Third, it stresses the importance of looking at private companies provides a necessary corrective government- and institution-focused analyses. By studying the case of Chinese private company Sunmaker and its entry in Uganda’s oil and gas industry, we offer a necessary in-depth analytical approach to understanding how China’s views on global economic governance are shaped by Global South actors.</w:t>
      </w:r>
    </w:p>
    <w:p/>
    <w:p>
      <w:r>
        <w:rPr>
          <w:rFonts w:ascii="Times New Roman" w:hAnsi="Times New Roman" w:eastAsia="黑体"/>
          <w:b/>
          <w:i w:val="0"/>
          <w:sz w:val="24"/>
        </w:rPr>
        <w:t>国际关系中的群内惩罚：美国对中国创建亚投行的反应</w:t>
      </w:r>
    </w:p>
    <w:p>
      <w:r>
        <w:rPr>
          <w:rFonts w:ascii="Times New Roman" w:hAnsi="Times New Roman" w:eastAsia="宋体"/>
          <w:b w:val="0"/>
          <w:i/>
          <w:color w:val="404040"/>
          <w:sz w:val="20"/>
        </w:rPr>
        <w:t>In-group punishment in international relations: US reactions to the founding of China’s AIIB</w:t>
      </w:r>
    </w:p>
    <w:p>
      <w:r>
        <w:rPr>
          <w:rFonts w:ascii="Times New Roman" w:hAnsi="Times New Roman" w:eastAsia="宋体"/>
          <w:b w:val="0"/>
          <w:i w:val="0"/>
          <w:color w:val="595959"/>
          <w:sz w:val="18"/>
        </w:rPr>
        <w:t>Jing Qian（Division of Arts and Sciences, New York University Shanghai）；James Raymond Vreeland（Department of Politics and School of Public and International Affairs, Princeton University）；Jianzhi Zhao（Department of Social and Political Sciences, Philosophy, and Anthropology, University of Exeter）</w:t>
      </w:r>
    </w:p>
    <w:p>
      <w:r>
        <w:rPr>
          <w:rFonts w:ascii="Times New Roman" w:hAnsi="Times New Roman" w:eastAsia="宋体"/>
          <w:b w:val="0"/>
          <w:i w:val="0"/>
          <w:sz w:val="22"/>
        </w:rPr>
        <w:t>摘要：作者在国际关系情境中检验社会心理学关于“对挑衅的惩罚更可能针对群内而非群外成员”的假说。美国公开反对亚洲基础设施投资银行成立并施压各国不要加入这一中国主导的机构，但仍有57国成为这一潜在竞争者的创始成员。为检验美国是否惩罚群内而非群外国家的挑衅，作者利用美国在世界银行执行董事投票行为的独特数据集，发现美国只对与其关系更近的亚投行创始成员更可能不支持新项目，对关系较远的创始成员则无惩罚。鉴于几乎所有提案无论美国支持与否都会获批，这种惩罚似乎仅是姿态性的，而美国如此审慎地施加惩罚更令人意外，作者推测这是专门针对群内国家的不满信号。</w:t>
      </w:r>
    </w:p>
    <w:p>
      <w:r>
        <w:rPr>
          <w:rFonts w:ascii="Times New Roman" w:hAnsi="Times New Roman" w:eastAsia="宋体"/>
          <w:b w:val="0"/>
          <w:i w:val="0"/>
          <w:sz w:val="20"/>
        </w:rPr>
        <w:t>We examine, in the context of international relations, the hypothesis from social psychology that punishment for defiance is more likely for in-group than out-group members. The United States publicly opposed the founding of the Asian Infrastructure Investment Bank (AIIB) and pressured countries not to join the Chinese-led institution. Nevertheless, 57 countries became founding members of this new development bank—a potential competitor of the US-led World Bank. To test whether the United States punished in-group rather than out- group countries for their defiance, we consider a unique dataset on the voting behavior of the US executive director at the World Bank. We find that the United States is more likely to withhold support for new projects only for AIIB founding members that are closer to the United States, with no punishment for the more distant founders. Considering that almost all proposals are approved regardless of US support, the punishment appears merely gestural, making it even more surprising that the United States imposes it so judiciously. We suspect the action serves as a signal of discontent specifically directly toward in-group countries.</w:t>
      </w:r>
    </w:p>
    <w:p/>
    <w:p>
      <w:r>
        <w:rPr>
          <w:rFonts w:ascii="Times New Roman" w:hAnsi="Times New Roman" w:eastAsia="黑体"/>
          <w:b/>
          <w:i w:val="0"/>
          <w:sz w:val="24"/>
        </w:rPr>
        <w:t>恩格斯论发展与自然：超越西方马克思主义重思生态</w:t>
      </w:r>
    </w:p>
    <w:p>
      <w:r>
        <w:rPr>
          <w:rFonts w:ascii="Times New Roman" w:hAnsi="Times New Roman" w:eastAsia="宋体"/>
          <w:b w:val="0"/>
          <w:i/>
          <w:color w:val="404040"/>
          <w:sz w:val="20"/>
        </w:rPr>
        <w:t>Friedrich Engels on development and nature: rethinking ecology beyond Western Marxism</w:t>
      </w:r>
    </w:p>
    <w:p>
      <w:r>
        <w:rPr>
          <w:rFonts w:ascii="Times New Roman" w:hAnsi="Times New Roman" w:eastAsia="宋体"/>
          <w:b w:val="0"/>
          <w:i w:val="0"/>
          <w:color w:val="595959"/>
          <w:sz w:val="18"/>
        </w:rPr>
        <w:t>Martín Arboleda（School of Sociology, Universidad Diego Portales）</w:t>
      </w:r>
    </w:p>
    <w:p>
      <w:r>
        <w:rPr>
          <w:rFonts w:ascii="Times New Roman" w:hAnsi="Times New Roman" w:eastAsia="宋体"/>
          <w:b w:val="0"/>
          <w:i w:val="0"/>
          <w:sz w:val="22"/>
        </w:rPr>
        <w:t>摘要：【摘译】通过对恩格斯晚期思想新诠释与其在拉美接受的语境化讨论，本文重构其生态发展理论，指出其多线性历史观曾帮助拉美马克思主义挑战以增长或现代化界定发展的主流理论。</w:t>
      </w:r>
    </w:p>
    <w:p>
      <w:r>
        <w:rPr>
          <w:rFonts w:ascii="Times New Roman" w:hAnsi="Times New Roman" w:eastAsia="宋体"/>
          <w:b w:val="0"/>
          <w:i w:val="0"/>
          <w:sz w:val="20"/>
        </w:rPr>
        <w:t>This article reconstructs the theory of ecological development that underlies the mature intellectual production of Friedrich Engels. It does so by means of a dialogue between recent scholarly interpretations of his thought, on the one hand, and a contextualized discussion of its reception in Latin America, on the other. Published in the aftermath of the Cuban Revolution, the mature work of Engels enabled Latin American Marxism to challenge mainstream theories of development that framed this concept in terms of mere growth or modernization, and to provide a multilinear understanding of historical and technological change in modern societies. For Engels, the (eco)socialist development of the forces of production would require the construction of a mass movement against capital. Accordingly, the article also unearths his writings on political strategy, and discusses the ways in which they informed anti-dictatorial struggles in Latin America. By bringing together the economic and the political underpinnings of an Engelsian theory of development, the article rethinks ecological socialism beyond Western Marxism – especially after its shift towards degrowth – and points at its implications for building an environmental politics of the working class.</w:t>
      </w:r>
    </w:p>
    <w:p/>
    <w:p>
      <w:r>
        <w:rPr>
          <w:rFonts w:ascii="Times New Roman" w:hAnsi="Times New Roman" w:eastAsia="黑体"/>
          <w:b/>
          <w:i w:val="0"/>
          <w:sz w:val="24"/>
        </w:rPr>
        <w:t>服务于反革命的货币方略：海湾君主国向阿拉伯国家央行的存款（1998—2022）</w:t>
      </w:r>
    </w:p>
    <w:p>
      <w:r>
        <w:rPr>
          <w:rFonts w:ascii="Times New Roman" w:hAnsi="Times New Roman" w:eastAsia="宋体"/>
          <w:b w:val="0"/>
          <w:i/>
          <w:color w:val="404040"/>
          <w:sz w:val="20"/>
        </w:rPr>
        <w:t>Monetary statecraft in the service of counter-revolution: Gulf monarchies’ deposits to Arab states’ central banks 1998–2022</w:t>
      </w:r>
    </w:p>
    <w:p>
      <w:r>
        <w:rPr>
          <w:rFonts w:ascii="Times New Roman" w:hAnsi="Times New Roman" w:eastAsia="宋体"/>
          <w:b w:val="0"/>
          <w:i w:val="0"/>
          <w:color w:val="595959"/>
          <w:sz w:val="18"/>
        </w:rPr>
        <w:t>Hannes Baumann（Department of Politics, University of Liverpool）</w:t>
      </w:r>
    </w:p>
    <w:p>
      <w:r>
        <w:rPr>
          <w:rFonts w:ascii="Times New Roman" w:hAnsi="Times New Roman" w:eastAsia="宋体"/>
          <w:b w:val="0"/>
          <w:i w:val="0"/>
          <w:sz w:val="22"/>
        </w:rPr>
        <w:t>摘要：自2011年以来，海湾合作委员会君主国向其他阿拉伯国家央行存入数百亿美元以支撑受援国货币。海合会货币本身并不具备实施此类货币方略的“货币权力”，海湾君主国使用的是“石油美元”。此前分析发现1970—80年代的石油美元“回流”受“霸权之看不见的手”引导服务于美国帝国，而近期海湾货币方略的性质不同。作者汇编海合会国家在其他阿拉伯国家央行存款的数据集，以阿尔米霍和片田的金融方略分类为框架分析其政治，发现这些存款是旨在影响受援国政治的进攻性双边金融方略；其效果并非体系性的：存款再生产了美元作为储备货币的全球角色，捐助方也基本与IMF协同；但海湾国家是将石油美元用于自身的地区政治议程而非华盛顿设定的目标——这是服务于对阿拉伯起义的反革命的货币方略。</w:t>
      </w:r>
    </w:p>
    <w:p>
      <w:r>
        <w:rPr>
          <w:rFonts w:ascii="Times New Roman" w:hAnsi="Times New Roman" w:eastAsia="宋体"/>
          <w:b w:val="0"/>
          <w:i w:val="0"/>
          <w:sz w:val="20"/>
        </w:rPr>
        <w:t>Gulf Cooperation Council (GCC) monarchies have deposited several tens of billions of dollars in other Arab states’ central banks since 2011 to prop up recipients’ currencies. GCC currencies do not themselves have the ‘currency power’ for the exercise of such monetary statecraft. Gulf monarchies deploy ‘petro-dollars’. Previous analyses had found that petro-dollar ‘recycling’ in the 1970s and 1980s had been directed by ‘the hidden hand of hegemony’ to serve US empire. The character of recent exercises of Gulf monetary statecraft differs. I compile a dataset of GCC states’ deposits in other Arab states’ central banks and analyse their politics using Armijo and Katada’s taxonomy of financial statecraft as an analytical framework. Gulf deposits to Arab states’ central banks were instances of offensive and bilateral financial statecraft aimed at influencing politics in recipient states. The effect of monetary statecraft was not systemic: Deposits reproduced the global role of the dollar as a reserve currency and donors largely worked in tandem with the International Monetary Fund. Yet the Gulf states were deploying their petro-dollars for their own regional political agenda rather than goals defined by Washington: This was monetary statecraft in the service of counter-revolution to the Arab uprisings.</w:t>
      </w:r>
    </w:p>
    <w:p/>
    <w:p>
      <w:r>
        <w:rPr>
          <w:rFonts w:ascii="Times New Roman" w:hAnsi="Times New Roman" w:eastAsia="黑体"/>
          <w:b/>
          <w:i w:val="0"/>
          <w:sz w:val="24"/>
        </w:rPr>
        <w:t>贸易冲击与相对消费：欧洲中产阶级为何转向极右</w:t>
      </w:r>
    </w:p>
    <w:p>
      <w:r>
        <w:rPr>
          <w:rFonts w:ascii="Times New Roman" w:hAnsi="Times New Roman" w:eastAsia="宋体"/>
          <w:b w:val="0"/>
          <w:i/>
          <w:color w:val="404040"/>
          <w:sz w:val="20"/>
        </w:rPr>
        <w:t>Trade shocks and relative consumption: why the European middle class is turning far right</w:t>
      </w:r>
    </w:p>
    <w:p>
      <w:r>
        <w:rPr>
          <w:rFonts w:ascii="Times New Roman" w:hAnsi="Times New Roman" w:eastAsia="宋体"/>
          <w:b w:val="0"/>
          <w:i w:val="0"/>
          <w:color w:val="595959"/>
          <w:sz w:val="18"/>
        </w:rPr>
        <w:t>Benedicta Marzinotto（Johns Hopkins University School of Advanced International Studies (SAIS); Department of Economics and Statistics, University of Udine）</w:t>
      </w:r>
    </w:p>
    <w:p>
      <w:r>
        <w:rPr>
          <w:rFonts w:ascii="Times New Roman" w:hAnsi="Times New Roman" w:eastAsia="宋体"/>
          <w:b w:val="0"/>
          <w:i w:val="0"/>
          <w:sz w:val="22"/>
        </w:rPr>
        <w:t>摘要：【摘译】作者认为来自中国等低质生产者的进口冲击使穷人受益、中产受损，中产相对底层的“消费剥夺感”提升极右支持；基于2002—2014年18国欧洲社会调查，该联系在高收入西欧经济体尤其强。</w:t>
      </w:r>
    </w:p>
    <w:p>
      <w:r>
        <w:rPr>
          <w:rFonts w:ascii="Times New Roman" w:hAnsi="Times New Roman" w:eastAsia="宋体"/>
          <w:b w:val="0"/>
          <w:i w:val="0"/>
          <w:sz w:val="20"/>
        </w:rPr>
        <w:t>This paper relates radical right political preferences to changes in relative consumption stemming from European countries’ trade exposure to low-quality producers (e.g. China). The availability of more affordable varieties benefits the poor, while middle-income groups stand to lose from such import shocks. Their consumption deprivation awakens the perception of losing out relative to other once marginalised groups in the same society, increasing support for far-right parties and their substantive electoral platforms. I empirically explore this hypothesis by relating measures of the consumption deprivation of the middle class relative to the lower bottom of the income distribution to survey-based data from the European Social Survey (ESS) on a sample of 18 European countries over 2002- 2014. The link to far-right support is present and especially strong in higher-income Western European economies, which are generally more exposed to the unequal gains from trade.</w:t>
      </w:r>
    </w:p>
    <w:p/>
    <w:p>
      <w:r>
        <w:rPr>
          <w:rFonts w:ascii="Times New Roman" w:hAnsi="Times New Roman" w:eastAsia="黑体"/>
          <w:b/>
          <w:i w:val="0"/>
          <w:sz w:val="24"/>
        </w:rPr>
        <w:t>国际护士的“伦理招聘”：德国的自由主义医护人员汲取主义</w:t>
      </w:r>
    </w:p>
    <w:p>
      <w:r>
        <w:rPr>
          <w:rFonts w:ascii="Times New Roman" w:hAnsi="Times New Roman" w:eastAsia="宋体"/>
          <w:b w:val="0"/>
          <w:i/>
          <w:color w:val="404040"/>
          <w:sz w:val="20"/>
        </w:rPr>
        <w:t>The ‘ethical recruitment’ of international nurses: Germany’s liberal health worker extractivism</w:t>
      </w:r>
    </w:p>
    <w:p>
      <w:r>
        <w:rPr>
          <w:rFonts w:ascii="Times New Roman" w:hAnsi="Times New Roman" w:eastAsia="宋体"/>
          <w:b w:val="0"/>
          <w:i w:val="0"/>
          <w:color w:val="595959"/>
          <w:sz w:val="18"/>
        </w:rPr>
        <w:t>Tine Hanrieder（Department of International Development, London School of Economics and Political Science）；Leon Janauschek（LSE Health, London School of Economics and Political Science）</w:t>
      </w:r>
    </w:p>
    <w:p>
      <w:r>
        <w:rPr>
          <w:rFonts w:ascii="Times New Roman" w:hAnsi="Times New Roman" w:eastAsia="宋体"/>
          <w:b w:val="0"/>
          <w:i w:val="0"/>
          <w:sz w:val="22"/>
        </w:rPr>
        <w:t>摘要：【摘译】作者分析德国国际护士“伦理招聘”，发现其是基本自愿的保护与关怀机制，合法化了从全球南方汲取医护人员，掩盖国家间与工人间的结构性不平等，形成“自由主义医护汲取主义”。</w:t>
      </w:r>
    </w:p>
    <w:p>
      <w:r>
        <w:rPr>
          <w:rFonts w:ascii="Times New Roman" w:hAnsi="Times New Roman" w:eastAsia="宋体"/>
          <w:b w:val="0"/>
          <w:i w:val="0"/>
          <w:sz w:val="20"/>
        </w:rPr>
        <w:t>International institutions increasingly promote ‘ethical recruitment’ as a standard for health worker migration from poor to rich countries. We analyze how this notion is interpreted in a country considered to be an exemplary, ‘ethical’ recruiter of international nurses. In Germany, international nurse recruitment initiatives are proliferating, and programs such as the public Triple Win scheme and a private-sector voluntary fairness certificate promise gains to all participating actors. We find that ‘ethical recruitment’ is a regime of largely voluntary protection of and care for migrant workers, which legitimizes the extraction of health workers from the Global South but hides underlying structural inequalities between countries and workers. Gains for sending countries are postulated, yet de facto merely assumed to happen through remittances, and developmental demands by sending countries remain unaddressed despite talk about circular migration and support for health systems. In short, ‘ethics’ facilitates a regime of liberal health worker extractivism: This regime recognizes individual rights (however imperfectly) but disregards developmental and social rights, and it limits state intervention to market facilitation and soft regulation. We draw on primary sources including documents retrieved through freedom of information requests, and over thirty interviews with recruiters, regulators, employers, unionists, and civil society experts.</w:t>
      </w:r>
    </w:p>
    <w:p/>
    <w:p>
      <w:r>
        <w:rPr>
          <w:rFonts w:ascii="Times New Roman" w:hAnsi="Times New Roman" w:eastAsia="黑体"/>
          <w:b/>
          <w:i w:val="0"/>
          <w:sz w:val="24"/>
        </w:rPr>
        <w:t>数字企业自主：冲突与竞争中的地缘经济与企业能动性</w:t>
      </w:r>
    </w:p>
    <w:p>
      <w:r>
        <w:rPr>
          <w:rFonts w:ascii="Times New Roman" w:hAnsi="Times New Roman" w:eastAsia="宋体"/>
          <w:b w:val="0"/>
          <w:i/>
          <w:color w:val="404040"/>
          <w:sz w:val="20"/>
        </w:rPr>
        <w:t>Digital corporate autonomy: geo-economics and corporate agency in conflict and competition</w:t>
      </w:r>
    </w:p>
    <w:p>
      <w:r>
        <w:rPr>
          <w:rFonts w:ascii="Times New Roman" w:hAnsi="Times New Roman" w:eastAsia="宋体"/>
          <w:b w:val="0"/>
          <w:i w:val="0"/>
          <w:color w:val="595959"/>
          <w:sz w:val="18"/>
        </w:rPr>
        <w:t>Dennis Broeders（Institute of Security and Global Affairs, Leiden University）；Arun Sukumar（Department of International Relations, Ashoka University）；Monica Kello（Department of War Studies, King’s College London）；Lise H. Andersen（Institute of Security and Global Affairs, Leiden University）</w:t>
      </w:r>
    </w:p>
    <w:p>
      <w:r>
        <w:rPr>
          <w:rFonts w:ascii="Times New Roman" w:hAnsi="Times New Roman" w:eastAsia="宋体"/>
          <w:b w:val="0"/>
          <w:i w:val="0"/>
          <w:sz w:val="22"/>
        </w:rPr>
        <w:t>摘要：【摘译】作者批评国家中心的地缘经济理论假设企业服从政府，提出“数字企业自主”概念——基于基础设施权力与国际体系非正式化，并以大科技公司介入乌克兰战争及美日荷半导体联盟中的企业操作为例。</w:t>
      </w:r>
    </w:p>
    <w:p>
      <w:r>
        <w:rPr>
          <w:rFonts w:ascii="Times New Roman" w:hAnsi="Times New Roman" w:eastAsia="宋体"/>
          <w:b w:val="0"/>
          <w:i w:val="0"/>
          <w:sz w:val="20"/>
        </w:rPr>
        <w:t>Many argue that we have entered a new era of international ‘geoeconomic’ relations. Looking at western geoeconomic measures in the digital economy, we specifically focus on the role and agency of private companies in relation to geoeconomic policymaking, and take issue with state-centred international relations (IR) theory on geoeconomics that tends to assume company compliance with government policy. We contend that corporate agency is crucial to understanding the dynamics of geoeconomic policymaking and implementation, especially in the digital domain where tech companies have accrued unprecedented power and position. We introduce the notion of Digital Corporate Autonomy as a characteristic of these companies, which is built on their infrastructural power and facilitated by the increasing informality in the international system. Using this framework, we study the involvement of Big Tech companies in the war in Ukraine and corporate manoeuvring in relation to the United States-Japan-Netherlands semiconductor coalition, against the background of rising Sino-American tensions. Our analysis reveals a broad spectrum of government-corporate interaction and a high level of digital corporate autonomy set against the contexts of war – the height of statecraft – and hegemonic rivalry. We conclude that digital corporate autonomy underlines the importance of scholarly attention to corporate agency and behaviour.</w:t>
      </w:r>
    </w:p>
    <w:p/>
    <w:p>
      <w:r>
        <w:rPr>
          <w:rFonts w:ascii="Times New Roman" w:hAnsi="Times New Roman" w:eastAsia="黑体"/>
          <w:b/>
          <w:i w:val="0"/>
          <w:sz w:val="24"/>
        </w:rPr>
        <w:t>合成转型：化石燃料作为原料的政治经济学</w:t>
      </w:r>
    </w:p>
    <w:p>
      <w:r>
        <w:rPr>
          <w:rFonts w:ascii="Times New Roman" w:hAnsi="Times New Roman" w:eastAsia="宋体"/>
          <w:b w:val="0"/>
          <w:i/>
          <w:color w:val="404040"/>
          <w:sz w:val="20"/>
        </w:rPr>
        <w:t>Synthetic transitions: the political economy of fossil fuel as feedstock</w:t>
      </w:r>
    </w:p>
    <w:p>
      <w:r>
        <w:rPr>
          <w:rFonts w:ascii="Times New Roman" w:hAnsi="Times New Roman" w:eastAsia="宋体"/>
          <w:b w:val="0"/>
          <w:i w:val="0"/>
          <w:color w:val="595959"/>
          <w:sz w:val="18"/>
        </w:rPr>
        <w:t>Joachim Peter Tilsted（Environmental and Energy Systems Studies, Department of Technology and Society, Lund University; Department of Food and Resource Economics, University of Copenhagen）；Peter Newell（Department of International Relations, University of Sussex）</w:t>
      </w:r>
    </w:p>
    <w:p>
      <w:r>
        <w:rPr>
          <w:rFonts w:ascii="Times New Roman" w:hAnsi="Times New Roman" w:eastAsia="宋体"/>
          <w:b w:val="0"/>
          <w:i w:val="0"/>
          <w:sz w:val="22"/>
        </w:rPr>
        <w:t>摘要：【摘译】作者指出石化产品处于气候危机多个驱动因素交汇处，主张将油气煤作为合成材料原料的作用纳入能源转型讨论，以“去化石化”超越“脱碳”。</w:t>
      </w:r>
    </w:p>
    <w:p>
      <w:r>
        <w:rPr>
          <w:rFonts w:ascii="Times New Roman" w:hAnsi="Times New Roman" w:eastAsia="宋体"/>
          <w:b w:val="0"/>
          <w:i w:val="0"/>
          <w:sz w:val="20"/>
        </w:rPr>
        <w:t>With simultaneous policy and scholarly attention to the pollution crisis and the climate crisis, there is growing recognition that the two are intimately interconnected through the demand for oil, gas, and coal generated by synthetic materials. Drawing on theoretical resources from international political economy and beyond, we show how petrochemicals sit at the intersection of a number of the primary drivers of the climate crisis, including fossil fuel production and industrial agriculture. The role of petrochemicals and their place in the global political economy of transitions, therefore, warrant greater empirical and critical conceptual scrutiny. Towards this end, we suggest conceptualizing and acting upon the recognition that oil, gas and coal function as feedstock for industries central to the reproduction of modern capitalism, centering the challenge of ‘de-fossilization’. Defossilization goes beyond decarbonization as emphasized in mainstream debates on energy transitions by introducing alternatives to the use of oil, gas and coal as raw materials for synthetics. This reorientation has important conceptual and strategic implications, revealing key tensions, contradictions and challenges for furthering just and sustainable transitions.</w:t>
      </w:r>
    </w:p>
    <w:p/>
    <w:p>
      <w:r>
        <w:rPr>
          <w:rFonts w:ascii="Times New Roman" w:hAnsi="Times New Roman" w:eastAsia="黑体"/>
          <w:b/>
          <w:i w:val="0"/>
          <w:sz w:val="24"/>
        </w:rPr>
        <w:t>全球贸易治理中的发展中国家：比较WTO与普惠制方案中的不平等规范</w:t>
      </w:r>
    </w:p>
    <w:p>
      <w:r>
        <w:rPr>
          <w:rFonts w:ascii="Times New Roman" w:hAnsi="Times New Roman" w:eastAsia="宋体"/>
          <w:b w:val="0"/>
          <w:i/>
          <w:color w:val="404040"/>
          <w:sz w:val="20"/>
        </w:rPr>
        <w:t>Developing countries in global trade governance: comparing norms on inequality in the WTO and GSP schemes</w:t>
      </w:r>
    </w:p>
    <w:p>
      <w:r>
        <w:rPr>
          <w:rFonts w:ascii="Times New Roman" w:hAnsi="Times New Roman" w:eastAsia="宋体"/>
          <w:b w:val="0"/>
          <w:i w:val="0"/>
          <w:color w:val="595959"/>
          <w:sz w:val="18"/>
        </w:rPr>
        <w:t>Clara Weinhardt（Department of Politics, Maastricht University）；Deborah Barros Leal Farias（School of Social Sciences, University of New South Wales-Sydney）</w:t>
      </w:r>
    </w:p>
    <w:p>
      <w:r>
        <w:rPr>
          <w:rFonts w:ascii="Times New Roman" w:hAnsi="Times New Roman" w:eastAsia="宋体"/>
          <w:b w:val="0"/>
          <w:i w:val="0"/>
          <w:sz w:val="22"/>
        </w:rPr>
        <w:t>摘要：全球权力转移带来调整全球贸易治理规则以适应新现实的压力。在此背景下，作者考察全球贸易治理中如何处理国家间不平等的规范变化。自1960年代中期以来，对不同经济条件的国家区别对待——将国家分为“发达”或“发展中”——一直是世界贸易体制的普遍特征。本文追问：鉴于全球权力转移，贸易体制中对发展中国家差别待遇的规范基础如何变化？现有研究仅关注世界贸易组织规则而忽视其他全球贸易治理情形。为纠正这一偏差，作者比较1995—2020年多边WTO与若干单边普惠制方案中差别化的（可能）变化。基于捕捉四种规范变化可能性的概念框架，作者表明WTO中规范韧性占主导，而普惠制中规范修正占主导。这表明全球贸易治理中关于如何处理不平等的规范虽在权力转移中变化，但这种变化不均衡且因谈判场所而异。</w:t>
      </w:r>
    </w:p>
    <w:p>
      <w:r>
        <w:rPr>
          <w:rFonts w:ascii="Times New Roman" w:hAnsi="Times New Roman" w:eastAsia="宋体"/>
          <w:b w:val="0"/>
          <w:i w:val="0"/>
          <w:sz w:val="20"/>
        </w:rPr>
        <w:t>Global power shifts have led to pressure to adjust the rules of global trade governance to new realities. In this context, we look at changing norms on how to deal with inequality between countries in global trade governance. Treating countries in different economic conditions differently has been a common feature of the world trade regime since the mid-1960s, classifying countries either as ‘developed’ or ‘developing’. This paper asks how the normative underpinnings of differential treatment of developing countries have changed in the trade regime in light of global power shifts. Existing studies focus exclusively on World Trade Organization (WTO) rules and neglect other cases of global trade governance. To counteract this bias, we compare (possible) changes in differentiation in the multilateral WTO and in selected unilateral Generalized System of Preferences (GSP) schemes (1995–2020). Based on our conceptual framework that captures four possibilities of normative change, we show that norm resilience prevails in the WTO and norm modification in the GSP case. This suggests that while norms on how to deal with inequality in global trade governance are changing in light of global power shifts, these changes remain uneven and differ across negotiation venues.</w:t>
      </w:r>
    </w:p>
    <w:p/>
    <w:p>
      <w:r>
        <w:rPr>
          <w:rFonts w:ascii="Times New Roman" w:hAnsi="Times New Roman" w:eastAsia="黑体"/>
          <w:b/>
          <w:i w:val="0"/>
          <w:sz w:val="24"/>
        </w:rPr>
        <w:t>经济学霸权的终结？后新自由主义世界中的经济观念研究</w:t>
      </w:r>
    </w:p>
    <w:p>
      <w:r>
        <w:rPr>
          <w:rFonts w:ascii="Times New Roman" w:hAnsi="Times New Roman" w:eastAsia="宋体"/>
          <w:b w:val="0"/>
          <w:i/>
          <w:color w:val="404040"/>
          <w:sz w:val="20"/>
        </w:rPr>
        <w:t>The end of economics hegemony? studying economic ideas in a post-neoliberal world</w:t>
      </w:r>
    </w:p>
    <w:p>
      <w:r>
        <w:rPr>
          <w:rFonts w:ascii="Times New Roman" w:hAnsi="Times New Roman" w:eastAsia="宋体"/>
          <w:b w:val="0"/>
          <w:i w:val="0"/>
          <w:color w:val="595959"/>
          <w:sz w:val="18"/>
        </w:rPr>
        <w:t>Rune Møller Stahl（Department of Management, Society and Communication, Copenhagen Business School）</w:t>
      </w:r>
    </w:p>
    <w:p>
      <w:r>
        <w:rPr>
          <w:rFonts w:ascii="Times New Roman" w:hAnsi="Times New Roman" w:eastAsia="宋体"/>
          <w:b w:val="0"/>
          <w:i w:val="0"/>
          <w:sz w:val="22"/>
        </w:rPr>
        <w:t>摘要：【摘译】作者重审IPE“观念转向”文献，指出新自由主义时期政策变化与经济学理论变化紧密相连，而当下关税、价格管制、产业政策等曾被视为异端的观念在主流经济学反对下进入政策，经济政策制定日益脱离学术经济学。</w:t>
      </w:r>
    </w:p>
    <w:p>
      <w:r>
        <w:rPr>
          <w:rFonts w:ascii="Times New Roman" w:hAnsi="Times New Roman" w:eastAsia="宋体"/>
          <w:b w:val="0"/>
          <w:i w:val="0"/>
          <w:sz w:val="20"/>
        </w:rPr>
        <w:t>Since the 1990s, a particular approach to analysing the political influence of economic ideas has emerged in International Political Economy (IPE)—often labelled ‘the ideational turn’. This approach highlights the strong link between intellectual debates in the economics profession and developments in the realm of economic policy. This article re-examines this body of literature in the context of the crisis of neoliberalism and investigates how our theories of the power of economic ideas have been shaped by the neoliberal conjuncture under which they developed. The neoliberal era witnessed a broad depoliticisation of economic policy debates, a process in which economists played a crucial role. However, while major policy breaks in the twentieth century were tied to shifts in dominant economic theories, recent changes have occurred without corresponding transformations in economic thinking. Ideas once deemed heretical—such as tariffs, price controls, or industrial policy—have gained traction in policy circles, despite rejection from mainstream economics. This suggests that, unlike the neoliberal era, we are entering a period where economic policymaking is increasingly detached from academic economics. The article examines the consequences of these recent changes and discusses their impact on the study of economic ideas for IPE in a post-neoliberal world.</w:t>
      </w:r>
    </w:p>
    <w:p/>
    <w:p>
      <w:r>
        <w:rPr>
          <w:rFonts w:ascii="Times New Roman" w:hAnsi="Times New Roman" w:eastAsia="宋体"/>
          <w:b/>
          <w:i w:val="0"/>
          <w:sz w:val="22"/>
        </w:rPr>
        <w:t>RIPE： Vol. 32, No. 3, 2025</w:t>
      </w:r>
    </w:p>
    <w:p/>
    <w:p>
      <w:r>
        <w:rPr>
          <w:rFonts w:ascii="Times New Roman" w:hAnsi="Times New Roman" w:eastAsia="黑体"/>
          <w:b/>
          <w:i w:val="0"/>
          <w:sz w:val="24"/>
        </w:rPr>
        <w:t>宏观金融与绿色转型：引导、吸引和强制资本走向脱碳</w:t>
      </w:r>
    </w:p>
    <w:p>
      <w:r>
        <w:rPr>
          <w:rFonts w:ascii="Times New Roman" w:hAnsi="Times New Roman" w:eastAsia="宋体"/>
          <w:b w:val="0"/>
          <w:i/>
          <w:color w:val="404040"/>
          <w:sz w:val="20"/>
        </w:rPr>
        <w:t>Macrofinance and the green transformation: nudging, attracting, and coercing capital towards decarbonization</w:t>
      </w:r>
    </w:p>
    <w:p>
      <w:r>
        <w:rPr>
          <w:rFonts w:ascii="Times New Roman" w:hAnsi="Times New Roman" w:eastAsia="宋体"/>
          <w:b w:val="0"/>
          <w:i w:val="0"/>
          <w:color w:val="595959"/>
          <w:sz w:val="18"/>
        </w:rPr>
        <w:t>Leah Downey（St. John’s College, University of Cambridge）；Mark Blyth（Watson School of International and Public Affairs, Brown University）</w:t>
      </w:r>
    </w:p>
    <w:p>
      <w:r>
        <w:rPr>
          <w:rFonts w:ascii="Times New Roman" w:hAnsi="Times New Roman" w:eastAsia="宋体"/>
          <w:b w:val="0"/>
          <w:i w:val="0"/>
          <w:sz w:val="22"/>
        </w:rPr>
        <w:t>摘要：【摘译】特刊导言提出国家为绿色转型融资的三种宏观金融策略：“引导”（依赖市场信号）、“吸引”（以去风险化激励吸引投资）、“强制”（强化国家、迫使或绕开私人金融），并追问各自局限与联盟、分配后果。</w:t>
      </w:r>
    </w:p>
    <w:p>
      <w:r>
        <w:rPr>
          <w:rFonts w:ascii="Times New Roman" w:hAnsi="Times New Roman" w:eastAsia="宋体"/>
          <w:b w:val="0"/>
          <w:i w:val="0"/>
          <w:sz w:val="20"/>
        </w:rPr>
        <w:t>How should states secure funding to support the green transformation, where the state is an actor that is both public and dependent upon private interests? This pressing issue in international political economy (IPE) has so far generated different and dissonant scholarly discussion. This special issue brings analytic and empirical specificity to these conversations in order to map out the possible macrofinancial strategies that states have open to them. We contend that there are three possible policy strategies that states can adopt, albeit with some degree of combination or overlap. The first strategy embraces macrofinancial policies that attempt to ‘nudge’ agents into specific behaviors and/or rely on market signals as the primary drivers in delivering decarbonisation. The second strategy is one of attracting investment from the holders of existing assets through financial incentives, which is what the existing literature most often refers to as ‘derisking’ The third strategy we identify is ‘strengthening the state’ or, more bluntly, coercing private finance into investing, or bypassing them completely. The authors in this special issue ask what the limitations of each strategy are in specific national contexts, and what the coalitional and distributional consequences would be of embracing these policies that nudge, attract, or coerce.</w:t>
      </w:r>
    </w:p>
    <w:p/>
    <w:p>
      <w:r>
        <w:rPr>
          <w:rFonts w:ascii="Times New Roman" w:hAnsi="Times New Roman" w:eastAsia="黑体"/>
          <w:b/>
          <w:i w:val="0"/>
          <w:sz w:val="24"/>
        </w:rPr>
        <w:t>绿色宏观金融体制</w:t>
      </w:r>
    </w:p>
    <w:p>
      <w:r>
        <w:rPr>
          <w:rFonts w:ascii="Times New Roman" w:hAnsi="Times New Roman" w:eastAsia="宋体"/>
          <w:b w:val="0"/>
          <w:i/>
          <w:color w:val="404040"/>
          <w:sz w:val="20"/>
        </w:rPr>
        <w:t>Green macrofinancial regimes</w:t>
      </w:r>
    </w:p>
    <w:p>
      <w:r>
        <w:rPr>
          <w:rFonts w:ascii="Times New Roman" w:hAnsi="Times New Roman" w:eastAsia="宋体"/>
          <w:b w:val="0"/>
          <w:i w:val="0"/>
          <w:color w:val="595959"/>
          <w:sz w:val="18"/>
        </w:rPr>
        <w:t>Daniela Gabor（SOAS, University of London）；Benjamin Braun（London School of Economics and Political Science）</w:t>
      </w:r>
    </w:p>
    <w:p>
      <w:r>
        <w:rPr>
          <w:rFonts w:ascii="Times New Roman" w:hAnsi="Times New Roman" w:eastAsia="宋体"/>
          <w:b w:val="0"/>
          <w:i w:val="0"/>
          <w:sz w:val="22"/>
        </w:rPr>
        <w:t>摘要：【摘译】作者提出绿色宏观金融体制类型学：按绿色公共支出规模与对私人资本纪律程度，分为弱去风险、强去风险、碳休克疗法与大绿色国家四类，去风险体制因协调问题与累退分配而不稳定。</w:t>
      </w:r>
    </w:p>
    <w:p>
      <w:r>
        <w:rPr>
          <w:rFonts w:ascii="Times New Roman" w:hAnsi="Times New Roman" w:eastAsia="宋体"/>
          <w:b w:val="0"/>
          <w:i w:val="0"/>
          <w:sz w:val="20"/>
        </w:rPr>
        <w:t>Debates about climate policy have neglected the question of macrofinancial pathways to decarbonisation, not all of which are economically and politically viable. We propose a theory of macrofinancial regimes, understood as combinations of monetary, fiscal, and financial institutions that shape the creation and allocation of credit/money, and hence the speed and nature of the green transition. Focusing on two dimensions—the scale of green public spending and the degree of discipline imposed on private capital—we derive a typology of four regimes. Derisking regimes are low-discipline: under weak derisking, a fiscally constrained state tweaks the risk-return profile on infrastructure assets to reduce the carbon footprint of the economy’s existing sectoral structure; under robust derisking, the state subsidizes capital expenditure in cleantech manufacturing directly, and with the ambition to alter the economy’s sectoral composition. Derisking regimes are rendered unstable by coordination problems and regressive distributional consequences. This may tip societies into a carbon shock therapy regime under which discipline is enforced by carbon prices and market competition, resulting in a disorderly transition path. Alternatively, institutional reforms that increase the state’s capacity to spend and to discipline capital may give rise to a big green state regime where coordination is achieved through state-led planning.</w:t>
      </w:r>
    </w:p>
    <w:p/>
    <w:p>
      <w:r>
        <w:rPr>
          <w:rFonts w:ascii="Times New Roman" w:hAnsi="Times New Roman" w:eastAsia="黑体"/>
          <w:b/>
          <w:i w:val="0"/>
          <w:sz w:val="24"/>
        </w:rPr>
        <w:t>绿色宏观金融交易：经济利益如何促成与限制气候行动</w:t>
      </w:r>
    </w:p>
    <w:p>
      <w:r>
        <w:rPr>
          <w:rFonts w:ascii="Times New Roman" w:hAnsi="Times New Roman" w:eastAsia="宋体"/>
          <w:b w:val="0"/>
          <w:i/>
          <w:color w:val="404040"/>
          <w:sz w:val="20"/>
        </w:rPr>
        <w:t>Green macrofinancial bargains: how economic interests enable and limit climate action</w:t>
      </w:r>
    </w:p>
    <w:p>
      <w:r>
        <w:rPr>
          <w:rFonts w:ascii="Times New Roman" w:hAnsi="Times New Roman" w:eastAsia="宋体"/>
          <w:b w:val="0"/>
          <w:i w:val="0"/>
          <w:color w:val="595959"/>
          <w:sz w:val="18"/>
        </w:rPr>
        <w:t>Nils Kupzok（Center for Political Economy, Columbia University）；Jonas Nahm（Johns Hopkins University School of Advanced International Studies）</w:t>
      </w:r>
    </w:p>
    <w:p>
      <w:r>
        <w:rPr>
          <w:rFonts w:ascii="Times New Roman" w:hAnsi="Times New Roman" w:eastAsia="宋体"/>
          <w:b w:val="0"/>
          <w:i w:val="0"/>
          <w:sz w:val="22"/>
        </w:rPr>
        <w:t>摘要：【摘译】作者认为绿色转向是以脱碳巩固增长模式与主导经济利益的政治交易的成功与局限：它突破了路径依赖，但优先在位利益会放慢减排、限制工具并阻碍公正转型；以G20气候政策估计与英国、欧盟、韩国案例检验。</w:t>
      </w:r>
    </w:p>
    <w:p>
      <w:r>
        <w:rPr>
          <w:rFonts w:ascii="Times New Roman" w:hAnsi="Times New Roman" w:eastAsia="宋体"/>
          <w:b w:val="0"/>
          <w:i w:val="0"/>
          <w:sz w:val="20"/>
        </w:rPr>
        <w:t>In the late 2010s, countries began to strengthen policies that redirect financial flows into decarbonisation, such as higher carbon prices and new green industrial policies. However, investments remain below what is necessary to reach official climate targets. We argue that the green turn reflects the success and limits of political bargains that attempt to use decarbonisation as a means to fortify countries’ growth models and dominant economic interests. Such bargains have proven effective in overcoming entrenched path dependencies, unlocking policy progress. But these bargains also entail trade-offs that constrain the scope and goals of decarbonisation. Prioritizing incumbent economic interests can slow emission cuts, limit tools to the unpopular and ineffective, and thwart visions of a just transition. To develop this argument empirically, we provide original quantitative estimates of climate policies in the G20 and conduct case studies of the UK, the EU, and South Korea.</w:t>
      </w:r>
    </w:p>
    <w:p/>
    <w:p>
      <w:r>
        <w:rPr>
          <w:rFonts w:ascii="Times New Roman" w:hAnsi="Times New Roman" w:eastAsia="黑体"/>
          <w:b/>
          <w:i w:val="0"/>
          <w:sz w:val="24"/>
        </w:rPr>
        <w:t>如何抵制“华尔街共识”：国际金融从属下越南绿色国家的回旋空间</w:t>
      </w:r>
    </w:p>
    <w:p>
      <w:r>
        <w:rPr>
          <w:rFonts w:ascii="Times New Roman" w:hAnsi="Times New Roman" w:eastAsia="宋体"/>
          <w:b w:val="0"/>
          <w:i/>
          <w:color w:val="404040"/>
          <w:sz w:val="20"/>
        </w:rPr>
        <w:t>How to resist the Wall Street Consensus: the maneuverability of a Vietnamese green state within international financial subordination</w:t>
      </w:r>
    </w:p>
    <w:p>
      <w:r>
        <w:rPr>
          <w:rFonts w:ascii="Times New Roman" w:hAnsi="Times New Roman" w:eastAsia="宋体"/>
          <w:b w:val="0"/>
          <w:i w:val="0"/>
          <w:color w:val="595959"/>
          <w:sz w:val="18"/>
        </w:rPr>
        <w:t>Mathias Larsen（Watson Institute for International &amp; Public Affairs, Brown University）</w:t>
      </w:r>
    </w:p>
    <w:p>
      <w:r>
        <w:rPr>
          <w:rFonts w:ascii="Times New Roman" w:hAnsi="Times New Roman" w:eastAsia="宋体"/>
          <w:b w:val="0"/>
          <w:i w:val="0"/>
          <w:sz w:val="22"/>
        </w:rPr>
        <w:t>摘要：2017—2021年，越南实现了全球前所未有的可再生能源年度比例增长，由国有能源公司越南电力集团借助国内及亚洲地区来源的债务与股权资金支持。越南经验为“绿色国家”与“国际金融从属”交叉的新兴研究议程作出贡献：它质疑“华尔街共识”关于国际金融限制东道国政策回旋空间的担忧。基于33次访谈的一手资料，作者通过越南电力集团案例分析越南经验，发现在国际金融约束下，越南抵制了华尔街共识：利用上网电价这一限制较少的去风险工具，吸引对项目风险评估不同于西方同行的国内与区域融资者；越南国家借助越南电力集团，通过使命驱动、国企主导的去风险实现市场创造，而无需华尔街共识所要求的削弱性担保。由此推断，全球南方国家或许能够抵制华尔街共识，在国际金融从属的限制下为绿色国家路径保留足够的回旋空间。</w:t>
      </w:r>
    </w:p>
    <w:p>
      <w:r>
        <w:rPr>
          <w:rFonts w:ascii="Times New Roman" w:hAnsi="Times New Roman" w:eastAsia="宋体"/>
          <w:b w:val="0"/>
          <w:i w:val="0"/>
          <w:sz w:val="20"/>
        </w:rPr>
        <w:t>Between 2017 and 2021, Vietnam saw the fastest annual proportional increase in renewables ever seen across the world. This was financially supported by the state-owned energy company, Vietnam Electric (EVN), with debt and equity from domestic and Asian regional sources. Vietnam’s experience contributes to an emerging research agenda at the intersection of the ‘green state’ and ‘international financial subordination’: It questions the Wall Street Consensus’s concern about international finance limiting host countries’ policy maneuverability. Drawing on primary data from 33 interviews, I analyze Vietnam’s experience through the case of EVN. I find that within its international financial constraints, Vietnam resisted the Wall Street Consensus. Instead, Vietnam used feed-in-tariffs as a less restrictive de-risking tool to attract domestic and regional financiers who assessed project risks differently from their Western counterparts. I show how the Vietnamese state did this by using EVN as a tool for market-creation through mission-driven and state-owned enterprise (SOE)-orchestrated de-risking – without resorting to the debilitating guarantees entailed by the Wall Street Consensus. Extrapolating from the Vietnamese case, I argue that Global South countries may be able to resist the Wall Street Consensus and maintain sufficient maneuverability for a green state approach despite the limitations imposed by international financial subordination.</w:t>
      </w:r>
    </w:p>
    <w:p/>
    <w:p>
      <w:r>
        <w:rPr>
          <w:rFonts w:ascii="Times New Roman" w:hAnsi="Times New Roman" w:eastAsia="黑体"/>
          <w:b/>
          <w:i w:val="0"/>
          <w:sz w:val="24"/>
        </w:rPr>
        <w:t>国家增长模式的脱碳：去风险化、“受缚国家”与脱碳可能性边界</w:t>
      </w:r>
    </w:p>
    <w:p>
      <w:r>
        <w:rPr>
          <w:rFonts w:ascii="Times New Roman" w:hAnsi="Times New Roman" w:eastAsia="宋体"/>
          <w:b w:val="0"/>
          <w:i/>
          <w:color w:val="404040"/>
          <w:sz w:val="20"/>
        </w:rPr>
        <w:t>Decarbonising national growth models: derisking, ‘hobbled states’, and the decarbonisation possibility frontier</w:t>
      </w:r>
    </w:p>
    <w:p>
      <w:r>
        <w:rPr>
          <w:rFonts w:ascii="Times New Roman" w:hAnsi="Times New Roman" w:eastAsia="宋体"/>
          <w:b w:val="0"/>
          <w:i w:val="0"/>
          <w:color w:val="595959"/>
          <w:sz w:val="18"/>
        </w:rPr>
        <w:t>Daniel Driscoll（Department of Sociology, University of Virginia）；Mark Blyth（Watson School of International and Public Affairs, Brown University）</w:t>
      </w:r>
    </w:p>
    <w:p>
      <w:r>
        <w:rPr>
          <w:rFonts w:ascii="Times New Roman" w:hAnsi="Times New Roman" w:eastAsia="宋体"/>
          <w:b w:val="0"/>
          <w:i w:val="0"/>
          <w:sz w:val="22"/>
        </w:rPr>
        <w:t>摘要：【摘译】作者结合增长模式理论与气候变化，以资本成本和化石能源占比构建“脱碳可能性边界”，比较德、瑞、英、法、波五国，指出即使规模大、雄心强的国家也可能是“受缚国家”，脱碳能力不足。</w:t>
      </w:r>
    </w:p>
    <w:p>
      <w:r>
        <w:rPr>
          <w:rFonts w:ascii="Times New Roman" w:hAnsi="Times New Roman" w:eastAsia="宋体"/>
          <w:b w:val="0"/>
          <w:i w:val="0"/>
          <w:sz w:val="20"/>
        </w:rPr>
        <w:t>This article brings together Growth Model Theory and climate change under the assumption that economic growth will remain a policy priority during the green transition. The relevant research question from a Growth Model perspective thus becomes ‘how easy or difficult is it for specific Growth Models to switch from carbon-based growth to green growth?’ In answering this question, the article makes two main contributions. The first contribution is diagnostic and asks which states are best able to decarbonise given their underlying growth model type. It introduces a simple framework that clarifies the variation in decarbonisation capacity across national growth models using a macro comparison that combines a state’s cost of capital with the share of primary energy consumption from fossil fuels in its energy mix. The second contribution uses country case studies of Germany, Sweden, the United Kingdom, France, and Poland to build upon recent scholarship that questions the capacity of different agents to affect the green transition. While many agree that the ‘Big Green State’ is the most effective actor to decarbonise, and might be right, what if a state, despite being big in terms of size and green in terms of ambition, is not very good at decarbonising?</w:t>
      </w:r>
    </w:p>
    <w:p/>
    <w:p>
      <w:r>
        <w:rPr>
          <w:rFonts w:ascii="Times New Roman" w:hAnsi="Times New Roman" w:eastAsia="黑体"/>
          <w:b/>
          <w:i w:val="0"/>
          <w:sz w:val="24"/>
        </w:rPr>
        <w:t>行星金融政策与自然的风险化</w:t>
      </w:r>
    </w:p>
    <w:p>
      <w:r>
        <w:rPr>
          <w:rFonts w:ascii="Times New Roman" w:hAnsi="Times New Roman" w:eastAsia="宋体"/>
          <w:b w:val="0"/>
          <w:i/>
          <w:color w:val="404040"/>
          <w:sz w:val="20"/>
        </w:rPr>
        <w:t>Planetary financial policy and the riskification of nature</w:t>
      </w:r>
    </w:p>
    <w:p>
      <w:r>
        <w:rPr>
          <w:rFonts w:ascii="Times New Roman" w:hAnsi="Times New Roman" w:eastAsia="宋体"/>
          <w:b w:val="0"/>
          <w:i w:val="0"/>
          <w:color w:val="595959"/>
          <w:sz w:val="18"/>
        </w:rPr>
        <w:t>Jens van ‘t Klooster（Department of Political Science, University of Amsterdam）；Klaudia Prodani（Department of Technology, Policy and Society, University of Twente）</w:t>
      </w:r>
    </w:p>
    <w:p>
      <w:r>
        <w:rPr>
          <w:rFonts w:ascii="Times New Roman" w:hAnsi="Times New Roman" w:eastAsia="宋体"/>
          <w:b w:val="0"/>
          <w:i w:val="0"/>
          <w:sz w:val="22"/>
        </w:rPr>
        <w:t>摘要：【摘译】作者将近期审慎金融政策描述为“自然的风险化”：气候转型风险较易纳入巴塞尔框架，非气候环境风险则困难，新监管工具部分绕开风险化；效果受各辖区监管意愿制约。</w:t>
      </w:r>
    </w:p>
    <w:p>
      <w:r>
        <w:rPr>
          <w:rFonts w:ascii="Times New Roman" w:hAnsi="Times New Roman" w:eastAsia="宋体"/>
          <w:b w:val="0"/>
          <w:i w:val="0"/>
          <w:sz w:val="20"/>
        </w:rPr>
        <w:t>This article puts forward a new account of the promise and potential pitfalls of recent prudential policies pertaining to climate change, biodiversity loss, and broader planetary boundaries. We describe recent developments in financial policy as a ‘riskification’ of nature – environmental degradation, as well as policies to protect nature, are conceptualised as drivers of measurable financial risk to firms or financial assets. We show that although the conceptualisation of nature as a source of financial risk fits well with the Basel Committee on Banking Supervision (BCBS)’s approach to financial policy, progress to date in riskifying nature has been mixed. Whereas climate transition risk has proven comparatively amenable to riskification, policymakers face mounting challenges for non-climate related environmental exposures. We also highlight the promise of new supervisory tools that focus on the ability of financial institutions to align with and navigate transition and adaptation scenarios, thereby partially sidestepping the need for riskification. We situate the limits to the effectiveness of these approaches in the jurisdiction-specific willingness to pursue supervisory and regulatory action, rather than their prudential focus per se.</w:t>
      </w:r>
    </w:p>
    <w:p/>
    <w:p>
      <w:r>
        <w:rPr>
          <w:rFonts w:ascii="Times New Roman" w:hAnsi="Times New Roman" w:eastAsia="黑体"/>
          <w:b/>
          <w:i w:val="0"/>
          <w:sz w:val="24"/>
        </w:rPr>
        <w:t>作为世界塑造的去风险化：气候融资与不确定性政治</w:t>
      </w:r>
    </w:p>
    <w:p>
      <w:r>
        <w:rPr>
          <w:rFonts w:ascii="Times New Roman" w:hAnsi="Times New Roman" w:eastAsia="宋体"/>
          <w:b w:val="0"/>
          <w:i/>
          <w:color w:val="404040"/>
          <w:sz w:val="20"/>
        </w:rPr>
        <w:t>Derisking as worldmaking: climate finance and the politics of uncertainty</w:t>
      </w:r>
    </w:p>
    <w:p>
      <w:r>
        <w:rPr>
          <w:rFonts w:ascii="Times New Roman" w:hAnsi="Times New Roman" w:eastAsia="宋体"/>
          <w:b w:val="0"/>
          <w:i w:val="0"/>
          <w:color w:val="595959"/>
          <w:sz w:val="18"/>
        </w:rPr>
        <w:t>Stefan Eich（Department of Government, Georgetown University）</w:t>
      </w:r>
    </w:p>
    <w:p>
      <w:r>
        <w:rPr>
          <w:rFonts w:ascii="Times New Roman" w:hAnsi="Times New Roman" w:eastAsia="宋体"/>
          <w:b w:val="0"/>
          <w:i w:val="0"/>
          <w:sz w:val="22"/>
        </w:rPr>
        <w:t>摘要：【摘译】借助凯恩斯主体间概率论，作者将去风险化重构为把不确定性转化为可计算风险的保守“金融世界塑造”，并提出“智慧绿色国家”主动塑造预期、实验式治理的替代模式。</w:t>
      </w:r>
    </w:p>
    <w:p>
      <w:r>
        <w:rPr>
          <w:rFonts w:ascii="Times New Roman" w:hAnsi="Times New Roman" w:eastAsia="宋体"/>
          <w:b w:val="0"/>
          <w:i w:val="0"/>
          <w:sz w:val="20"/>
        </w:rPr>
        <w:t>The derisking state has by now emerged as the key aspirational agent of the energy transition. But what is the concept of risk involved in derisking? This article places debates about derisking within a broader politics of uncertainty by reframing derisking as a peculiar form of financial worldmaking based on a demand for calculability and profitability on the part of private investors. To do so, I build on John Maynard Keynes’s intersubjective theory of probability in which both market actors and states navigate radical uncertainty by shaping conventions and calculative devices that can coordinate expectations. Derisking entails from this perspective not merely a redistribution of risk but rather a more profound transformation of uncertainty into risk, as well as a comprehensive framework for how risk is perceived, articulated, and managed. I then develop on this basis a general account of financial worldmaking which allows me to reframe derisking as a hidden, conservative form of financial worldmaking. Building on this critique the article instead articulates an alternative model of green worldmaking by a Smart Green State that deploys uncertainty by actively shaping expectations and governing experimentally. I conclude by reflecting on the limits of technocratic green worldmaking while stressing the need for tools that can discipline carbon capital.</w:t>
      </w:r>
    </w:p>
    <w:p/>
    <w:p>
      <w:r>
        <w:rPr>
          <w:rFonts w:ascii="Times New Roman" w:hAnsi="Times New Roman" w:eastAsia="黑体"/>
          <w:b/>
          <w:i w:val="0"/>
          <w:sz w:val="24"/>
        </w:rPr>
        <w:t>强制金融为脱碳融资：为绿色转型融资中强制手段的民主论证</w:t>
      </w:r>
    </w:p>
    <w:p>
      <w:r>
        <w:rPr>
          <w:rFonts w:ascii="Times New Roman" w:hAnsi="Times New Roman" w:eastAsia="宋体"/>
          <w:b w:val="0"/>
          <w:i/>
          <w:color w:val="404040"/>
          <w:sz w:val="20"/>
        </w:rPr>
        <w:t>Coercing finance to fund decarbonization: the democratic case for coercion in funding the green transformation</w:t>
      </w:r>
    </w:p>
    <w:p>
      <w:r>
        <w:rPr>
          <w:rFonts w:ascii="Times New Roman" w:hAnsi="Times New Roman" w:eastAsia="宋体"/>
          <w:b w:val="0"/>
          <w:i w:val="0"/>
          <w:color w:val="595959"/>
          <w:sz w:val="18"/>
        </w:rPr>
        <w:t>Leah Downey（St. John’s College, University of Cambridge）</w:t>
      </w:r>
    </w:p>
    <w:p>
      <w:r>
        <w:rPr>
          <w:rFonts w:ascii="Times New Roman" w:hAnsi="Times New Roman" w:eastAsia="宋体"/>
          <w:b w:val="0"/>
          <w:i w:val="0"/>
          <w:sz w:val="22"/>
        </w:rPr>
        <w:t>摘要：【摘译】作者从民主理论论证：若国家只“引导”或“吸引”私人金融，会增强其权力并削弱作为健康民主基础的国家强制力，因此国家有理由强制私人金融为绿色转型融资。</w:t>
      </w:r>
    </w:p>
    <w:p>
      <w:r>
        <w:rPr>
          <w:rFonts w:ascii="Times New Roman" w:hAnsi="Times New Roman" w:eastAsia="宋体"/>
          <w:b w:val="0"/>
          <w:i w:val="0"/>
          <w:sz w:val="20"/>
        </w:rPr>
        <w:t>Insofar as governments want to secure a democratic green transition, attention must be paid not only to which policy approach will be effective, quick, or cheap but also to which policy approach preserves the power of citizens to coerce private agents through public policy. I defend this claim using the work of Scott Anderson on coercion. While much democratic theory focuses on the necessary limits to a state’s coercive powers, I suggest we must also consider the need to preserve those powers over time. I argue that the state has good reason to engage in coercing private finance to fund the green transition. If it doesn’t, a pattern of nudging or attracting investment will bolster private financial agents’ power and in so doing, undermine the state’s coercive power that is foundational to a healthy democracy.</w:t>
      </w:r>
    </w:p>
    <w:p/>
    <w:p>
      <w:r>
        <w:rPr>
          <w:rFonts w:ascii="Times New Roman" w:hAnsi="Times New Roman" w:eastAsia="黑体"/>
          <w:b/>
          <w:i w:val="0"/>
          <w:sz w:val="24"/>
        </w:rPr>
        <w:t>去政治化的脆弱性：重访央行通胀管理史</w:t>
      </w:r>
    </w:p>
    <w:p>
      <w:r>
        <w:rPr>
          <w:rFonts w:ascii="Times New Roman" w:hAnsi="Times New Roman" w:eastAsia="宋体"/>
          <w:b w:val="0"/>
          <w:i/>
          <w:color w:val="404040"/>
          <w:sz w:val="20"/>
        </w:rPr>
        <w:t>The fragility of depoliticization: revisiting the history of Central bank inflation-management</w:t>
      </w:r>
    </w:p>
    <w:p>
      <w:r>
        <w:rPr>
          <w:rFonts w:ascii="Times New Roman" w:hAnsi="Times New Roman" w:eastAsia="宋体"/>
          <w:b w:val="0"/>
          <w:i w:val="0"/>
          <w:color w:val="595959"/>
          <w:sz w:val="18"/>
        </w:rPr>
        <w:t>Jacqueline Best（School of Political Studies, University of Ottawa）</w:t>
      </w:r>
    </w:p>
    <w:p>
      <w:r>
        <w:rPr>
          <w:rFonts w:ascii="Times New Roman" w:hAnsi="Times New Roman" w:eastAsia="宋体"/>
          <w:b w:val="0"/>
          <w:i w:val="0"/>
          <w:sz w:val="22"/>
        </w:rPr>
        <w:t>摘要：【摘译】基于英国解密档案，作者发现1980年代以来货币政策去政治化尝试失败与成功一样多，成功的去政治化时代出人意料地短暂，且可能已经结束。</w:t>
      </w:r>
    </w:p>
    <w:p>
      <w:r>
        <w:rPr>
          <w:rFonts w:ascii="Times New Roman" w:hAnsi="Times New Roman" w:eastAsia="宋体"/>
          <w:b w:val="0"/>
          <w:i w:val="0"/>
          <w:sz w:val="20"/>
        </w:rPr>
        <w:t>In recent years, it has sometimes seemed like the fate of economic depoliticization is up for grabs: the 2008 global financial crisis raised serious questions about the economic viability of technocratic economic strategies while the rise of populist parties has challenged their political sustainability. Even central banks, once the priests of economic depoliticization, began to waver by the early 2020s, paying some attention to inequality and climate change. Yet, as inflation picked up after 2022, central banks returned to their old depoliticizing strategies, reimposing strict inflation targets. As we watch central bankers outdo each other as monetary hawks, we may be tempted to see the return to depoliticization as natural and inevitable. This paper paints a different picture, showing that policies aimed at depoliticizing monetary policy have encountered as many failures as successes since the early 1980s. Drawing on recently declassified archival material, it examines three attempts to put depoliticized monetary policy into practice in the UK, seeking to understand why depoliticization failed so many times and then succeeded. If attempts to depoliticize monetary policy have had a rockier history than is generally assumed, the era of successful monetary depoliticization was not only surprisingly brief but may well be over.</w:t>
      </w:r>
    </w:p>
    <w:p/>
    <w:p>
      <w:r>
        <w:rPr>
          <w:rFonts w:ascii="Times New Roman" w:hAnsi="Times New Roman" w:eastAsia="黑体"/>
          <w:b/>
          <w:i w:val="0"/>
          <w:sz w:val="24"/>
        </w:rPr>
        <w:t>私人气候治理的意义何在？印尼与新加坡新兴倡议研究</w:t>
      </w:r>
    </w:p>
    <w:p>
      <w:r>
        <w:rPr>
          <w:rFonts w:ascii="Times New Roman" w:hAnsi="Times New Roman" w:eastAsia="宋体"/>
          <w:b w:val="0"/>
          <w:i/>
          <w:color w:val="404040"/>
          <w:sz w:val="20"/>
        </w:rPr>
        <w:t>What is the point of private climate governance? A study of emerging initiatives in Indonesia and Singapore</w:t>
      </w:r>
    </w:p>
    <w:p>
      <w:r>
        <w:rPr>
          <w:rFonts w:ascii="Times New Roman" w:hAnsi="Times New Roman" w:eastAsia="宋体"/>
          <w:b w:val="0"/>
          <w:i w:val="0"/>
          <w:color w:val="595959"/>
          <w:sz w:val="18"/>
        </w:rPr>
        <w:t>Charanpal Bal（Department of International Relations, Bina Nusantara University; Development Studies Program, Satya Wacana Christian University）；Faris Al-Fadhat（Department of International Relations, Universitas Muhammadiyah Yogyakarta）；Paramitaningrum（Department of International Relations, Bina Nusantara University）</w:t>
      </w:r>
    </w:p>
    <w:p>
      <w:r>
        <w:rPr>
          <w:rFonts w:ascii="Times New Roman" w:hAnsi="Times New Roman" w:eastAsia="宋体"/>
          <w:b w:val="0"/>
          <w:i w:val="0"/>
          <w:sz w:val="22"/>
        </w:rPr>
        <w:t>摘要：【摘译】对印尼与新加坡的研究表明，私人气候治理倡议被国内但日益国际化的资本集团利用：在印尼服务于跨国财团扩张，在新加坡服务于后工业增长以巩固党国统治，强化了阻碍变革的国内精英权力。</w:t>
      </w:r>
    </w:p>
    <w:p>
      <w:r>
        <w:rPr>
          <w:rFonts w:ascii="Times New Roman" w:hAnsi="Times New Roman" w:eastAsia="宋体"/>
          <w:b w:val="0"/>
          <w:i w:val="0"/>
          <w:sz w:val="20"/>
        </w:rPr>
        <w:t>Despite considerable skepticism, private climate governance initiatives leveraging transnational voluntary standards have grown exponentially in the twenty-first century. Our paper explains this continued proliferation, particularly in areas beyond core global financial centers. While functionalists view private climate governance as arising out of the polycentric nature of contemporary global governance, critical political economists view it as a function of a global shift towards neoliberal environmental governance. However, the adoption of global governance instruments and neoliberal market policies are often selective and coupled to the objectives of elite groups. To evidence this dynamic, we pursue a study of private climate initiatives in Indonesia and Singapore to illuminate the structural conditions and social forces driving their proliferation. We find that private climate governance initiatives are being harnessed by domestic, but increasingly internationalized, fractions of capital for transnational conglomerate expansion out of Indonesia, and for post-industrial economic growth to buttress party-state rule in Singapore, respectively. Private initiatives are being used to consolidate and expand the political and economic power of entrenched domestic elites whose interests and agendas have hampered transformative climate policy change in their respective countries.</w:t>
      </w:r>
    </w:p>
    <w:p/>
    <w:p>
      <w:r>
        <w:rPr>
          <w:rFonts w:ascii="Times New Roman" w:hAnsi="Times New Roman" w:eastAsia="黑体"/>
          <w:b/>
          <w:i w:val="0"/>
          <w:sz w:val="24"/>
        </w:rPr>
        <w:t>“可持续发展主义”的失落原则</w:t>
      </w:r>
    </w:p>
    <w:p>
      <w:r>
        <w:rPr>
          <w:rFonts w:ascii="Times New Roman" w:hAnsi="Times New Roman" w:eastAsia="宋体"/>
          <w:b w:val="0"/>
          <w:i/>
          <w:color w:val="404040"/>
          <w:sz w:val="20"/>
        </w:rPr>
        <w:t>Lost principles of a ‘sustainable developmentalism’</w:t>
      </w:r>
    </w:p>
    <w:p>
      <w:r>
        <w:rPr>
          <w:rFonts w:ascii="Times New Roman" w:hAnsi="Times New Roman" w:eastAsia="宋体"/>
          <w:b w:val="0"/>
          <w:i w:val="0"/>
          <w:color w:val="595959"/>
          <w:sz w:val="18"/>
        </w:rPr>
        <w:t>Baptiste Albertone（Centre of Development Studies, Darwin College, University of Cambridge）</w:t>
      </w:r>
    </w:p>
    <w:p>
      <w:r>
        <w:rPr>
          <w:rFonts w:ascii="Times New Roman" w:hAnsi="Times New Roman" w:eastAsia="宋体"/>
          <w:b w:val="0"/>
          <w:i w:val="0"/>
          <w:sz w:val="22"/>
        </w:rPr>
        <w:t>摘要：【摘译】文章回顾1970—80年代发展主义思想的批判转向，恢复萨克斯“生态发展”及普雷维什、富尔塔多的贡献，认为它们构成源自并服务于全球外围的“可持续发展主义”。</w:t>
      </w:r>
    </w:p>
    <w:p>
      <w:r>
        <w:rPr>
          <w:rFonts w:ascii="Times New Roman" w:hAnsi="Times New Roman" w:eastAsia="宋体"/>
          <w:b w:val="0"/>
          <w:i w:val="0"/>
          <w:sz w:val="20"/>
        </w:rPr>
        <w:t>This article discusses the advent, in the 1970s and early 1980s, of a critical turn in developmentalist thinking. This ideational shift was defined by the aspiration of classical development scholars to identify the conditions of possibility for ecologically sustainable and emancipatory forms of development in the periphery. Notably, it resulted in the formulation of Ignacy Sachs’s concept of eco-development—i.e. the developmentalist precursor to the notion of sustainable development. More than a simple effort to add an environmental dimension to development theory, eco-development expressed the search for another development, endogenous rather than mimetic, and oriented towards human needs. As such, it converged with the attempts of other major figures of classical development theory, such as Raúl Prebisch and Celso Furtado, to radically reconsider, over the same period, the nature of the transformations needed in the periphery. These contributions, however, have largely been forgotten, and their potential for critically thinking about development in the Anthropocene remains untapped. This article recovers the main conceptual innovations of this moment of theoretical transformation and argues that they formed the foundations of a sustainable developmentalism: an approach to sustainable development from and for the global periphery.</w:t>
      </w:r>
    </w:p>
    <w:p/>
    <w:p>
      <w:r>
        <w:rPr>
          <w:rFonts w:ascii="Times New Roman" w:hAnsi="Times New Roman" w:eastAsia="黑体"/>
          <w:b/>
          <w:i w:val="0"/>
          <w:sz w:val="24"/>
        </w:rPr>
        <w:t>出口导向的瑞士：地区出口依赖与涉商公投</w:t>
      </w:r>
    </w:p>
    <w:p>
      <w:r>
        <w:rPr>
          <w:rFonts w:ascii="Times New Roman" w:hAnsi="Times New Roman" w:eastAsia="宋体"/>
          <w:b w:val="0"/>
          <w:i/>
          <w:color w:val="404040"/>
          <w:sz w:val="20"/>
        </w:rPr>
        <w:t>Regional export-dependence and business-related popular votes in export-led Switzerland</w:t>
      </w:r>
    </w:p>
    <w:p>
      <w:r>
        <w:rPr>
          <w:rFonts w:ascii="Times New Roman" w:hAnsi="Times New Roman" w:eastAsia="宋体"/>
          <w:b w:val="0"/>
          <w:i w:val="0"/>
          <w:color w:val="595959"/>
          <w:sz w:val="18"/>
        </w:rPr>
        <w:t>Jérémie Poltier（Department of Political Science and International Relations, University of Geneva）</w:t>
      </w:r>
    </w:p>
    <w:p>
      <w:r>
        <w:rPr>
          <w:rFonts w:ascii="Times New Roman" w:hAnsi="Times New Roman" w:eastAsia="宋体"/>
          <w:b w:val="0"/>
          <w:i w:val="0"/>
          <w:sz w:val="22"/>
        </w:rPr>
        <w:t>摘要：【摘译】瑞士出口依赖地区的选民在涉商公投中更倾向与有组织商业偏好一致，在税收议题与低失业地区尤强，凸显增长模式的地区维度。</w:t>
      </w:r>
    </w:p>
    <w:p>
      <w:r>
        <w:rPr>
          <w:rFonts w:ascii="Times New Roman" w:hAnsi="Times New Roman" w:eastAsia="宋体"/>
          <w:b w:val="0"/>
          <w:i w:val="0"/>
          <w:sz w:val="20"/>
        </w:rPr>
        <w:t>In this article, I investigate the relationship between regional export-dependence and the outcomes of popular votes that are relevant to the interests of business actors, as they relate to the issue of international competitiveness. I establish a theoretical framework inspired by literatures on trade exposure and growth models. I show that in an export-led country such as Switzerland, voters from export-dependent regions, presumably particularly sensitive to the question of competitiveness, tend to vote in a way that matches the expressed preferences of organized business. I also explore how vote-level factors and region-level factors condition the main relationship of interest, and find that it is particularly strong in the context of votes on tax policy, as well as in regions where unemployment is consistently low. This article contributes to several literatures. It contributes to ongoing debates in the trade exposure literature between the proponents of the compensation hypothesis and those of an alternative hypothesis centered around competitiveness. It makes a key contribution to the growth model (GM) literature by highlighting the importance of the regional dimension of GMs for the politics of export-led growth. Furthermore, these contributions are also relevant to the economic voting literature and the field of international political economy (IPE) in general.</w:t>
      </w:r>
    </w:p>
    <w:p/>
    <w:p>
      <w:r>
        <w:rPr>
          <w:rFonts w:ascii="Times New Roman" w:hAnsi="Times New Roman" w:eastAsia="黑体"/>
          <w:b/>
          <w:i w:val="0"/>
          <w:sz w:val="24"/>
        </w:rPr>
        <w:t>正式治理很重要：国家何时、如何及为何在IMF执董会采取行动</w:t>
      </w:r>
    </w:p>
    <w:p>
      <w:r>
        <w:rPr>
          <w:rFonts w:ascii="Times New Roman" w:hAnsi="Times New Roman" w:eastAsia="宋体"/>
          <w:b w:val="0"/>
          <w:i/>
          <w:color w:val="404040"/>
          <w:sz w:val="20"/>
        </w:rPr>
        <w:t>Formal governance matters: when, how, and why states act on the IMF Executive Board</w:t>
      </w:r>
    </w:p>
    <w:p>
      <w:r>
        <w:rPr>
          <w:rFonts w:ascii="Times New Roman" w:hAnsi="Times New Roman" w:eastAsia="宋体"/>
          <w:b w:val="0"/>
          <w:i w:val="0"/>
          <w:color w:val="595959"/>
          <w:sz w:val="18"/>
        </w:rPr>
        <w:t>Timon Forster（School of Economics and Political Science, University of St. Gallen）；Dan Honig（McCourt School of Public Policy, Georgetown University; Department of Political Science, University College London）；Alexandros Kentikelenis（Department of Social and Political Sciences, Bocconi University）</w:t>
      </w:r>
    </w:p>
    <w:p>
      <w:r>
        <w:rPr>
          <w:rFonts w:ascii="Times New Roman" w:hAnsi="Times New Roman" w:eastAsia="宋体"/>
          <w:b w:val="0"/>
          <w:i w:val="0"/>
          <w:sz w:val="22"/>
        </w:rPr>
        <w:t>摘要：国际金融机构是塑造全球发展的核心行为体。关于其治理的研究主要探讨不平等投票权与非正式决策渠道，而对很少投票的正式治理结构中实际决策过程知之甚少。本文将学术审视重新指向这些结构以揭示此前未观察到的国家行为。以推广市场导向改革的关键行为体IMF为例，作者引入新数据集，系统整理1995—2015年间3111次针对发展中国家讨论的IMF执董会成员全部发言。回归分析显示：美、德、日、法、英等最强大成员国的干预与其双边贸易与援助利益相关；这些国家在辩论中频繁相互援引，显示联盟如何实际运作；它们对全球南方国家表达的市场自由化偏好与后续贷款项目中市场自由化条件的增加相关。</w:t>
      </w:r>
    </w:p>
    <w:p>
      <w:r>
        <w:rPr>
          <w:rFonts w:ascii="Times New Roman" w:hAnsi="Times New Roman" w:eastAsia="宋体"/>
          <w:b w:val="0"/>
          <w:i w:val="0"/>
          <w:sz w:val="20"/>
        </w:rPr>
        <w:t>International financial institutions (IFIs) are central actors shaping global development. Scholarship on these institutions’ governance has primarily explored unequal voting rights and informal channels of decision-making. Much less is known about the actual decision-making processes that transpire in the IFIs’ formal governance structures, where votes are rarely taken. This article redirects academic scrutiny to these structures to reveal hitherto unobserved state behavior. Empirically, we examine decision-making at the International Monetary Fund (IMF), a key actor in the diffusion of market-oriented reforms. We introduce a novel dataset systematizing all comments of IMF Executive Board members over 3,111 developing-country-specific discussions between 1995 and 2015. First, regression analysis reveals that the interventions by the IMF’s most powerful member-states—the United States, Germany, Japan, France, and the United Kingdom—correlate with their bilateral trade and aid interests. Second, these countries frequently reference each other in debates, demonstrating how coalitions work in practice. Third, we find that the preferences they express for market liberalization vis-à-vis countries in the Global South are associated with an increase in market-liberalizing conditions in subsequent lending programs. Taken together, this article reveals the usefulness of examining formal deliberations in IFIs, contributing to a fuller understanding of decision-making processes in the international political economy.</w:t>
      </w:r>
    </w:p>
    <w:p/>
    <w:p>
      <w:r>
        <w:rPr>
          <w:rFonts w:ascii="Times New Roman" w:hAnsi="Times New Roman" w:eastAsia="黑体"/>
          <w:b/>
          <w:i w:val="0"/>
          <w:sz w:val="24"/>
        </w:rPr>
        <w:t>当“最佳实践”意味着正规化：乌干达与塞拉利昂习惯地权上的外国大规模土地投资</w:t>
      </w:r>
    </w:p>
    <w:p>
      <w:r>
        <w:rPr>
          <w:rFonts w:ascii="Times New Roman" w:hAnsi="Times New Roman" w:eastAsia="宋体"/>
          <w:b w:val="0"/>
          <w:i/>
          <w:color w:val="404040"/>
          <w:sz w:val="20"/>
        </w:rPr>
        <w:t>When ‘best practice’ means formalising: foreign large-scale land investments on customary tenure in Uganda and Sierra Leone</w:t>
      </w:r>
    </w:p>
    <w:p>
      <w:r>
        <w:rPr>
          <w:rFonts w:ascii="Times New Roman" w:hAnsi="Times New Roman" w:eastAsia="宋体"/>
          <w:b w:val="0"/>
          <w:i w:val="0"/>
          <w:color w:val="595959"/>
          <w:sz w:val="18"/>
        </w:rPr>
        <w:t>Carolin Dieterle（Global Development Institute (GDI), University of Manchester）</w:t>
      </w:r>
    </w:p>
    <w:p>
      <w:r>
        <w:rPr>
          <w:rFonts w:ascii="Times New Roman" w:hAnsi="Times New Roman" w:eastAsia="宋体"/>
          <w:b w:val="0"/>
          <w:i w:val="0"/>
          <w:sz w:val="22"/>
        </w:rPr>
        <w:t>摘要：【摘译】基于乌干达北部与塞拉利昂13个月田野，作者发现全球负责任土地投资规范（地权正规化、自由事先知情同意）的效果取决于国内土地政治、习惯地权的实际承认度与投资者的不同诠释。</w:t>
      </w:r>
    </w:p>
    <w:p>
      <w:r>
        <w:rPr>
          <w:rFonts w:ascii="Times New Roman" w:hAnsi="Times New Roman" w:eastAsia="宋体"/>
          <w:b w:val="0"/>
          <w:i w:val="0"/>
          <w:sz w:val="20"/>
        </w:rPr>
        <w:t>Against the background of the global ‘land rush’ debate, the international community has promoted a plethora of global governance norms for more responsible land investments. A growing emphasis has been set on the formalisation of land rights to protect local communities from dispossession. By now, there is an expectation on companies to identify and protect legitimate land rights and practice principles such as Free Prior Informed Consent. However, how companies do this is under-researched and varies widely. More importantly, whether the recognition and documentation of local land rights in the context of large-scale investments leads to the protection of these rights remains unclear. This paper analyses cases of land investments on customary land in northern Uganda and Sierra Leone, in which investors have facilitated processes of land formalisation. Based on 13 months of fieldwork, this paper argues that the extent to which global norms become effective in these cases is conditioned by the domestic context of land politics, the degree of recognition of customary tenure in practice, as well as the different approaches of investors in interpreting the land tenure security norm.</w:t>
      </w:r>
    </w:p>
    <w:p/>
    <w:p>
      <w:r>
        <w:rPr>
          <w:rFonts w:ascii="Times New Roman" w:hAnsi="Times New Roman" w:eastAsia="黑体"/>
          <w:b/>
          <w:i w:val="0"/>
          <w:sz w:val="24"/>
        </w:rPr>
        <w:t>连接水的国际政治经济学：社会再生产、治理与非国家行为体</w:t>
      </w:r>
    </w:p>
    <w:p>
      <w:r>
        <w:rPr>
          <w:rFonts w:ascii="Times New Roman" w:hAnsi="Times New Roman" w:eastAsia="宋体"/>
          <w:b w:val="0"/>
          <w:i/>
          <w:color w:val="404040"/>
          <w:sz w:val="20"/>
        </w:rPr>
        <w:t>Bridging the international political economy of water: social reproduction, governance and non-state actors</w:t>
      </w:r>
    </w:p>
    <w:p>
      <w:r>
        <w:rPr>
          <w:rFonts w:ascii="Times New Roman" w:hAnsi="Times New Roman" w:eastAsia="宋体"/>
          <w:b w:val="0"/>
          <w:i w:val="0"/>
          <w:color w:val="595959"/>
          <w:sz w:val="18"/>
        </w:rPr>
        <w:t>Gemma Gasseau（Faculty of Political and Social Sciences, Scuola Normale Superiore）</w:t>
      </w:r>
    </w:p>
    <w:p>
      <w:r>
        <w:rPr>
          <w:rFonts w:ascii="Times New Roman" w:hAnsi="Times New Roman" w:eastAsia="宋体"/>
          <w:b w:val="0"/>
          <w:i w:val="0"/>
          <w:sz w:val="22"/>
        </w:rPr>
        <w:t>摘要：【摘译】通过评述五本新书，作者主张以批判、关系性与女性主义路径研究水的国际政治经济学，将水治理视为动态、政治化、有争议的社会关系。</w:t>
      </w:r>
    </w:p>
    <w:p>
      <w:r>
        <w:rPr>
          <w:rFonts w:ascii="Times New Roman" w:hAnsi="Times New Roman" w:eastAsia="宋体"/>
          <w:b w:val="0"/>
          <w:i w:val="0"/>
          <w:sz w:val="20"/>
        </w:rPr>
        <w:t>Water governance has recently gained increasing political and academic attention. However, in many of these debates, it is often narrowly understood as a set of institutional arrangements, rather than as a contested political terrain. I argue that an international political economy (IPE) of water enables scholars to conceptualize water governance not as a thing, but rather as a set of social relations: dynamic rather than static, political rather than technical, and contested rather than consensual. Moreover, I show that a feminist social reproduction approach reveals how the struggle over water is gendered and racialized, making an epistemic shift and contributing to tracing the connection between everyday life and global capitalism. Through the review of five books recently published, I map the emerging field of the IPE of water as a fertile research agenda, and I argue that it should be addressed with an approach that is critical, relational, and feminist. The review article develops its analytical tools by showing: the connection between the local, national, and transnational scales; the changing role of business; and the extension of social reproduction theory to the study of nature, uncovering the intertwined dynamics of exploitation and expropriation.</w:t>
      </w:r>
    </w:p>
    <w:p/>
    <w:p>
      <w:r>
        <w:rPr>
          <w:rFonts w:ascii="Times New Roman" w:hAnsi="Times New Roman" w:eastAsia="宋体"/>
          <w:b/>
          <w:i w:val="0"/>
          <w:sz w:val="22"/>
        </w:rPr>
        <w:t>RIPE： Vol. 32, No. 2, 2025</w:t>
      </w:r>
    </w:p>
    <w:p/>
    <w:p>
      <w:r>
        <w:rPr>
          <w:rFonts w:ascii="Times New Roman" w:hAnsi="Times New Roman" w:eastAsia="黑体"/>
          <w:b/>
          <w:i w:val="0"/>
          <w:sz w:val="24"/>
        </w:rPr>
        <w:t>论经济活动的极限：连接去增长与现代货币理论以实现社会生态可持续与正义</w:t>
      </w:r>
    </w:p>
    <w:p>
      <w:r>
        <w:rPr>
          <w:rFonts w:ascii="Times New Roman" w:hAnsi="Times New Roman" w:eastAsia="宋体"/>
          <w:b w:val="0"/>
          <w:i/>
          <w:color w:val="404040"/>
          <w:sz w:val="20"/>
        </w:rPr>
        <w:t>On the limits of economic activity: bridging degrowth and modern monetary theory for socio-ecological sustainability and justice</w:t>
      </w:r>
    </w:p>
    <w:p>
      <w:r>
        <w:rPr>
          <w:rFonts w:ascii="Times New Roman" w:hAnsi="Times New Roman" w:eastAsia="宋体"/>
          <w:b w:val="0"/>
          <w:i w:val="0"/>
          <w:color w:val="595959"/>
          <w:sz w:val="18"/>
        </w:rPr>
        <w:t>Ellen Helker-Nygren（Institute of the Environment, University of Ottawa）；Ryan Katz-Rosene（School of Political Studies, University of Ottawa）</w:t>
      </w:r>
    </w:p>
    <w:p>
      <w:r>
        <w:rPr>
          <w:rFonts w:ascii="Times New Roman" w:hAnsi="Times New Roman" w:eastAsia="宋体"/>
          <w:b w:val="0"/>
          <w:i w:val="0"/>
          <w:sz w:val="22"/>
        </w:rPr>
        <w:t>摘要：【摘译】文章探讨去增长与现代货币理论的协同与张力，主张两者互补以在行星边界内满足物质需求。</w:t>
      </w:r>
    </w:p>
    <w:p>
      <w:r>
        <w:rPr>
          <w:rFonts w:ascii="Times New Roman" w:hAnsi="Times New Roman" w:eastAsia="宋体"/>
          <w:b w:val="0"/>
          <w:i w:val="0"/>
          <w:sz w:val="20"/>
        </w:rPr>
        <w:t>This paper advances recent work exploring synergies and tensions between two schools of political-economic thought—degrowth and modern monetary theory (MMT)—and posits that this synergy warrants closer attention from International Political Economy and Environment (IPEE) scholars. Thus far, degrowth policies have largely been proposed upon the assumption that governments are limited in budgetary terms. MMT theorists have offered an alternative perspective on fiscal policy space but generally provide insufficient ecological considerations. This paper asks how each school’s underlying assumptions about the limits of economic activity might inform the other’s framework of action. We find that while there are tensions between the two schools’ economic philosophies, there are possibilities for cross-fertilization, which ought to interest IPEE scholars. MMT could engage degrowth’s perspective of ecological limits and global socio-ecological justice in its discussions about what economies can ‘afford’, whereas degrowth could use MMT insights to shift from a ‘pay for’ to a ‘resource’ frame, while centering abundance before limits. Meanwhile, IPEE can provide insights to an MMT-informed degrowth transition by grounding this debate in material analyses of class and power. Our findings suggest that degrowth and MMT could provide a normative direction for IPEE research centered around meeting material needs within planetary boundaries.</w:t>
      </w:r>
    </w:p>
    <w:p/>
    <w:p>
      <w:r>
        <w:rPr>
          <w:rFonts w:ascii="Times New Roman" w:hAnsi="Times New Roman" w:eastAsia="黑体"/>
          <w:b/>
          <w:i w:val="0"/>
          <w:sz w:val="24"/>
        </w:rPr>
        <w:t>解决丰裕问题：风险资本与资产驱动型不平等的形成</w:t>
      </w:r>
    </w:p>
    <w:p>
      <w:r>
        <w:rPr>
          <w:rFonts w:ascii="Times New Roman" w:hAnsi="Times New Roman" w:eastAsia="宋体"/>
          <w:b w:val="0"/>
          <w:i/>
          <w:color w:val="404040"/>
          <w:sz w:val="20"/>
        </w:rPr>
        <w:t>Solving the problem of abundance: venture capital and the making of asset-driven inequalities</w:t>
      </w:r>
    </w:p>
    <w:p>
      <w:r>
        <w:rPr>
          <w:rFonts w:ascii="Times New Roman" w:hAnsi="Times New Roman" w:eastAsia="宋体"/>
          <w:b w:val="0"/>
          <w:i w:val="0"/>
          <w:color w:val="595959"/>
          <w:sz w:val="18"/>
        </w:rPr>
        <w:t>Nils Peters（Department of Sociology, London School of Economics and Political Science）</w:t>
      </w:r>
    </w:p>
    <w:p>
      <w:r>
        <w:rPr>
          <w:rFonts w:ascii="Times New Roman" w:hAnsi="Times New Roman" w:eastAsia="宋体"/>
          <w:b w:val="0"/>
          <w:i w:val="0"/>
          <w:sz w:val="22"/>
        </w:rPr>
        <w:t>摘要：【摘译】作者追溯美国风险资本1950—70年代的形成与制度化，表明风险资本家为解决巨额现金增值“丰裕问题”构建了保障资产增值的金融基础设施，深化了资产驱动型不平等，且巨额个人财富早在新自由主义转向前已起决定作用。</w:t>
      </w:r>
    </w:p>
    <w:p>
      <w:r>
        <w:rPr>
          <w:rFonts w:ascii="Times New Roman" w:hAnsi="Times New Roman" w:eastAsia="宋体"/>
          <w:b w:val="0"/>
          <w:i w:val="0"/>
          <w:sz w:val="20"/>
        </w:rPr>
        <w:t>The 2010s were an era of abundant capital for investors but limited opportunities to put it to profitable use. This paper traces the origins of dealing with the ‘problem’ of having to convert large accumulations of cash into appreciating assets. It puts venture capitalists in the US at the center of this history. Charting venture capital’s 1950s emergence, 1960s formalization, and 1970s institutionalization, I show how early venture capital investors built a financial infrastructure that safeguarded the appreciation of their assets. Venture capitalists’ influence increased as institutional investors (as funders) and startup employees (as investees) became enrolled in this infrastructure and oriented their actions toward its imperatives. I argue that in their handling of abundance, venture capitalists constructed and deepened asset-driven inequalities. Empirically, the paper makes a contribution by demonstrating that vast accumulations of (personal) wealth played a decisive role in this process and highlights the importance of stark inequality well before the neoliberal turn or quantitative easing. Conceptually, I show that venture capitalists’ solution to a personal problem became useful at a much larger scale. The paper argues that we should read this influence as conditioned on elite surplus and access to a financial infrastructure.</w:t>
      </w:r>
    </w:p>
    <w:p/>
    <w:p>
      <w:r>
        <w:rPr>
          <w:rFonts w:ascii="Times New Roman" w:hAnsi="Times New Roman" w:eastAsia="黑体"/>
          <w:b/>
          <w:i w:val="0"/>
          <w:sz w:val="24"/>
        </w:rPr>
        <w:t>谁为谁的基础设施融资？全球项目融资贷款的国家二元分析</w:t>
      </w:r>
    </w:p>
    <w:p>
      <w:r>
        <w:rPr>
          <w:rFonts w:ascii="Times New Roman" w:hAnsi="Times New Roman" w:eastAsia="宋体"/>
          <w:b w:val="0"/>
          <w:i/>
          <w:color w:val="404040"/>
          <w:sz w:val="20"/>
        </w:rPr>
        <w:t>Who funds whose infrastructure? Country dyadic analysis of global project finance loans</w:t>
      </w:r>
    </w:p>
    <w:p>
      <w:r>
        <w:rPr>
          <w:rFonts w:ascii="Times New Roman" w:hAnsi="Times New Roman" w:eastAsia="宋体"/>
          <w:b w:val="0"/>
          <w:i w:val="0"/>
          <w:color w:val="595959"/>
          <w:sz w:val="18"/>
        </w:rPr>
        <w:t>Ruilin Lai（Department of Political Science, Washington University in St. Louis）；Ilker Karaca（Ivy College of Business, Iowa State University）；Ji Yeon Hong（Department of Political Science, University of Michigan）</w:t>
      </w:r>
    </w:p>
    <w:p>
      <w:r>
        <w:rPr>
          <w:rFonts w:ascii="Times New Roman" w:hAnsi="Times New Roman" w:eastAsia="宋体"/>
          <w:b w:val="0"/>
          <w:i w:val="0"/>
          <w:sz w:val="22"/>
        </w:rPr>
        <w:t>摘要：【摘译】基于DealScan全部项目融资交易（1981—2018），作者发现国际项目融资多源自发达民主国家银行，资金在政体相似或截然不同的国家之间流动更多，即自由民主国家筹集的资金帮助一些最封闭的独裁政权为基础设施融资。</w:t>
      </w:r>
    </w:p>
    <w:p>
      <w:r>
        <w:rPr>
          <w:rFonts w:ascii="Times New Roman" w:hAnsi="Times New Roman" w:eastAsia="宋体"/>
          <w:b w:val="0"/>
          <w:i w:val="0"/>
          <w:sz w:val="20"/>
        </w:rPr>
        <w:t>Global project finance investments have become one of the primary funding mechanisms for large infrastructure projects worldwide over the past few decades. This paper examines the country-level dynamics of global project finance loans from 1981 to 2018, using data from all project finance deals reported in the DealScan database. Our analysis reveals that most international project finance loans originate from banks and financial institutions in advanced democracies, while the recipient countries vary widely in terms of regime type and economic development. Through systematic visualization and statistical analysis, we find that transnational capital flows for infrastructure projects are more likely to occur between countries with similar political systems or between those with starkly different regimes. This finding indicates significant lending and borrowing between full democracies and closed autocracies, suggesting that investments raised in liberal democracies enable some of the most closed dictatorships to finance their infrastructure development. The study suggests that closed and repressive regimes might substantially benefit from the globalized project financing system, warranting increased attention from scholars in International Political Economy on political implications of the globalized project finance market.</w:t>
      </w:r>
    </w:p>
    <w:p/>
    <w:p>
      <w:r>
        <w:rPr>
          <w:rFonts w:ascii="Times New Roman" w:hAnsi="Times New Roman" w:eastAsia="黑体"/>
          <w:b/>
          <w:i w:val="0"/>
          <w:sz w:val="24"/>
        </w:rPr>
        <w:t>谁害怕加密化？来自芬兰调查实验的证据</w:t>
      </w:r>
    </w:p>
    <w:p>
      <w:r>
        <w:rPr>
          <w:rFonts w:ascii="Times New Roman" w:hAnsi="Times New Roman" w:eastAsia="宋体"/>
          <w:b w:val="0"/>
          <w:i/>
          <w:color w:val="404040"/>
          <w:sz w:val="20"/>
        </w:rPr>
        <w:t>Who’s afraid of cryptoization? Evidence from a survey experiment in Finland</w:t>
      </w:r>
    </w:p>
    <w:p>
      <w:r>
        <w:rPr>
          <w:rFonts w:ascii="Times New Roman" w:hAnsi="Times New Roman" w:eastAsia="宋体"/>
          <w:b w:val="0"/>
          <w:i w:val="0"/>
          <w:color w:val="595959"/>
          <w:sz w:val="18"/>
        </w:rPr>
        <w:t>Anton Brännlund（Department of Government, Uppsala University）；Lauri Rapeli（Social Science Research Institute, Åbo Akademi University）</w:t>
      </w:r>
    </w:p>
    <w:p>
      <w:r>
        <w:rPr>
          <w:rFonts w:ascii="Times New Roman" w:hAnsi="Times New Roman" w:eastAsia="宋体"/>
          <w:b w:val="0"/>
          <w:i w:val="0"/>
          <w:sz w:val="22"/>
        </w:rPr>
        <w:t>摘要：【摘译】芬兰调查实验显示，关于加密货币政治影响的信息未改变对政府干预的看法，但略微降低个人投资意愿。</w:t>
      </w:r>
    </w:p>
    <w:p>
      <w:r>
        <w:rPr>
          <w:rFonts w:ascii="Times New Roman" w:hAnsi="Times New Roman" w:eastAsia="宋体"/>
          <w:b w:val="0"/>
          <w:i w:val="0"/>
          <w:sz w:val="20"/>
        </w:rPr>
        <w:t>This study examines attitudes toward the economic and political outcomes of widespread cryptocurrency adoption in a survey experiment conducted in Finland. Its goal is to assess how information on the political implications of cryptocurrencies influences individuals’ investment tendencies and their views on regulation and technology abolishment. Utilizing a survey experiment design for causal inference, it explores reactions to the perceived economic, monetary, fiscal, and geopolitical impacts of wider cryptocurrency adoption. Although priming messages had no significant effect on opinions about government intervention in crypto markets, a slight influence on personal investment decisions was noted, with some participants showing increased reluctance to invest due to potential economic and political repercussions. While our findings are not claimed to be universal, we aim to inspire further scholarly engagement with the topic of crypto adoption, a process currently influenced by negotiations between powerful interest groups and regulators. We argue for the importance of considering public attitudes and interests in these discussions.</w:t>
      </w:r>
    </w:p>
    <w:p/>
    <w:p>
      <w:r>
        <w:rPr>
          <w:rFonts w:ascii="Times New Roman" w:hAnsi="Times New Roman" w:eastAsia="黑体"/>
          <w:b/>
          <w:i w:val="0"/>
          <w:sz w:val="24"/>
        </w:rPr>
        <w:t>优惠贸易协定中的非贸易议题与全球价值链</w:t>
      </w:r>
    </w:p>
    <w:p>
      <w:r>
        <w:rPr>
          <w:rFonts w:ascii="Times New Roman" w:hAnsi="Times New Roman" w:eastAsia="宋体"/>
          <w:b w:val="0"/>
          <w:i/>
          <w:color w:val="404040"/>
          <w:sz w:val="20"/>
        </w:rPr>
        <w:t>Non-trade issues in preferential trade agreements and global value chains</w:t>
      </w:r>
    </w:p>
    <w:p>
      <w:r>
        <w:rPr>
          <w:rFonts w:ascii="Times New Roman" w:hAnsi="Times New Roman" w:eastAsia="宋体"/>
          <w:b w:val="0"/>
          <w:i w:val="0"/>
          <w:color w:val="595959"/>
          <w:sz w:val="18"/>
        </w:rPr>
        <w:t>Ida Bastiaens（Fordham University）；Lisa Lechner（Innsbruck University）；Evgeny Postnikov（University of Melbourne）</w:t>
      </w:r>
    </w:p>
    <w:p>
      <w:r>
        <w:rPr>
          <w:rFonts w:ascii="Times New Roman" w:hAnsi="Times New Roman" w:eastAsia="宋体"/>
          <w:b w:val="0"/>
          <w:i w:val="0"/>
          <w:sz w:val="22"/>
        </w:rPr>
        <w:t>摘要：【摘译】对1948—2018年478项优惠贸易协定非贸易条款与并购数据的双重差分分析显示，可执行的劳工与环境条款与国内监管环境互动，引发全球价值链投资地理变化，尤其在全球北方东道国。</w:t>
      </w:r>
    </w:p>
    <w:p>
      <w:r>
        <w:rPr>
          <w:rFonts w:ascii="Times New Roman" w:hAnsi="Times New Roman" w:eastAsia="宋体"/>
          <w:b w:val="0"/>
          <w:i w:val="0"/>
          <w:sz w:val="20"/>
        </w:rPr>
        <w:t>How do labor and environmental provisions (also known as non-trade issues) that are increasingly part of preferential trade agreements (PTAs) affect investment patterns within global value chains (GVCs)? In this article, we explore how the design of these provisions and the local regulatory environments of trading partners influence the geography of production. By employing a difference-in-difference analysis of quantitative data on the design of non-trade issues in 478 PTAs and mergers and acquisitions between 1948 and 2018, we assess the influence of labor and environmental provisions in PTAs on GVCs. Building on the legal and business studies literatures, we expect and empirically find that when countries join PTAs, enforceable non-trade clauses interact with domestic regulatory environments and induce changes in GVCs, especially in Global North hosts. Our findings provide nuance to our current understanding of the interconnections across trade agreement design, domestic regulations, and vertically integrated multinational production.</w:t>
      </w:r>
    </w:p>
    <w:p/>
    <w:p>
      <w:r>
        <w:rPr>
          <w:rFonts w:ascii="Times New Roman" w:hAnsi="Times New Roman" w:eastAsia="黑体"/>
          <w:b/>
          <w:i w:val="0"/>
          <w:sz w:val="24"/>
        </w:rPr>
        <w:t>以气候换贸易：传统贸易利益如何塑造优惠贸易协定委员会中的气候讨论</w:t>
      </w:r>
    </w:p>
    <w:p>
      <w:r>
        <w:rPr>
          <w:rFonts w:ascii="Times New Roman" w:hAnsi="Times New Roman" w:eastAsia="宋体"/>
          <w:b w:val="0"/>
          <w:i/>
          <w:color w:val="404040"/>
          <w:sz w:val="20"/>
        </w:rPr>
        <w:t>Trading off climate: how conventional trade interests shape climate discussions at PTA committees</w:t>
      </w:r>
    </w:p>
    <w:p>
      <w:r>
        <w:rPr>
          <w:rFonts w:ascii="Times New Roman" w:hAnsi="Times New Roman" w:eastAsia="宋体"/>
          <w:b w:val="0"/>
          <w:i w:val="0"/>
          <w:color w:val="595959"/>
          <w:sz w:val="18"/>
        </w:rPr>
        <w:t>Alexandra Bögner（University of Salzburg）</w:t>
      </w:r>
    </w:p>
    <w:p>
      <w:r>
        <w:rPr>
          <w:rFonts w:ascii="Times New Roman" w:hAnsi="Times New Roman" w:eastAsia="宋体"/>
          <w:b w:val="0"/>
          <w:i w:val="0"/>
          <w:sz w:val="22"/>
        </w:rPr>
        <w:t>摘要：【摘译】对欧盟19项优惠贸易协定委员会会议记录及访谈分析显示，在实施阶段欧盟与主要伙伴讨论气候问题主要服务于市场准入等贸易利益，只有与小伙伴才更多“就气候谈气候”。</w:t>
      </w:r>
    </w:p>
    <w:p>
      <w:r>
        <w:rPr>
          <w:rFonts w:ascii="Times New Roman" w:hAnsi="Times New Roman" w:eastAsia="宋体"/>
          <w:b w:val="0"/>
          <w:i w:val="0"/>
          <w:sz w:val="20"/>
        </w:rPr>
        <w:t>Debates over the role of trade policy in addressing climate change have gained steam in recent years. One proposed mechanism that might lead to improved climate outcomes runs through preferential trade agreements (PTAs) and their committees, which may provide a forum for ambitious actors to promote higher standards. So far, we know little about whether and when such promotion occurs at PTA committees. The paper argues that at the PTA implementation stage, where public scrutiny has largely subsided and climate-minded actors are in a weakened position, conventional trade interests, rather than genuine climate concerns, shape discussions of climate issues between the parties. An analysis of minutes from committee meetings under 19 European Union PTAs, supported by interview evidence, shows that the parties discuss climate issues routinely and extensively, but that especially with its major trade partners, the EU discusses climate issues primarily in connection to, and prioritizes, trade interests, notably the advancement and safeguarding of market access for EU companies. Only with smaller trade partners is climate more often discussed ‘in its own right’. Opening the black box of PTA committees, the paper speaks to debates about issue linkages and tensions between conventional trade and other interests in trade agreements.</w:t>
      </w:r>
    </w:p>
    <w:p/>
    <w:p>
      <w:r>
        <w:rPr>
          <w:rFonts w:ascii="Times New Roman" w:hAnsi="Times New Roman" w:eastAsia="黑体"/>
          <w:b/>
          <w:i w:val="0"/>
          <w:sz w:val="24"/>
        </w:rPr>
        <w:t>跨国模式的国内生命：德英宏观审慎政策与转译政治</w:t>
      </w:r>
    </w:p>
    <w:p>
      <w:r>
        <w:rPr>
          <w:rFonts w:ascii="Times New Roman" w:hAnsi="Times New Roman" w:eastAsia="宋体"/>
          <w:b w:val="0"/>
          <w:i/>
          <w:color w:val="404040"/>
          <w:sz w:val="20"/>
        </w:rPr>
        <w:t>The national life of transnational models: macroprudential policy and the politics of translation in Germany and the UK</w:t>
      </w:r>
    </w:p>
    <w:p>
      <w:r>
        <w:rPr>
          <w:rFonts w:ascii="Times New Roman" w:hAnsi="Times New Roman" w:eastAsia="宋体"/>
          <w:b w:val="0"/>
          <w:i w:val="0"/>
          <w:color w:val="595959"/>
          <w:sz w:val="18"/>
        </w:rPr>
        <w:t>Nick Kotucha（University of Warwick）</w:t>
      </w:r>
    </w:p>
    <w:p>
      <w:r>
        <w:rPr>
          <w:rFonts w:ascii="Times New Roman" w:hAnsi="Times New Roman" w:eastAsia="宋体"/>
          <w:b w:val="0"/>
          <w:i w:val="0"/>
          <w:sz w:val="22"/>
        </w:rPr>
        <w:t>摘要：【摘译】德英宏观审慎政策在话语与工具上高度趋同，但具体工具使用差异显著，原因在于央行对进口观念与模型进行“转译”，即内生化与情境化处理。</w:t>
      </w:r>
    </w:p>
    <w:p>
      <w:r>
        <w:rPr>
          <w:rFonts w:ascii="Times New Roman" w:hAnsi="Times New Roman" w:eastAsia="宋体"/>
          <w:b w:val="0"/>
          <w:i w:val="0"/>
          <w:sz w:val="20"/>
        </w:rPr>
        <w:t>Most scholarship to date has treated macroprudential policy as a relatively coherent approach developed through transnational processes of knowledge construction. Using Germany and the UK as a case study, this article shows that there was indeed a remarkable level of convergence on an internationally validated set of key ideas, models, scripts, and policy tools even in countries with otherwise widely diverging traditions of financial governance. Surprisingly, however, similarities in discourse are often still accompanied by very different uses of individual policy tools. This article argues that to make sense of these persistent differences, we have to pay attention to the ways in which central bankers tend to subject imported ideas and scripts to a process of translation before using them in the actual policy process. Of particular importance in this regard are attempts at endogenization and contextualization of models and indicators imported from the transnational realm. In drawing attention to these processes of policy translation, the article also reaffirms the inherently political nature of the operationalization of transnationally validated ideas. It will be argued that the processes of translation thus uncovered are likely to be relevant to a much broader array of policy domains and countries.</w:t>
      </w:r>
    </w:p>
    <w:p/>
    <w:p>
      <w:r>
        <w:rPr>
          <w:rFonts w:ascii="Times New Roman" w:hAnsi="Times New Roman" w:eastAsia="黑体"/>
          <w:b/>
          <w:i w:val="0"/>
          <w:sz w:val="24"/>
        </w:rPr>
        <w:t>恐惧起作用时：面对冲突时不同的对外经济合作偏好</w:t>
      </w:r>
    </w:p>
    <w:p>
      <w:r>
        <w:rPr>
          <w:rFonts w:ascii="Times New Roman" w:hAnsi="Times New Roman" w:eastAsia="宋体"/>
          <w:b w:val="0"/>
          <w:i/>
          <w:color w:val="404040"/>
          <w:sz w:val="20"/>
        </w:rPr>
        <w:t>When fear matters: varied foreign economic cooperation preferences in the face of conflict</w:t>
      </w:r>
    </w:p>
    <w:p>
      <w:r>
        <w:rPr>
          <w:rFonts w:ascii="Times New Roman" w:hAnsi="Times New Roman" w:eastAsia="宋体"/>
          <w:b w:val="0"/>
          <w:i w:val="0"/>
          <w:color w:val="595959"/>
          <w:sz w:val="18"/>
        </w:rPr>
        <w:t>David J. Bulman（China Studies, Johns Hopkins School of Advanced International Studies (SAIS)）</w:t>
      </w:r>
    </w:p>
    <w:p>
      <w:r>
        <w:rPr>
          <w:rFonts w:ascii="Times New Roman" w:hAnsi="Times New Roman" w:eastAsia="宋体"/>
          <w:b w:val="0"/>
          <w:i w:val="0"/>
          <w:sz w:val="22"/>
        </w:rPr>
        <w:t>摘要：感知的安全威胁如何塑造个人对国际经济合作的偏好？关于个人贸易与投资偏好的现有文献结论不一：有证据表明个人或受安全外部性担忧驱动，或寄望经济合作能阻止未来冲突。利用在中国（N=1140）、印度（N=1435）和美国（N=1397）开展的互补调查实验，聚焦中美和中印双边关系中的安全紧张，作者分析突出安全恐惧情境下公众对双边贸易与投资的支持。结果显示安全恐惧以复杂方式激发个人经济合作偏好：启动安全恐惧会提高对广泛合作与贸易措施的支持，但也使受访者更支持狭义的经济保护主义，包括对内与对外投资限制以及定向出口管制。</w:t>
      </w:r>
    </w:p>
    <w:p>
      <w:r>
        <w:rPr>
          <w:rFonts w:ascii="Times New Roman" w:hAnsi="Times New Roman" w:eastAsia="宋体"/>
          <w:b w:val="0"/>
          <w:i w:val="0"/>
          <w:sz w:val="20"/>
        </w:rPr>
        <w:t>How do perceived security threats shape individual preferences for international economic cooperation? Existing literature on individual trade and investment preferences reaches inconsistent conclusions, with evidence that individuals are alternately motivated by concerns about security externalities and hopes that economic cooperation will thwart future conflict. Using complementary survey experiments conducted in China (N = 1,140), India (N = 1,435), and the United States (N = 1,397), and focusing on security tensions in the US–China and China–India bilateral relationships, the article analyzes public support for bilateral trade and investment in the context of salient security fears. Results suggest that security fears motivate individual preferences for economic cooperation in complex ways: priming security fears increases individual support for broad measures of cooperation and trade, but also leads respondents to become more supportive of narrow measures of economic protectionism, including inward and outward investment restrictions and targeted export controls. These findings have several important implications. First, they add depth to existing theories of individual economic cooperation preferences, identifying the varied ways in which security fears affect economic preferences. Additionally, the results shed light on potential public opinion mechanisms behind the commercial peace phenomenon and suggest that this mechanism has declined in relevance as economic cooperation has become increasingly securitized.</w:t>
      </w:r>
    </w:p>
    <w:p/>
    <w:p>
      <w:r>
        <w:rPr>
          <w:rFonts w:ascii="Times New Roman" w:hAnsi="Times New Roman" w:eastAsia="黑体"/>
          <w:b/>
          <w:i w:val="0"/>
          <w:sz w:val="24"/>
        </w:rPr>
        <w:t>重新发现跨国企业：“企业逃逸”研究的兴衰</w:t>
      </w:r>
    </w:p>
    <w:p>
      <w:r>
        <w:rPr>
          <w:rFonts w:ascii="Times New Roman" w:hAnsi="Times New Roman" w:eastAsia="宋体"/>
          <w:b w:val="0"/>
          <w:i/>
          <w:color w:val="404040"/>
          <w:sz w:val="20"/>
        </w:rPr>
        <w:t>Rediscovering the multinational enterprise: the rise and fall of ‘corporate escape’ studies</w:t>
      </w:r>
    </w:p>
    <w:p>
      <w:r>
        <w:rPr>
          <w:rFonts w:ascii="Times New Roman" w:hAnsi="Times New Roman" w:eastAsia="宋体"/>
          <w:b w:val="0"/>
          <w:i w:val="0"/>
          <w:color w:val="595959"/>
          <w:sz w:val="18"/>
        </w:rPr>
        <w:t>Matti Ylönen（Faculty of Social Sciences, University of Helsinki）；Rasmus Corlin Christensen（Department of Organisation, Copenhagen Business School）</w:t>
      </w:r>
    </w:p>
    <w:p>
      <w:r>
        <w:rPr>
          <w:rFonts w:ascii="Times New Roman" w:hAnsi="Times New Roman" w:eastAsia="宋体"/>
          <w:b w:val="0"/>
          <w:i w:val="0"/>
          <w:sz w:val="22"/>
        </w:rPr>
        <w:t>摘要：【摘译】通过口述史、档案与文献计量，作者解释跨国企业避税“企业逃逸”研究在1970年代兴起、1980—90年代衰落、2010年代复兴的原因：与跨学科技术知识的接触及跨国企业政治化程度。</w:t>
      </w:r>
    </w:p>
    <w:p>
      <w:r>
        <w:rPr>
          <w:rFonts w:ascii="Times New Roman" w:hAnsi="Times New Roman" w:eastAsia="宋体"/>
          <w:b w:val="0"/>
          <w:i w:val="0"/>
          <w:sz w:val="20"/>
        </w:rPr>
        <w:t>Recent scholarship has revealed the rapid post-1980s growth, dramatic scope, and socio-economic consequences of multinational enterprises’ (MNEs) corporate tax avoidance and tax haven use. But why did social scientists only start systematically studying these dynamics in the 2010s? This is especially puzzling for International Political Economy (IPE) given that early IPE, in the 1970s, centered analyses of MNEs and their tax affairs under a rubric that Charles Kindleberger called ‘corporate escape’. Drawing on a collective oral history from pioneer interviews, historical documents, and bibliometric analysis, we identify two factors that explain the 1970s origins, the late-century fall, and the recent rise, of corporate escape studies: engagement with transdisciplinary technical knowledge of MNEs, and interaction with the politicization of MNEs. We explain how researchers abandoned the corporate escape agenda in the 1980s–1990s, losing technical insights from cognate disciplines and institutions, and refocusing around economistic and macro-structural analyses. These factors also elucidate why corporate escape studies only fully reinvigorated in the 2010s with political tailwinds and renewed investments in transdisciplinarity. These insights contribute to debates on IPE history and research, reintroduce MNEs as key meso-level institutions, and underscore the importance of historical awareness for studying corporate (mis)conduct and global inequalities.</w:t>
      </w:r>
    </w:p>
    <w:p/>
    <w:p>
      <w:r>
        <w:rPr>
          <w:rFonts w:ascii="Times New Roman" w:hAnsi="Times New Roman" w:eastAsia="黑体"/>
          <w:b/>
          <w:i w:val="0"/>
          <w:sz w:val="24"/>
        </w:rPr>
        <w:t>高收入税与金融化</w:t>
      </w:r>
    </w:p>
    <w:p>
      <w:r>
        <w:rPr>
          <w:rFonts w:ascii="Times New Roman" w:hAnsi="Times New Roman" w:eastAsia="宋体"/>
          <w:b w:val="0"/>
          <w:i/>
          <w:color w:val="404040"/>
          <w:sz w:val="20"/>
        </w:rPr>
        <w:t>Taxes on top incomes and financialisation</w:t>
      </w:r>
    </w:p>
    <w:p>
      <w:r>
        <w:rPr>
          <w:rFonts w:ascii="Times New Roman" w:hAnsi="Times New Roman" w:eastAsia="宋体"/>
          <w:b w:val="0"/>
          <w:i w:val="0"/>
          <w:color w:val="595959"/>
          <w:sz w:val="18"/>
        </w:rPr>
        <w:t>Lukas Haffert（Department of Political Science and International Relations, University of Geneva）；David Hope（Department of Political Economy, King’s College London）；Julian Limberg（Department of Political Economy, King’s College London）</w:t>
      </w:r>
    </w:p>
    <w:p>
      <w:r>
        <w:rPr>
          <w:rFonts w:ascii="Times New Roman" w:hAnsi="Times New Roman" w:eastAsia="宋体"/>
          <w:b w:val="0"/>
          <w:i w:val="0"/>
          <w:sz w:val="22"/>
        </w:rPr>
        <w:t>摘要：【摘译】对1970—2019年20个OECD国家的双重差分分析显示，削减高收入税率会提高金融部门的相对规模，在金融全球化程度高的经济体中效应更强。</w:t>
      </w:r>
    </w:p>
    <w:p>
      <w:r>
        <w:rPr>
          <w:rFonts w:ascii="Times New Roman" w:hAnsi="Times New Roman" w:eastAsia="宋体"/>
          <w:b w:val="0"/>
          <w:i w:val="0"/>
          <w:sz w:val="20"/>
        </w:rPr>
        <w:t>Financialisation is one of the most prominent economic developments of the past half century in the advanced democracies. While the existing literature focuses on financial deregulation and liberalisation as the key policy changes driving financialisation, this paper contends that tax policy also plays a crucial role. More specifically, we argue that cuts to taxes on top incomes disproportionately benefit the financial sector, as it pays unusually high salaries and employs a highly mobile labour force, both domestically and internationally. As a consequence, the finance industry gains more from top income tax cuts than other industries. A difference-in-differences analysis covering 20 countries in the Organisation for Economic Co-operation and Development (OECD) from 1970 to 2019 provides strong evidence that cuts in top income tax rates increase the (relative) size of the financial sector. A complementary time-series cross-sectional analysis finds that these effects are even greater in more financially globalised economies.</w:t>
      </w:r>
    </w:p>
    <w:p/>
    <w:p>
      <w:r>
        <w:rPr>
          <w:rFonts w:ascii="Times New Roman" w:hAnsi="Times New Roman" w:eastAsia="黑体"/>
          <w:b/>
          <w:i w:val="0"/>
          <w:sz w:val="24"/>
        </w:rPr>
        <w:t>资产管理者资本主义与人工智能的政治经济学</w:t>
      </w:r>
    </w:p>
    <w:p>
      <w:r>
        <w:rPr>
          <w:rFonts w:ascii="Times New Roman" w:hAnsi="Times New Roman" w:eastAsia="宋体"/>
          <w:b w:val="0"/>
          <w:i/>
          <w:color w:val="404040"/>
          <w:sz w:val="20"/>
        </w:rPr>
        <w:t>Asset manager capitalism and the political economy of artificial intelligence</w:t>
      </w:r>
    </w:p>
    <w:p>
      <w:r>
        <w:rPr>
          <w:rFonts w:ascii="Times New Roman" w:hAnsi="Times New Roman" w:eastAsia="宋体"/>
          <w:b w:val="0"/>
          <w:i w:val="0"/>
          <w:color w:val="595959"/>
          <w:sz w:val="18"/>
        </w:rPr>
        <w:t>Andrea Lagna（Alliance Manchester Business School, The University of Manchester）</w:t>
      </w:r>
    </w:p>
    <w:p>
      <w:r>
        <w:rPr>
          <w:rFonts w:ascii="Times New Roman" w:hAnsi="Times New Roman" w:eastAsia="宋体"/>
          <w:b w:val="0"/>
          <w:i w:val="0"/>
          <w:sz w:val="22"/>
        </w:rPr>
        <w:t>摘要：【摘译】作者提出研究框架，探讨人工智能如何重塑资产管理竞争并增强投资管理巨头在数据经济中的权力。</w:t>
      </w:r>
    </w:p>
    <w:p>
      <w:r>
        <w:rPr>
          <w:rFonts w:ascii="Times New Roman" w:hAnsi="Times New Roman" w:eastAsia="宋体"/>
          <w:b w:val="0"/>
          <w:i w:val="0"/>
          <w:sz w:val="20"/>
        </w:rPr>
        <w:t>Artificial intelligence (AI) represents the next technological frontier in asset management. Drawing on the asset manager capitalism literature in International Political Economy (IPE) and the scholarship on machine learning (ML) in Social Studies of Finance (SSF), I propose a framework to guide research on how AI is redefining competition in the asset management sector and augmenting the power of investment management giants. This framework comprises three interrelated thematic areas: (a) the intersections of asset management and AI; (b) the intelligent technologies of asset management; and (c) the power of asset management firms in the data economy. This research agenda encourages greater collaboration between IPE and SSF scholars in exploring the emerging AI-driven power dynamics in asset management. Additionally, it enables IPE scholars to enrich interdisciplinary conversations on the political economy of AI.</w:t>
      </w:r>
    </w:p>
    <w:p/>
    <w:p>
      <w:r>
        <w:rPr>
          <w:rFonts w:ascii="Times New Roman" w:hAnsi="Times New Roman" w:eastAsia="宋体"/>
          <w:b/>
          <w:i w:val="0"/>
          <w:sz w:val="22"/>
        </w:rPr>
        <w:t>RIPE： Vol. 32, No. 1, 2025</w:t>
      </w:r>
    </w:p>
    <w:p/>
    <w:p>
      <w:r>
        <w:rPr>
          <w:rFonts w:ascii="Times New Roman" w:hAnsi="Times New Roman" w:eastAsia="黑体"/>
          <w:b/>
          <w:i w:val="0"/>
          <w:sz w:val="24"/>
        </w:rPr>
        <w:t>外部脆弱性的蜕变——从“原罪”到“原罪再现”：新兴经济体的货币等级与金融全球化</w:t>
      </w:r>
    </w:p>
    <w:p>
      <w:r>
        <w:rPr>
          <w:rFonts w:ascii="Times New Roman" w:hAnsi="Times New Roman" w:eastAsia="宋体"/>
          <w:b w:val="0"/>
          <w:i/>
          <w:color w:val="404040"/>
          <w:sz w:val="20"/>
        </w:rPr>
        <w:t>The metamorphosis of external vulnerability from ‘original sin’ to ‘original sin redux’: currency hierarchy and financial globalization in emerging economies</w:t>
      </w:r>
    </w:p>
    <w:p>
      <w:r>
        <w:rPr>
          <w:rFonts w:ascii="Times New Roman" w:hAnsi="Times New Roman" w:eastAsia="宋体"/>
          <w:b w:val="0"/>
          <w:i w:val="0"/>
          <w:color w:val="595959"/>
          <w:sz w:val="18"/>
        </w:rPr>
        <w:t>Luiz Fernando de Paula（Federal University of Rio de Janeiro (IE/UFRJ) and State University of Rio de Janeiro (IESP/UERJ), Rio de Janeiro, Brazil）；Barbara Fritz（Freie Universität Berlin, Berlin, Germany）；Daniela Prates（UNCTAD, Geneva, Switzerland）</w:t>
      </w:r>
    </w:p>
    <w:p>
      <w:r>
        <w:rPr>
          <w:rFonts w:ascii="Times New Roman" w:hAnsi="Times New Roman" w:eastAsia="宋体"/>
          <w:b w:val="0"/>
          <w:i w:val="0"/>
          <w:sz w:val="22"/>
        </w:rPr>
        <w:t>摘要：【摘译】作者以货币等级概念与资产负债表分析指出，新兴经济体外部脆弱性从“原罪”（外币借贷）演变为“原罪再现”（本币证券被外资持有带来的新脆弱渠道），主要暴露在私人部门。</w:t>
      </w:r>
    </w:p>
    <w:p>
      <w:r>
        <w:rPr>
          <w:rFonts w:ascii="Times New Roman" w:hAnsi="Times New Roman" w:eastAsia="宋体"/>
          <w:b w:val="0"/>
          <w:i w:val="0"/>
          <w:sz w:val="20"/>
        </w:rPr>
        <w:t>How has financial globalization changed the nature of external vulnerability of emerging economies? To answer this question, we first present an overview of the changes in international capital flows and cross-border stocks involving emerging economies from the 1970s to the COVID-19 crisis and then identify relevant recent shifts in financial globalization. We adapt the concept of currency hierarchy to the most recent features of financial globalization. We deploy a stylized balance sheet analysis to better understand the metamorphosis of these economies’ vulnerabilities. We find the occurrence of the phenomenon of ‘original sin’ during financial internationalization. In contrast, in more recent times of financial globalization, the diversification of financial flows and investors and the increase of securities denominated in domestic currency have created additional channels of vulnerability, labeled as ‘original sin redux’. We find that the private sector in Southern economies is mostly exposed to these new vulnerabilities. At first sight, it is good news because it preserves the fiscal space of Southern States in the case of capital outflows. However, it might create new contingent liabilities for the public sector. We call for capital account regulation in a broad sense to target these new complex vulnerabilities.</w:t>
      </w:r>
    </w:p>
    <w:p/>
    <w:p>
      <w:r>
        <w:rPr>
          <w:rFonts w:ascii="Times New Roman" w:hAnsi="Times New Roman" w:eastAsia="黑体"/>
          <w:b/>
          <w:i w:val="0"/>
          <w:sz w:val="24"/>
        </w:rPr>
        <w:t>南锥体的发展、民主与依附：政治联盟、稳定机制及其风险</w:t>
      </w:r>
    </w:p>
    <w:p>
      <w:r>
        <w:rPr>
          <w:rFonts w:ascii="Times New Roman" w:hAnsi="Times New Roman" w:eastAsia="宋体"/>
          <w:b w:val="0"/>
          <w:i/>
          <w:color w:val="404040"/>
          <w:sz w:val="20"/>
        </w:rPr>
        <w:t>Development, democracy, and dependence in the Southern Cone: political coalitions, stabilizing mechanisms, and their hazards</w:t>
      </w:r>
    </w:p>
    <w:p>
      <w:r>
        <w:rPr>
          <w:rFonts w:ascii="Times New Roman" w:hAnsi="Times New Roman" w:eastAsia="宋体"/>
          <w:b w:val="0"/>
          <w:i w:val="0"/>
          <w:color w:val="595959"/>
          <w:sz w:val="18"/>
        </w:rPr>
        <w:t>Belén Villegas Plá（Department of Politics and International Relations, University of York, York, UK）；Alejandro M. Peña（Department of Politics and International Relations, University of York, York, UK）</w:t>
      </w:r>
    </w:p>
    <w:p>
      <w:r>
        <w:rPr>
          <w:rFonts w:ascii="Times New Roman" w:hAnsi="Times New Roman" w:eastAsia="宋体"/>
          <w:b w:val="0"/>
          <w:i w:val="0"/>
          <w:sz w:val="22"/>
        </w:rPr>
        <w:t>摘要：【摘译】作者以阿根廷、智利、乌拉圭为例，提出“依附型中等民主经济体”可通过霸权政党、精英共识等因地制宜的稳定机制维持发展导向联盟。</w:t>
      </w:r>
    </w:p>
    <w:p>
      <w:r>
        <w:rPr>
          <w:rFonts w:ascii="Times New Roman" w:hAnsi="Times New Roman" w:eastAsia="宋体"/>
          <w:b w:val="0"/>
          <w:i w:val="0"/>
          <w:sz w:val="20"/>
        </w:rPr>
        <w:t>This article explores the challenge of sustaining development-oriented political coalitions in ‘dependent intermediate democratic economies’ (IDDEs). Scholars have pointed out that the absence of upgrading coalitions in IDDEs, particularly in Latin America, results from weak economic and political institutions and fragmented political support, as well as from the political and social turbulences introduced by economic dependency. Our argument, however, is that some Latin American IDDEs have managed to craft semi-stable political configurations capable of sustaining development and reform processes with relative success. These intermediate coalitions pivot on context-specific stabilization mechanisms that balance institutional, political, and economic fragilities and tensions. To support this argument, we take issue with three countries in Latin America’s Southern Cone – Argentina, Chile, and Uruguay – and distinguish three different types of stabilization mechanism at play in each of these cases: an Argentine-style variant based on the hegemonic role played by a dominant political party, a Chilean-style variant based on elite consensus and the atomization of collective organization, and a Uruguayan-style variant sustained by stable links between and within economic and social sectors. Additionally, we explore how each of these configurations, due to their structure, carry inherent hazards that envision specific trajectories of destabilization.</w:t>
      </w:r>
    </w:p>
    <w:p/>
    <w:p>
      <w:r>
        <w:rPr>
          <w:rFonts w:ascii="Times New Roman" w:hAnsi="Times New Roman" w:eastAsia="黑体"/>
          <w:b/>
          <w:i w:val="0"/>
          <w:sz w:val="24"/>
        </w:rPr>
        <w:t>非正式司法规范能否抵御政治压力？</w:t>
      </w:r>
    </w:p>
    <w:p>
      <w:r>
        <w:rPr>
          <w:rFonts w:ascii="Times New Roman" w:hAnsi="Times New Roman" w:eastAsia="宋体"/>
          <w:b w:val="0"/>
          <w:i/>
          <w:color w:val="404040"/>
          <w:sz w:val="20"/>
        </w:rPr>
        <w:t>Can informal judicial norms protect against political pressure?</w:t>
      </w:r>
    </w:p>
    <w:p>
      <w:r>
        <w:rPr>
          <w:rFonts w:ascii="Times New Roman" w:hAnsi="Times New Roman" w:eastAsia="宋体"/>
          <w:b w:val="0"/>
          <w:i w:val="0"/>
          <w:color w:val="595959"/>
          <w:sz w:val="18"/>
        </w:rPr>
        <w:t>Joost Pauwelyn（Graduate Institute of International and Development Studies, Geneva, Switzerland; Georgetown University Law Center, Washington, DC, USA）；Krzysztof Pelc（Department of Politics and International Relations, Oxford University, Oxford, UK; Korea University, Seoul, South Korea）</w:t>
      </w:r>
    </w:p>
    <w:p>
      <w:r>
        <w:rPr>
          <w:rFonts w:ascii="Times New Roman" w:hAnsi="Times New Roman" w:eastAsia="宋体"/>
          <w:b w:val="0"/>
          <w:i w:val="0"/>
          <w:sz w:val="22"/>
        </w:rPr>
        <w:t>摘要：国际法庭在司法自主承诺与管理成员政治预期之间被拉扯，以免后者限制法庭权力。作者认为当国际制度的正式设计使其易受政治控制时，制度行为体可通过自我施加约束保护自身免受过度监督。作者在世界贸易组织上诉机构情境中考察这一现象——直至近期它仍被誉为最成功的国际法庭之一——认为上诉机构成员早期坚持合议性与一致意见具有（1）转移政治指责、（2）为未按政府意愿提出反对意见的裁判者提供掩护的效果。随着一致意见这一非正式规范被削弱，WTO成员的政治控制增强，最终美国使上诉机构陷入瘫痪。较弱行为体可在正式规则下改善其处境，但这需要对一套非正式规范的坚定承诺，而这本身也带来挑战。</w:t>
      </w:r>
    </w:p>
    <w:p>
      <w:r>
        <w:rPr>
          <w:rFonts w:ascii="Times New Roman" w:hAnsi="Times New Roman" w:eastAsia="宋体"/>
          <w:b w:val="0"/>
          <w:i w:val="0"/>
          <w:sz w:val="20"/>
        </w:rPr>
        <w:t>International tribunals are pulled between a commitment to judicial autonomy and the need to manage their members’ political expectations, lest these rein in the tribunal’s power. We argue that when the formal design of international institutions leaves them exposed to political control, institutional actors can respond by self-imposing constraints to protect themselves from excessive oversight. We examine this phenomenon in the context of the World Trade Organization’s (WTO) Appellate Body (AB), touted until recently as one of the most successful international tribunals in existence. We argue that the early insistence on collegiality and consensus opinions among WTO AB members had the effect of (i) deflecting political blame and (ii) providing cover for adjudicators who did not dissent when governments might have wished them to. As the informal norm of consensus opinion was weakened, political control by WTO members grew stronger, culminating in the United States’s move to paralyze the AB. Weaker actors can thus improve their position under formal rules, yet this requires a strong commitment to a set of informal norms, which comes with its own challenges.</w:t>
      </w:r>
    </w:p>
    <w:p/>
    <w:p>
      <w:r>
        <w:rPr>
          <w:rFonts w:ascii="Times New Roman" w:hAnsi="Times New Roman" w:eastAsia="黑体"/>
          <w:b/>
          <w:i w:val="0"/>
          <w:sz w:val="24"/>
        </w:rPr>
        <w:t>航空例外主义、化石燃料与国家</w:t>
      </w:r>
    </w:p>
    <w:p>
      <w:r>
        <w:rPr>
          <w:rFonts w:ascii="Times New Roman" w:hAnsi="Times New Roman" w:eastAsia="宋体"/>
          <w:b w:val="0"/>
          <w:i/>
          <w:color w:val="404040"/>
          <w:sz w:val="20"/>
        </w:rPr>
        <w:t>Aviation exceptionalism, fossil fuels and the state</w:t>
      </w:r>
    </w:p>
    <w:p>
      <w:r>
        <w:rPr>
          <w:rFonts w:ascii="Times New Roman" w:hAnsi="Times New Roman" w:eastAsia="宋体"/>
          <w:b w:val="0"/>
          <w:i w:val="0"/>
          <w:color w:val="595959"/>
          <w:sz w:val="18"/>
        </w:rPr>
        <w:t>Vera Huwe（Institute for Socio-Economics, University of Duisburg-Essen, Duisburg-Essen, Germany）；Debbie Hopkins（Department for Continuing Education and School of Geography and the Environment, University of Oxford, United Kingdom of Great Britain and Northern Ireland）；Giulio Mattioli（Department of Transport Planning, Technical University of Dortmund, Germany）</w:t>
      </w:r>
    </w:p>
    <w:p>
      <w:r>
        <w:rPr>
          <w:rFonts w:ascii="Times New Roman" w:hAnsi="Times New Roman" w:eastAsia="宋体"/>
          <w:b w:val="0"/>
          <w:i w:val="0"/>
          <w:sz w:val="22"/>
        </w:rPr>
        <w:t>摘要：【摘译】作者分析国家作为航空业所有者、赞助者与客户的角色，指出这些角色与气候目标冲突，并提出利用这些国家能力推动航空化石燃料退出的策略。</w:t>
      </w:r>
    </w:p>
    <w:p>
      <w:r>
        <w:rPr>
          <w:rFonts w:ascii="Times New Roman" w:hAnsi="Times New Roman" w:eastAsia="宋体"/>
          <w:b w:val="0"/>
          <w:i w:val="0"/>
          <w:sz w:val="20"/>
        </w:rPr>
        <w:t>While states have accelerated the energy transition in some sectors, they have also obstructed fossil phase-out in other sectors. Aviation has an outsized and rapidly growing climate impact, and associated policy decisions have perpetuated fossil fuel use. Since aviation is dependent on high energy density that only fossil fuels can (currently) provide, the industry faces fundamental constraints to green its capital. Yet, the industry does not operate in isolation. In this paper, we show how the state performs a variety of roles that benefit from and support aviation, creating conflicts with the state’s climate targets. We analyze state–industry relations as they relate to the emergence of air transport and its ongoing carbon-dependent formulations. Combining a relational account of the state and the method of critical problem-solving, we characterize the roles of the state vis-à-vis the industry as owner, sponsor and customer and point to strategies of how the associated capacities can be leveraged to drive fossil phase-out in aviation. Since a rapid and comprehensive phase-out of fossil fuels is required for climate stabilization, we argue that political economists can make important contributions by focusing on the socio-material relations that constrain state agency to phase-out fossil fuels in specific sectors.</w:t>
      </w:r>
    </w:p>
    <w:p/>
    <w:p>
      <w:r>
        <w:rPr>
          <w:rFonts w:ascii="Times New Roman" w:hAnsi="Times New Roman" w:eastAsia="黑体"/>
          <w:b/>
          <w:i w:val="0"/>
          <w:sz w:val="24"/>
        </w:rPr>
        <w:t>建立与维持企业帝国：外国直接投资政治经济学（补遗）</w:t>
      </w:r>
    </w:p>
    <w:p>
      <w:r>
        <w:rPr>
          <w:rFonts w:ascii="Times New Roman" w:hAnsi="Times New Roman" w:eastAsia="宋体"/>
          <w:b w:val="0"/>
          <w:i/>
          <w:color w:val="404040"/>
          <w:sz w:val="20"/>
        </w:rPr>
        <w:t>Making and maintaining corporate empires: the political economy of FDI, appended</w:t>
      </w:r>
    </w:p>
    <w:p>
      <w:r>
        <w:rPr>
          <w:rFonts w:ascii="Times New Roman" w:hAnsi="Times New Roman" w:eastAsia="宋体"/>
          <w:b w:val="0"/>
          <w:i w:val="0"/>
          <w:color w:val="595959"/>
          <w:sz w:val="18"/>
        </w:rPr>
        <w:t>Colin M. Barry（Department of Political Science, University of Oklahoma, Norman, OK, USA）</w:t>
      </w:r>
    </w:p>
    <w:p>
      <w:r>
        <w:rPr>
          <w:rFonts w:ascii="Times New Roman" w:hAnsi="Times New Roman" w:eastAsia="宋体"/>
          <w:b w:val="0"/>
          <w:i w:val="0"/>
          <w:sz w:val="22"/>
        </w:rPr>
        <w:t>摘要：【摘译】作者提出外国直接投资两阶段理论：进入前“伙伴关系启动”阶段遵循预期逻辑，进入后“伙伴关系维持”阶段遵循适应逻辑；基于1994—2018年2万多家跨国公司数据检验。</w:t>
      </w:r>
    </w:p>
    <w:p>
      <w:r>
        <w:rPr>
          <w:rFonts w:ascii="Times New Roman" w:hAnsi="Times New Roman" w:eastAsia="宋体"/>
          <w:b w:val="0"/>
          <w:i w:val="0"/>
          <w:sz w:val="20"/>
        </w:rPr>
        <w:t>A common assumption in political economy theories of foreign direct investment (FDI) is that capital mobility declines once the multinational corporation (MNC) commits resources to a host site. It follows that the logic governing firm behavior changes after entry – a dynamic that has been too often neglected in the existing literature. I address the matter here, presenting a two-phase theory of FDI. During the ‘partnership initiation’ phase, firm decision-making follows an anticipatory logic; but this switches to an adaptive logic during the ‘partnership maintenance’ phase. I consider how this affects firms’ responsiveness to the host’s macro-political and economic environment, deriving distinct hypotheses that reflect the theorized change in FDI decision-making from one phase to the next. I test these hypotheses against data on FDI positions for more than 20,000 MNCs between 1994 and 2018. The evidence is consistent with the argument. As FDI research moves forward, we need to think not only about firm preferences, but also about firm behavior and how it changes with context.</w:t>
      </w:r>
    </w:p>
    <w:p/>
    <w:p>
      <w:r>
        <w:rPr>
          <w:rFonts w:ascii="Times New Roman" w:hAnsi="Times New Roman" w:eastAsia="黑体"/>
          <w:b/>
          <w:i w:val="0"/>
          <w:sz w:val="24"/>
        </w:rPr>
        <w:t>国际赔偿的悖论</w:t>
      </w:r>
    </w:p>
    <w:p>
      <w:r>
        <w:rPr>
          <w:rFonts w:ascii="Times New Roman" w:hAnsi="Times New Roman" w:eastAsia="宋体"/>
          <w:b w:val="0"/>
          <w:i/>
          <w:color w:val="404040"/>
          <w:sz w:val="20"/>
        </w:rPr>
        <w:t>The paradox of international reparations</w:t>
      </w:r>
    </w:p>
    <w:p>
      <w:r>
        <w:rPr>
          <w:rFonts w:ascii="Times New Roman" w:hAnsi="Times New Roman" w:eastAsia="宋体"/>
          <w:b w:val="0"/>
          <w:i w:val="0"/>
          <w:color w:val="595959"/>
          <w:sz w:val="18"/>
        </w:rPr>
        <w:t>Adam B. Lerner（University of Massachusetts Lowell, Lowell, MA, USA）；Pauline Heinrichs（King’s College London, London, UK）</w:t>
      </w:r>
    </w:p>
    <w:p>
      <w:r>
        <w:rPr>
          <w:rFonts w:ascii="Times New Roman" w:hAnsi="Times New Roman" w:eastAsia="宋体"/>
          <w:b w:val="0"/>
          <w:i w:val="0"/>
          <w:sz w:val="22"/>
        </w:rPr>
        <w:t>摘要：【摘译】作者指出国际赔偿的“终局性悖论”：赔偿本为了结账目、促进和解，却因将创伤记忆公开讨论而引发连锁追索；以德国纳粹赔偿、联合国赔偿委员会等案例说明。</w:t>
      </w:r>
    </w:p>
    <w:p>
      <w:r>
        <w:rPr>
          <w:rFonts w:ascii="Times New Roman" w:hAnsi="Times New Roman" w:eastAsia="宋体"/>
          <w:b w:val="0"/>
          <w:i w:val="0"/>
          <w:sz w:val="20"/>
        </w:rPr>
        <w:t>For centuries, international reparations were commonly exacted as a form of victor’s justice after war. Following World War II, however, the bitter legacy of the Treaty of Versailles and West Germany’s compensation of Nazism’s victim shifted this practice, ushering in a novel moral economy of international reparations. Yet, while recent decades have seen increased transnational activism around reparations, as well as interstate aid payments and official apologies, international reparations remain infrequent, and agreements often fail to end financial claims. This paper argues that one explanation for this lackluster record is a central paradox relating to finality. Though international reparations are designed to settle accounts and provide a basis for deeper reconciliation, by opening issues of traumatic memory to public debate, they often achieve the opposite effect and inspire a cascade of further financial claims. As evidence, we examine three cases of international reparations’ occurrence and rejection: Germany’s reparations for Nazi-era crimes, the United Nations Compensation Commission (UNCC) formation following Iraq’s invasion of Kuwait, and reparations negotiated but removed from the 1973 Paris Peace Accords. Employing process tracing methods on archival documents, we demonstrate in each case how this paradox helps explain international reparations’ limitations as a practice.</w:t>
      </w:r>
    </w:p>
    <w:p/>
    <w:p>
      <w:r>
        <w:rPr>
          <w:rFonts w:ascii="Times New Roman" w:hAnsi="Times New Roman" w:eastAsia="黑体"/>
          <w:b/>
          <w:i w:val="0"/>
          <w:sz w:val="24"/>
        </w:rPr>
        <w:t>成功故事还是虚构传说？冰岛的话语合作与经济重组</w:t>
      </w:r>
    </w:p>
    <w:p>
      <w:r>
        <w:rPr>
          <w:rFonts w:ascii="Times New Roman" w:hAnsi="Times New Roman" w:eastAsia="宋体"/>
          <w:b w:val="0"/>
          <w:i/>
          <w:color w:val="404040"/>
          <w:sz w:val="20"/>
        </w:rPr>
        <w:t>Success story or tall tale? Discursive cooperation and economic restructuring in Iceland</w:t>
      </w:r>
    </w:p>
    <w:p>
      <w:r>
        <w:rPr>
          <w:rFonts w:ascii="Times New Roman" w:hAnsi="Times New Roman" w:eastAsia="宋体"/>
          <w:b w:val="0"/>
          <w:i w:val="0"/>
          <w:color w:val="595959"/>
          <w:sz w:val="18"/>
        </w:rPr>
        <w:t>Darius Ornston（Department of Political Science, Munk School of Global Affairs and Public Policy, The University of Toronto）</w:t>
      </w:r>
    </w:p>
    <w:p>
      <w:r>
        <w:rPr>
          <w:rFonts w:ascii="Times New Roman" w:hAnsi="Times New Roman" w:eastAsia="宋体"/>
          <w:b w:val="0"/>
          <w:i w:val="0"/>
          <w:sz w:val="22"/>
        </w:rPr>
        <w:t>摘要：【摘译】作者以冰岛为例提出“话语合作”（集体讲故事）是区别于政策协调与企业间协调的集体行动逻辑，加速了向金融与旅游业的转型，但缺乏协调导致繁荣—萧条循环。</w:t>
      </w:r>
    </w:p>
    <w:p>
      <w:r>
        <w:rPr>
          <w:rFonts w:ascii="Times New Roman" w:hAnsi="Times New Roman" w:eastAsia="宋体"/>
          <w:b w:val="0"/>
          <w:i w:val="0"/>
          <w:sz w:val="20"/>
        </w:rPr>
        <w:t>Political economists have long recognized the power of ideas to influence economic adjustment by shaping public policy and fostering inter-firm coordination. This article extends this argument, demonstrating how ideas can have a direct and unmediated impact on economic restructuring. More specifically, it identifies discursive cooperation, or collective storytelling, as a distinct logic of collective action, separate from policy concertation and inter-firm coordination. Examining twenty first century Iceland, this article illustrates how shared narratives accelerated the country’s movement into financial services and tourism by facilitating the diffusion of new business models and attracting external resources. Absent inter-firm coordination, policy concertation, or supportive public policies, however, stakeholders struggled to invest in public goods. Instead of incremental upmarket movement, Iceland was characterized by volatile boom-bust dynamics. In illustrating the transformative power of storytelling in small open economies, this article simultaneously highlights the perils of relying on discursive cooperation alone.</w:t>
      </w:r>
    </w:p>
    <w:p/>
    <w:p>
      <w:r>
        <w:rPr>
          <w:rFonts w:ascii="Times New Roman" w:hAnsi="Times New Roman" w:eastAsia="黑体"/>
          <w:b/>
          <w:i w:val="0"/>
          <w:sz w:val="24"/>
        </w:rPr>
        <w:t>美元化经济体中资本流动的政治：厄瓜多尔与萨尔瓦多比较</w:t>
      </w:r>
    </w:p>
    <w:p>
      <w:r>
        <w:rPr>
          <w:rFonts w:ascii="Times New Roman" w:hAnsi="Times New Roman" w:eastAsia="宋体"/>
          <w:b w:val="0"/>
          <w:i/>
          <w:color w:val="404040"/>
          <w:sz w:val="20"/>
        </w:rPr>
        <w:t>The politics of capital mobility in dollarized economies: comparing Ecuador and El Salvador</w:t>
      </w:r>
    </w:p>
    <w:p>
      <w:r>
        <w:rPr>
          <w:rFonts w:ascii="Times New Roman" w:hAnsi="Times New Roman" w:eastAsia="宋体"/>
          <w:b w:val="0"/>
          <w:i w:val="0"/>
          <w:color w:val="595959"/>
          <w:sz w:val="18"/>
        </w:rPr>
        <w:t>Pedro Perfeito da Silva（Department of Social and Political Sciences, Philosophy, and Anthropology, University of Exeter, UK）</w:t>
      </w:r>
    </w:p>
    <w:p>
      <w:r>
        <w:rPr>
          <w:rFonts w:ascii="Times New Roman" w:hAnsi="Times New Roman" w:eastAsia="宋体"/>
          <w:b w:val="0"/>
          <w:i w:val="0"/>
          <w:sz w:val="22"/>
        </w:rPr>
        <w:t>摘要：【摘译】比较厄瓜多尔与萨尔瓦多，作者认为即使处于货币等级底层的美元化经济体，执政党意识形态与民众动员强度仍影响资本流动管理的差异。</w:t>
      </w:r>
    </w:p>
    <w:p>
      <w:r>
        <w:rPr>
          <w:rFonts w:ascii="Times New Roman" w:hAnsi="Times New Roman" w:eastAsia="宋体"/>
          <w:b w:val="0"/>
          <w:i w:val="0"/>
          <w:sz w:val="20"/>
        </w:rPr>
        <w:t>This article discusses the politics of capital mobility in dollarized Latin American economies. Building upon the Polanyian notion of double movement and the international financial subordination research program, I contend that the ideology of the governing party and the strength of popular mobilization still contribute to policy variegation in capital flow management even at the bottom of the global currency hierarchy. The case studies on Ecuador and El Salvador since the late 2000s provide support for this argument. In both countries, administrations led by post-neoliberal left-wing parties tightened capital flow management, while their right-wing successors gave a new impulse to capital mobility. However, these regulatory cycles varied according to the strength of popular pressures. In Ecuador, where social movements had a strong mobilizational capacity, post-neoliberal governments deployed encompassing capital controls, while their right-wing successor had to follow a gradualist approach in their liberalizing agenda. In El Salvador, on the other hand, given the relative weakness of the bottom-up pressure, post-neoliberal administrations pursued a targeted macroprudential approach, while the right-wing successor faced little resistance to implementing a radical neoliberal agenda that included even the adoption of bitcoin as legal tender alongside the United States dollar.</w:t>
      </w:r>
    </w:p>
    <w:p/>
    <w:p>
      <w:r>
        <w:rPr>
          <w:rFonts w:ascii="Times New Roman" w:hAnsi="Times New Roman" w:eastAsia="黑体"/>
          <w:b/>
          <w:i w:val="0"/>
          <w:sz w:val="24"/>
        </w:rPr>
        <w:t>全球经济影响力与国内政权支持：来自中国的证据</w:t>
      </w:r>
    </w:p>
    <w:p>
      <w:r>
        <w:rPr>
          <w:rFonts w:ascii="Times New Roman" w:hAnsi="Times New Roman" w:eastAsia="宋体"/>
          <w:b w:val="0"/>
          <w:i/>
          <w:color w:val="404040"/>
          <w:sz w:val="20"/>
        </w:rPr>
        <w:t>Global economic influence and domestic regime support: evidence from China</w:t>
      </w:r>
    </w:p>
    <w:p>
      <w:r>
        <w:rPr>
          <w:rFonts w:ascii="Times New Roman" w:hAnsi="Times New Roman" w:eastAsia="宋体"/>
          <w:b w:val="0"/>
          <w:i w:val="0"/>
          <w:color w:val="595959"/>
          <w:sz w:val="18"/>
        </w:rPr>
        <w:t>Yeling Tan（Blavatnik School of Government, University of Oxford）；David Steinberg（Johns Hopkins University School of Advanced International Studies）；Daniel McDowell（Maxwell School of Citizenship and Public Affairs, Syracuse University）</w:t>
      </w:r>
    </w:p>
    <w:p>
      <w:r>
        <w:rPr>
          <w:rFonts w:ascii="Times New Roman" w:hAnsi="Times New Roman" w:eastAsia="宋体"/>
          <w:b w:val="0"/>
          <w:i w:val="0"/>
          <w:sz w:val="22"/>
        </w:rPr>
        <w:t>摘要：崛起国通常寻求在国际经济事务中发挥更大作用，但我们对这种海外扩张对国内公众的影响知之甚少。本文考察崛起国增加对外经济影响力的努力所产生的国内政治后果，认为公众对这些政府的认可取决于其能否成功扩大本国全球经济影响力。为检验这一论点，作者在中国开展三项调查实验，各聚焦中国对外经济战略的一个组成部分；三项实验均显示，告知受访者中国未能提升其在全球经济中的作用会降低平均政府满意度，这种下降通过削弱民族自豪感而非经济前景等其他渠道起作用。</w:t>
      </w:r>
    </w:p>
    <w:p>
      <w:r>
        <w:rPr>
          <w:rFonts w:ascii="Times New Roman" w:hAnsi="Times New Roman" w:eastAsia="宋体"/>
          <w:b w:val="0"/>
          <w:i w:val="0"/>
          <w:sz w:val="20"/>
        </w:rPr>
        <w:t>Rising powers typically seek to play a larger role in international economic affairs, but we know little about the impact of this overseas expansion on domestic publics. This paper examines the domestic political consequences of rising states’ efforts to increase their foreign economic influence. We argue that public approval for these governments depends on whether they succeed or fail to expand their country’s global economic influence. To test this argument, we fielded three survey experiments in China, each focusing on a different component of China’s foreign economic strategy. In all three experiments, informing individuals that China has failed in increasing its role in the global economy reduced average levels of government satisfaction. Our evidence suggests that this drop in government approval operates through a weakened sense of national pride, rather than other channels based on economic prospects.</w:t>
      </w:r>
    </w:p>
    <w:p/>
    <w:p>
      <w:r>
        <w:rPr>
          <w:rFonts w:ascii="Times New Roman" w:hAnsi="Times New Roman" w:eastAsia="黑体"/>
          <w:b/>
          <w:i w:val="0"/>
          <w:sz w:val="24"/>
        </w:rPr>
        <w:t>人民币国际化与货币网络扩展的研究议程</w:t>
      </w:r>
    </w:p>
    <w:p>
      <w:r>
        <w:rPr>
          <w:rFonts w:ascii="Times New Roman" w:hAnsi="Times New Roman" w:eastAsia="宋体"/>
          <w:b w:val="0"/>
          <w:i/>
          <w:color w:val="404040"/>
          <w:sz w:val="20"/>
        </w:rPr>
        <w:t>Renminbi internationalization and research agenda for currency network expansion</w:t>
      </w:r>
    </w:p>
    <w:p>
      <w:r>
        <w:rPr>
          <w:rFonts w:ascii="Times New Roman" w:hAnsi="Times New Roman" w:eastAsia="宋体"/>
          <w:b w:val="0"/>
          <w:i w:val="0"/>
          <w:color w:val="595959"/>
          <w:sz w:val="18"/>
        </w:rPr>
        <w:t>Yong Wook Lee（Department of Political Science and International Relations, Korea University, Seoul, Korea）；Kyuteg Lim（Peace and Democracy Institute, Korea University, Seoul, Korea）</w:t>
      </w:r>
    </w:p>
    <w:p>
      <w:r>
        <w:rPr>
          <w:rFonts w:ascii="Times New Roman" w:hAnsi="Times New Roman" w:eastAsia="宋体"/>
          <w:b w:val="0"/>
          <w:i w:val="0"/>
          <w:sz w:val="22"/>
        </w:rPr>
        <w:t>摘要：本文呼吁建立新的研究议程，以捕捉人民币国际化乃至一般货币国际化的动态过程。现有基于交易的文献对货币网络扩展过程着墨甚少：严肃的货币国际化研究都不会忽视货币网络在货币金字塔政治中的作用，但问题在于这些研究将货币网络视为外生的，即将货币网络的扩张与收缩解释为贸易和投资的副产品。作者认为这种外生处理导致对货币网络扩展如何发生的分析盲点，而这对货币国际化成败至关重要。本文建议，恰当评估人民币国际化需要将分析焦点转向跨境货币网络扩展的内生过程，即人民币在全球的金融崛起这一正在进行中的过程。</w:t>
      </w:r>
    </w:p>
    <w:p>
      <w:r>
        <w:rPr>
          <w:rFonts w:ascii="Times New Roman" w:hAnsi="Times New Roman" w:eastAsia="宋体"/>
          <w:b w:val="0"/>
          <w:i w:val="0"/>
          <w:sz w:val="20"/>
        </w:rPr>
        <w:t>This article calls for a new research agenda that helps capture the dynamic processes of RMB internationalization in particular and currency internationalization in general. The aperture we have found in the existing, transaction-based literature is that there is relatively little to say about the process of currency network expansion. Indeed, no serious work on currency internationalization ignores the role of currency networks in the politics of the currency pyramid. However, the problem is that these works treat the currency networks exogenously. By exogenous treatment, we mean that they explain the expansion and constriction of currency networks as by-products of trade and investment. In our view, this exogenous treatment of currency networks results in an analytical blind spot regarding how currency network expansion occurs, which is pivotal to the success or failure of currency internationalization. Instead, this article suggests that adequate assessment of RMB internationalization requires shifting the analytical focus to the endogenous process of currency network expansion across borders that involves the emerging and ongoing process of RMB’s financial rise in the global economy. China’s recent move toward financial opening may work to speed up RMB-based global financial networks.</w:t>
      </w:r>
    </w:p>
    <w:p/>
    <w:p>
      <w:r>
        <w:rPr>
          <w:rFonts w:ascii="Times New Roman" w:hAnsi="Times New Roman" w:eastAsia="黑体"/>
          <w:b/>
          <w:i w:val="0"/>
          <w:sz w:val="24"/>
        </w:rPr>
        <w:t>克服方法论国家主义：霸权研究的新路径</w:t>
      </w:r>
    </w:p>
    <w:p>
      <w:r>
        <w:rPr>
          <w:rFonts w:ascii="Times New Roman" w:hAnsi="Times New Roman" w:eastAsia="宋体"/>
          <w:b w:val="0"/>
          <w:i/>
          <w:color w:val="404040"/>
          <w:sz w:val="20"/>
        </w:rPr>
        <w:t>Overcoming methodological statism: new avenues for hegemony research</w:t>
      </w:r>
    </w:p>
    <w:p>
      <w:r>
        <w:rPr>
          <w:rFonts w:ascii="Times New Roman" w:hAnsi="Times New Roman" w:eastAsia="宋体"/>
          <w:b w:val="0"/>
          <w:i w:val="0"/>
          <w:color w:val="595959"/>
          <w:sz w:val="18"/>
        </w:rPr>
        <w:t>Kasper Arabi（Department of Politics and International Studies, University of Warwick, Coventry, UK）</w:t>
      </w:r>
    </w:p>
    <w:p>
      <w:r>
        <w:rPr>
          <w:rFonts w:ascii="Times New Roman" w:hAnsi="Times New Roman" w:eastAsia="宋体"/>
          <w:b w:val="0"/>
          <w:i w:val="0"/>
          <w:sz w:val="22"/>
        </w:rPr>
        <w:t>摘要：【摘译】作者认为“霸权研究3.0”将霸权国国内领域等同于国家及其正式制度，存在“方法论国家主义”，主张借鉴日常政治经济学转向与再历史化，对霸权作更宽泛的概念化。</w:t>
      </w:r>
    </w:p>
    <w:p>
      <w:r>
        <w:rPr>
          <w:rFonts w:ascii="Times New Roman" w:hAnsi="Times New Roman" w:eastAsia="宋体"/>
          <w:b w:val="0"/>
          <w:i w:val="0"/>
          <w:sz w:val="20"/>
        </w:rPr>
        <w:t>The course of contemporary international affairs has catapulted the scholarship on inter-state hegemony into an important period of progress and development. Forwarded as Hegemony Studies 3.0, a new and ambitious research program has consolidated these scholarly endeavors and emphasized the interconnectedness between hegemony and international order. In an attempt to advance this research agenda even further, I argue that Hegemony Studies 3.0 currently limits itself from realizing its full potential by conceptualizing hegemony too narrowly. Consequently, I find that hegemony research in its present form suffers from widespread methodological statism. This is evident in the way the analytical and methodological strategies of the scholarship equate the entirety of the domestic sphere of the hegemon with the state and its formal institutions. Moving onwards, I suggest a much broader conceptualization of hegemony and point toward avenues ahead for the scholarship which are inspired by the everyday turn in International Political Economy and the general (re)historicization of the field. These ways forward open up a myriad of new paths of research for hegemony scholars to explore.</w:t>
      </w:r>
    </w:p>
    <w:p/>
    <w:p>
      <w:r>
        <w:rPr>
          <w:rFonts w:ascii="Times New Roman" w:hAnsi="Times New Roman" w:eastAsia="宋体"/>
          <w:b/>
          <w:i w:val="0"/>
          <w:sz w:val="22"/>
        </w:rPr>
        <w:t>RIPE： Vol. 31, No. 6, 2024</w:t>
      </w:r>
    </w:p>
    <w:p/>
    <w:p>
      <w:r>
        <w:rPr>
          <w:rFonts w:ascii="Times New Roman" w:hAnsi="Times New Roman" w:eastAsia="黑体"/>
          <w:b/>
          <w:i w:val="0"/>
          <w:sz w:val="24"/>
        </w:rPr>
        <w:t>平衡安全与经济：国内政企关系与欧洲投资审查机制</w:t>
      </w:r>
    </w:p>
    <w:p>
      <w:r>
        <w:rPr>
          <w:rFonts w:ascii="Times New Roman" w:hAnsi="Times New Roman" w:eastAsia="宋体"/>
          <w:b w:val="0"/>
          <w:i/>
          <w:color w:val="404040"/>
          <w:sz w:val="20"/>
        </w:rPr>
        <w:t>Balancing security and economics: domestic state-firm relations and investment screening mechanisms in Europe</w:t>
      </w:r>
    </w:p>
    <w:p>
      <w:r>
        <w:rPr>
          <w:rFonts w:ascii="Times New Roman" w:hAnsi="Times New Roman" w:eastAsia="宋体"/>
          <w:b w:val="0"/>
          <w:i w:val="0"/>
          <w:color w:val="595959"/>
          <w:sz w:val="18"/>
        </w:rPr>
        <w:t>Floor Doppen（Department of Political Science, University of Antwerp, Antwerpen, Belgium）；Antonio Calcara（Centre for Security, Diplomacy and Strategy (CSDS), Brussels School of Governance, Vrije Universiteit Brussel, Brussels, Belgium）；Dirk De Bièvre（Department of Political Science, University of Antwerp, Antwerpen, Belgium）</w:t>
      </w:r>
    </w:p>
    <w:p>
      <w:r>
        <w:rPr>
          <w:rFonts w:ascii="Times New Roman" w:hAnsi="Times New Roman" w:eastAsia="宋体"/>
          <w:b w:val="0"/>
          <w:i w:val="0"/>
          <w:sz w:val="22"/>
        </w:rPr>
        <w:t>摘要：【摘译】作者区分“公共治理”与“私人治理”两种政企关系理想型，认为国内政企关系结构决定欧洲各国投资审查机制的制度配置及其在开放与保护间的权衡。</w:t>
      </w:r>
    </w:p>
    <w:p>
      <w:r>
        <w:rPr>
          <w:rFonts w:ascii="Times New Roman" w:hAnsi="Times New Roman" w:eastAsia="宋体"/>
          <w:b w:val="0"/>
          <w:i w:val="0"/>
          <w:sz w:val="20"/>
        </w:rPr>
        <w:t>In an era of intense geopolitical competition, concerns about the impact of foreign investments in strategic sectors of the European economy have led policymakers to review European investment screening mechanisms (ISMs). In doing so, European institutions and member states have to find a balance between security and economics, maintaining a favorable environment for potential investors while simultaneously protecting specific sectors that they deem important for European and national security. We argue that the existing structure of state-firm relations decisively shapes the institutional configuration of European ISMs at the national level. We identify two ideal-typical patterns of state-firm relations: Public governance and private governance ecosystems. We hypothesize that variations in domestic state-firm relations decisively shape the institutional configurations of European ISMs, and, more broadly, how European governments and firms navigate the trade-off between openness and protection of strategic assets.</w:t>
      </w:r>
    </w:p>
    <w:p/>
    <w:p>
      <w:r>
        <w:rPr>
          <w:rFonts w:ascii="Times New Roman" w:hAnsi="Times New Roman" w:eastAsia="黑体"/>
          <w:b/>
          <w:i w:val="0"/>
          <w:sz w:val="24"/>
        </w:rPr>
        <w:t>就业优先、环境其次：污染对外国直接投资认知的条件效应</w:t>
      </w:r>
    </w:p>
    <w:p>
      <w:r>
        <w:rPr>
          <w:rFonts w:ascii="Times New Roman" w:hAnsi="Times New Roman" w:eastAsia="宋体"/>
          <w:b w:val="0"/>
          <w:i/>
          <w:color w:val="404040"/>
          <w:sz w:val="20"/>
        </w:rPr>
        <w:t>Jobs first, environment second: the conditional effect of pollution on perceptions of Foreign Direct Investment</w:t>
      </w:r>
    </w:p>
    <w:p>
      <w:r>
        <w:rPr>
          <w:rFonts w:ascii="Times New Roman" w:hAnsi="Times New Roman" w:eastAsia="宋体"/>
          <w:b w:val="0"/>
          <w:i w:val="0"/>
          <w:color w:val="595959"/>
          <w:sz w:val="18"/>
        </w:rPr>
        <w:t>Celeste Beesley（Political Science, Brigham Young University, Provo, UT, USA）；Alexander Slaski（Department of Government, Georgetown University, Washington, DC, USA）</w:t>
      </w:r>
    </w:p>
    <w:p>
      <w:r>
        <w:rPr>
          <w:rFonts w:ascii="Times New Roman" w:hAnsi="Times New Roman" w:eastAsia="宋体"/>
          <w:b w:val="0"/>
          <w:i w:val="0"/>
          <w:sz w:val="22"/>
        </w:rPr>
        <w:t>摘要：【摘译】匹配七个拉美国家省级外资项目与民意数据，作者发现创造大量就业的外资无论污染程度都改善态度；重视环境者对低污染外资态度更好。</w:t>
      </w:r>
    </w:p>
    <w:p>
      <w:r>
        <w:rPr>
          <w:rFonts w:ascii="Times New Roman" w:hAnsi="Times New Roman" w:eastAsia="宋体"/>
          <w:b w:val="0"/>
          <w:i w:val="0"/>
          <w:sz w:val="20"/>
        </w:rPr>
        <w:t>The growing literature on public opinion toward foreign direct investment (FDI) focuses primarily on the FDI-related job prospects of individuals. However, different types of FDI have varying economic and environmental impacts; we argue that individuals consider the trade-offs between these effects when forming attitudes about FDI. Utilizing a province-level dataset of recent FDI projects (categorized by their level of pollution and job creation) matched with public opinion data in seven Latin American countries, we find that exposure to investment that creates larger numbers of jobs improves attitudes toward FDI, regardless of environmental impact. However, environmental impact is a significant component of how some individuals form perspectives about FDI: respondents that prioritize the environment have more positive attitudes toward FDI when they are exposed to a higher share of FDI with relatively less environmental impact. Among all respondents, exposure to more economically beneficial FDI has a stronger positive impact when a higher percentage of the FDI is in lower-polluting industries.</w:t>
      </w:r>
    </w:p>
    <w:p/>
    <w:p>
      <w:r>
        <w:rPr>
          <w:rFonts w:ascii="Times New Roman" w:hAnsi="Times New Roman" w:eastAsia="黑体"/>
          <w:b/>
          <w:i w:val="0"/>
          <w:sz w:val="24"/>
        </w:rPr>
        <w:t>以包容实现排斥：多利益攸关方治理时代的管理实践</w:t>
      </w:r>
    </w:p>
    <w:p>
      <w:r>
        <w:rPr>
          <w:rFonts w:ascii="Times New Roman" w:hAnsi="Times New Roman" w:eastAsia="宋体"/>
          <w:b w:val="0"/>
          <w:i/>
          <w:color w:val="404040"/>
          <w:sz w:val="20"/>
        </w:rPr>
        <w:t>Excluding through inclusion: managerial practices in the era of multistakeholder governance</w:t>
      </w:r>
    </w:p>
    <w:p>
      <w:r>
        <w:rPr>
          <w:rFonts w:ascii="Times New Roman" w:hAnsi="Times New Roman" w:eastAsia="宋体"/>
          <w:b w:val="0"/>
          <w:i w:val="0"/>
          <w:color w:val="595959"/>
          <w:sz w:val="18"/>
        </w:rPr>
        <w:t>Juanita Uribe（Geneva Graduate Institute, Geneva, Switzerland）</w:t>
      </w:r>
    </w:p>
    <w:p>
      <w:r>
        <w:rPr>
          <w:rFonts w:ascii="Times New Roman" w:hAnsi="Times New Roman" w:eastAsia="宋体"/>
          <w:b w:val="0"/>
          <w:i w:val="0"/>
          <w:sz w:val="22"/>
        </w:rPr>
        <w:t>摘要：【摘译】以联合国粮食系统峰会为例，作者指出多利益攸关方进程中的管理主义实践以开放与共识为名吸纳异议、同质化政治主体，咨询公司还介入“优化”政治斗争，造成政治边缘化。</w:t>
      </w:r>
    </w:p>
    <w:p>
      <w:r>
        <w:rPr>
          <w:rFonts w:ascii="Times New Roman" w:hAnsi="Times New Roman" w:eastAsia="宋体"/>
          <w:b w:val="0"/>
          <w:i w:val="0"/>
          <w:sz w:val="20"/>
        </w:rPr>
        <w:t>Managerial practices underpin most global policy agendas. Existing research shows how these practices have reshaped the public sector, facilitated the marketization of problems, and altered organizational structures. This article highlights that managerial practices are also a central driver of political marginalization. When incorporated into multistakeholder processes, managerial practices engender two exclusionary processes: the accommodation of dissent and the uniformization of political subjects. They do so by making consensus an organizational goal and by treating politics as a marketplace. Through an examination of the United Nations Food Systems Summit, the article shows how, within multistakeholder models, managerialism sidelines critical voices by invoking ideals of openness, spontaneity, and the absence of rule, rather than traditional principles of ‘command and control’. Additionally, it unpacks the novel roles assumed by private consultancy firms, which are nowadays not only tasked with implementing weighty bureaucratic reforms but are also increasingly involved in ‘optimizing’ political struggles and shaping debates on how societies ought to be governed.</w:t>
      </w:r>
    </w:p>
    <w:p/>
    <w:p>
      <w:r>
        <w:rPr>
          <w:rFonts w:ascii="Times New Roman" w:hAnsi="Times New Roman" w:eastAsia="黑体"/>
          <w:b/>
          <w:i w:val="0"/>
          <w:sz w:val="24"/>
        </w:rPr>
        <w:t>“智慧组合”政治：全球供应链监管制定中的企业行为体</w:t>
      </w:r>
    </w:p>
    <w:p>
      <w:r>
        <w:rPr>
          <w:rFonts w:ascii="Times New Roman" w:hAnsi="Times New Roman" w:eastAsia="宋体"/>
          <w:b w:val="0"/>
          <w:i/>
          <w:color w:val="404040"/>
          <w:sz w:val="20"/>
        </w:rPr>
        <w:t>Smart mix politics: business actors in the formulation of global supply chain regulation</w:t>
      </w:r>
    </w:p>
    <w:p>
      <w:r>
        <w:rPr>
          <w:rFonts w:ascii="Times New Roman" w:hAnsi="Times New Roman" w:eastAsia="宋体"/>
          <w:b w:val="0"/>
          <w:i w:val="0"/>
          <w:color w:val="595959"/>
          <w:sz w:val="18"/>
        </w:rPr>
        <w:t>Philip Schleifer（Department of Political Science, University of Amsterdam, Amsterdam, Netherlands）；Luc Fransen（Department of Political Science, University of Amsterdam, Amsterdam, Netherlands）</w:t>
      </w:r>
    </w:p>
    <w:p>
      <w:r>
        <w:rPr>
          <w:rFonts w:ascii="Times New Roman" w:hAnsi="Times New Roman" w:eastAsia="宋体"/>
          <w:b w:val="0"/>
          <w:i w:val="0"/>
          <w:sz w:val="22"/>
        </w:rPr>
        <w:t>摘要：【摘译】以欧盟《零毁林法规》为例，作者发现“智慧监管”进步话语背后，企业及其公民社会伙伴意在维护既得利益，但其偏好从保守到进步不一，形成新联盟与分化。</w:t>
      </w:r>
    </w:p>
    <w:p>
      <w:r>
        <w:rPr>
          <w:rFonts w:ascii="Times New Roman" w:hAnsi="Times New Roman" w:eastAsia="宋体"/>
          <w:b w:val="0"/>
          <w:i w:val="0"/>
          <w:sz w:val="20"/>
        </w:rPr>
        <w:t>The European Union and other advanced economies are turning to mandatory due diligence regulation to address environmental and human rights risks in their global supply chains. This shift is accompanied by calls for ‘smart regulation’ that combines public legislation with private governance instruments and new supporting measures in the producer countries of the Global South. We study the smart regulation agenda in the case of the European Union Deforestation Regulation. We reveal how its progressive rhetoric masks a conservative undertone as business actors and their civil society partners aim to safeguard their vested interests in the age of public supply chain regulation. However, by tracing their lobbying efforts throughout the policy formulation process, we show how this does not imply en bloc support for voluntary, softer forms of regulation. Moreover, these actors exhibit varying motivations and preferences for involving Southern actors in such a mix. Consequently, rather than forming a cohesive policy coalition, their preferences span from conservative to progressive, resulting in new alliances and divisions in this time of regulatory change. By untangling the complexities of ‘smart mix politics’, this article advances critical research into the evolving role, positioning, and influence of business actors in global supply chain governance.</w:t>
      </w:r>
    </w:p>
    <w:p/>
    <w:p>
      <w:r>
        <w:rPr>
          <w:rFonts w:ascii="Times New Roman" w:hAnsi="Times New Roman" w:eastAsia="黑体"/>
          <w:b/>
          <w:i w:val="0"/>
          <w:sz w:val="24"/>
        </w:rPr>
        <w:t>企业创新体系的多样性及其与全球和国家体系的互动：亚马逊、脸书、谷歌和微软生产与占有人工智能的战略</w:t>
      </w:r>
    </w:p>
    <w:p>
      <w:r>
        <w:rPr>
          <w:rFonts w:ascii="Times New Roman" w:hAnsi="Times New Roman" w:eastAsia="宋体"/>
          <w:b w:val="0"/>
          <w:i/>
          <w:color w:val="404040"/>
          <w:sz w:val="20"/>
        </w:rPr>
        <w:t>Varieties of corporate innovation systems and their interplay with global and national systems: Amazon, Facebook, Google and Microsoft’s strategies to produce and appropriate artificial intelligence</w:t>
      </w:r>
    </w:p>
    <w:p>
      <w:r>
        <w:rPr>
          <w:rFonts w:ascii="Times New Roman" w:hAnsi="Times New Roman" w:eastAsia="宋体"/>
          <w:b w:val="0"/>
          <w:i w:val="0"/>
          <w:color w:val="595959"/>
          <w:sz w:val="18"/>
        </w:rPr>
        <w:t>Cecilia Rikap（Institute for Innovation and Public Purpose, University College London, London, UK; The National Scientific and Technical Research Council (CONICET), Buenos Aires, Argentina; COSTECH, Université de Technologie de Compiègne, Compiègne, France）</w:t>
      </w:r>
    </w:p>
    <w:p>
      <w:r>
        <w:rPr>
          <w:rFonts w:ascii="Times New Roman" w:hAnsi="Times New Roman" w:eastAsia="宋体"/>
          <w:b w:val="0"/>
          <w:i w:val="0"/>
          <w:sz w:val="22"/>
        </w:rPr>
        <w:t>摘要：【摘译】作者分析美国四大科技公司的AI企业创新体系：微软“亦敌亦友”（大量中国机构融入其体系）、谷歌“大学式”、亚马逊“保密式”、脸书“应用中心式”。</w:t>
      </w:r>
    </w:p>
    <w:p>
      <w:r>
        <w:rPr>
          <w:rFonts w:ascii="Times New Roman" w:hAnsi="Times New Roman" w:eastAsia="宋体"/>
          <w:b w:val="0"/>
          <w:i w:val="0"/>
          <w:sz w:val="20"/>
        </w:rPr>
        <w:t>The widely accepted globalization of innovation entails two interrelated undertheorized aspects: (1) the capacity of certain firms to orchestrate transnational innovation systems appropriating successful results, which some have explained with the concept of corporate innovation systems (CIS), and (2) the co-existence of such globalization with those CIS and national innovation systems. I address these matters analysing US Big Tech artificial intelligence (AI) CIS showing that they combine multiple mechanisms to co-produce and appropriate AI. I propose ‘frenemy’ to describe Microsoft’s strategy because many Chinese organizations and even direct competitors integrate its CIS. ‘University’ symbolises Google’s strategy, given its focus on fundamental AI, its central place in the AI research field and appropriation mechanisms that are not translating into clear business advantages. ‘Secrecy’ defines Amazon’s strategy, maximizing knowledge inflows while minimizing outflows. Facebook, with the narrowest AI CIS, exhibits an ‘application-centred’ strategy. Ultimately, this paper contributes to understanding the multiple mechanisms used by leading corporations for controlling and shaping frontier transnational knowledge production and appropriation. By doing so, it advances our knowledge of the interplay between different innovation spheres (national, global and corporate) and highlights the dangers of CIS’s encroachment of national and global systems.</w:t>
      </w:r>
    </w:p>
    <w:p/>
    <w:p>
      <w:r>
        <w:rPr>
          <w:rFonts w:ascii="Times New Roman" w:hAnsi="Times New Roman" w:eastAsia="黑体"/>
          <w:b/>
          <w:i w:val="0"/>
          <w:sz w:val="24"/>
        </w:rPr>
        <w:t>抬高门槛——精英律所与世界经济中国际商事法院的兴起</w:t>
      </w:r>
    </w:p>
    <w:p>
      <w:r>
        <w:rPr>
          <w:rFonts w:ascii="Times New Roman" w:hAnsi="Times New Roman" w:eastAsia="宋体"/>
          <w:b w:val="0"/>
          <w:i/>
          <w:color w:val="404040"/>
          <w:sz w:val="20"/>
        </w:rPr>
        <w:t>Pushing the bar – elite law firms and the rise of international commercial courts in the world economy</w:t>
      </w:r>
    </w:p>
    <w:p>
      <w:r>
        <w:rPr>
          <w:rFonts w:ascii="Times New Roman" w:hAnsi="Times New Roman" w:eastAsia="宋体"/>
          <w:b w:val="0"/>
          <w:i w:val="0"/>
          <w:color w:val="595959"/>
          <w:sz w:val="18"/>
        </w:rPr>
        <w:t>Robert Basedow（European Institute, London School of Economics and Political Science, London, UK）</w:t>
      </w:r>
    </w:p>
    <w:p>
      <w:r>
        <w:rPr>
          <w:rFonts w:ascii="Times New Roman" w:hAnsi="Times New Roman" w:eastAsia="宋体"/>
          <w:b w:val="0"/>
          <w:i w:val="0"/>
          <w:sz w:val="22"/>
        </w:rPr>
        <w:t>摘要：【摘译】作者认为多数国际商事法院源于精英律所为扩大商事诉讼市场的政策企业家活动，并视情境与国内司法或政治领导人结盟，而非主要出于地缘政治动机。</w:t>
      </w:r>
    </w:p>
    <w:p>
      <w:r>
        <w:rPr>
          <w:rFonts w:ascii="Times New Roman" w:hAnsi="Times New Roman" w:eastAsia="宋体"/>
          <w:b w:val="0"/>
          <w:i w:val="0"/>
          <w:sz w:val="20"/>
        </w:rPr>
        <w:t>In the last thirty years, international commercial courts (ICCs) have emerged around the world. ICCs offer adjudication in international commercial disputes. They are not creatures of international law – as their name may suggest – but specialized domestic courts embedded in national legal orders. The rise of ICCs is remarkable in that scholars expected commercial arbitration to gradually displace litigation in the twenty first century. What drives the creation of ICCs? Legal research suggests that ICCs are a manifestation of a new era of assertive unilateralism in global governance. Scholars point to states’ geopolitical motives, backlashes against private authority in the form of arbitration, and economic statecraft. Drawing on the New Interdependence Approach, this study argues that most ICCs are the result of policy entrepreneurship of elite law firms in the pursuit of growing the global market for commercial litigation. Depending on the legal-political context, they forge coalitions with domestic judiciaries or political leaders to advance ICC projects. The study highlights deep-rooted changes in the global dispute resolution landscape, the important role of commercial law in International Political Economy (IPE), and points to the mostly overlooked significance of law firms and judiciaries as architects of global economic governance.</w:t>
      </w:r>
    </w:p>
    <w:p/>
    <w:p>
      <w:r>
        <w:rPr>
          <w:rFonts w:ascii="Times New Roman" w:hAnsi="Times New Roman" w:eastAsia="黑体"/>
          <w:b/>
          <w:i w:val="0"/>
          <w:sz w:val="24"/>
        </w:rPr>
        <w:t>艰苦的挣扎：塞内加尔的结构转型、政府财政与债务危机的反复</w:t>
      </w:r>
    </w:p>
    <w:p>
      <w:r>
        <w:rPr>
          <w:rFonts w:ascii="Times New Roman" w:hAnsi="Times New Roman" w:eastAsia="宋体"/>
          <w:b w:val="0"/>
          <w:i/>
          <w:color w:val="404040"/>
          <w:sz w:val="20"/>
        </w:rPr>
        <w:t>Earnest struggles: structural transformation, government finance and the recurrence of debt crisis in Senegal</w:t>
      </w:r>
    </w:p>
    <w:p>
      <w:r>
        <w:rPr>
          <w:rFonts w:ascii="Times New Roman" w:hAnsi="Times New Roman" w:eastAsia="宋体"/>
          <w:b w:val="0"/>
          <w:i w:val="0"/>
          <w:color w:val="595959"/>
          <w:sz w:val="18"/>
        </w:rPr>
        <w:t>Kai Koddenbrock（Bard College Berlin, Berlin, Germany）</w:t>
      </w:r>
    </w:p>
    <w:p>
      <w:r>
        <w:rPr>
          <w:rFonts w:ascii="Times New Roman" w:hAnsi="Times New Roman" w:eastAsia="宋体"/>
          <w:b w:val="0"/>
          <w:i w:val="0"/>
          <w:sz w:val="22"/>
        </w:rPr>
        <w:t>摘要：【摘译】基于财务数据与达喀尔、巴黎访谈，作者提出塞内加尔后殖民史中的“艰苦挣扎”：摆脱殖民经济作物与法国影响、应对债务危机与非洲法郎贬值、债务减免后扩大财政空间与新外债，取得一定结构转型但债务危机风险仍在。</w:t>
      </w:r>
    </w:p>
    <w:p>
      <w:r>
        <w:rPr>
          <w:rFonts w:ascii="Times New Roman" w:hAnsi="Times New Roman" w:eastAsia="宋体"/>
          <w:b w:val="0"/>
          <w:i w:val="0"/>
          <w:sz w:val="20"/>
        </w:rPr>
        <w:t>Faced with a more multipolar world, scholars of International Political Economy are sharpening their tools to make sense of the longue durée of post-colonial institutions, international financial subordination and the quest for self-determination. This article develops the notion of ‘earnest struggles’ in Senegal’s postcolonial history and shows that successive governments have indeed tried to move their country forward against the odds. The focus is on three struggles: First, the attempts at transforming the Senegalese economy away from colonial cash crops and the influence of the French from 1960 to 1980. Second, the struggle of grappling with Global South debt crisis and the devaluation of the Franc CFA by 50% between 1980 to 2004. Third, the struggle to expand the Senegalese economy with newfound fiscal space and novel forms of external debt since international debt relief in 2004 until today. Based on financial data and interviews in Dakar and Paris, I argue that these struggles have led to some structural transformation. However, the danger of debt crisis has not gone, and economic self-determination has remained precarious. Dependence on foreign finance has stayed and reached record levels in recent years. Relative delinking and the search for regional complementarities offers a more promising avenue to break out of the structural condition of international financial subordination.</w:t>
      </w:r>
    </w:p>
    <w:p/>
    <w:p>
      <w:r>
        <w:rPr>
          <w:rFonts w:ascii="Times New Roman" w:hAnsi="Times New Roman" w:eastAsia="黑体"/>
          <w:b/>
          <w:i w:val="0"/>
          <w:sz w:val="24"/>
        </w:rPr>
        <w:t>政治风险与企业退出：来自中美贸易战的证据</w:t>
      </w:r>
    </w:p>
    <w:p>
      <w:r>
        <w:rPr>
          <w:rFonts w:ascii="Times New Roman" w:hAnsi="Times New Roman" w:eastAsia="宋体"/>
          <w:b w:val="0"/>
          <w:i/>
          <w:color w:val="404040"/>
          <w:sz w:val="20"/>
        </w:rPr>
        <w:t>Political risk and firm exit: evidence from the US–China Trade War</w:t>
      </w:r>
    </w:p>
    <w:p>
      <w:r>
        <w:rPr>
          <w:rFonts w:ascii="Times New Roman" w:hAnsi="Times New Roman" w:eastAsia="宋体"/>
          <w:b w:val="0"/>
          <w:i w:val="0"/>
          <w:color w:val="595959"/>
          <w:sz w:val="18"/>
        </w:rPr>
        <w:t>Samantha A. Vortherms（Department of Political Science, University of California, Irvine, CA, USA）；Jiakun Jack Zhang（Department of Political Science, University of Kansas, Lawrence, KS, USA）</w:t>
      </w:r>
    </w:p>
    <w:p>
      <w:r>
        <w:rPr>
          <w:rFonts w:ascii="Times New Roman" w:hAnsi="Times New Roman" w:eastAsia="宋体"/>
          <w:b w:val="0"/>
          <w:i w:val="0"/>
          <w:sz w:val="22"/>
        </w:rPr>
        <w:t>摘要：政治风险何时导致外资从盈利市场撤出？现有理论既认为外国投资者可能对政治紧张敏感，又认为他们可能只对暴力冲突敏感。以中美贸易战这一关键案例，作者说明政治风险如何提高外国企业退出率，而企业扎根程度则缓解这些风险。利用2017—2019年在华注册的全部外商投资企业新数据集，作者以三重交互模型分离政治风险上升、投资者国籍与扎根程度对企业退出的影响，发现贸易战期间政治风险上升使企业退出增加34%（比冲突前基线高3个百分点）；作为贸易战定向效应的关税使美国企业退出增加1个百分点。企业退出取决于政治风险上升与企业层面缓解风险资源之间的平衡，调和了“照常营业”与“追随国旗”两派文献的冲突预期。</w:t>
      </w:r>
    </w:p>
    <w:p>
      <w:r>
        <w:rPr>
          <w:rFonts w:ascii="Times New Roman" w:hAnsi="Times New Roman" w:eastAsia="宋体"/>
          <w:b w:val="0"/>
          <w:i w:val="0"/>
          <w:sz w:val="20"/>
        </w:rPr>
        <w:t>When do political risks lead to divestment from a profitable market? Existing theories argue both that foreign investors may be sensitive to political tensions, but that they may only be sensitive to violent conflict. Using the crucial case of the US–China Trade War, we outline how political risks increased rates of exit among foreign firms while firm entrenchment mitigated these risks. Using a new dataset on all foreign-invested enterprises registered in China between 2017 and 2019, we implement triple interaction models to isolate the impact of increased political risks, investor national origin, and entrenchment on firm exit. Our findings show that heightened political risks during the trade war did increase firm exits by 34% – 3% points over the pre-conflict baseline. Tariffs, the targeted effect of the trade war, increase US firm exits by 1% point. Firm exit is determined by the balance of heightened political risks against the availability of firm-level resources to mitigate these risks. These findings reconcile the conflicting expectations of the ‘business as usual’ and ‘follow the flag’ literatures about how firms respond to political risk, highlighting the tremendous collateral damage tariffs can cause in an age of global value chains.</w:t>
      </w:r>
    </w:p>
    <w:p/>
    <w:p>
      <w:r>
        <w:rPr>
          <w:rFonts w:ascii="Times New Roman" w:hAnsi="Times New Roman" w:eastAsia="黑体"/>
          <w:b/>
          <w:i w:val="0"/>
          <w:sz w:val="24"/>
        </w:rPr>
        <w:t>失控？私营拦截、入侵与监控市场的政治经济学</w:t>
      </w:r>
    </w:p>
    <w:p>
      <w:r>
        <w:rPr>
          <w:rFonts w:ascii="Times New Roman" w:hAnsi="Times New Roman" w:eastAsia="宋体"/>
          <w:b w:val="0"/>
          <w:i/>
          <w:color w:val="404040"/>
          <w:sz w:val="20"/>
        </w:rPr>
        <w:t>Beyond control? The political economy of private interception, intrusion, and surveillance markets</w:t>
      </w:r>
    </w:p>
    <w:p>
      <w:r>
        <w:rPr>
          <w:rFonts w:ascii="Times New Roman" w:hAnsi="Times New Roman" w:eastAsia="宋体"/>
          <w:b w:val="0"/>
          <w:i w:val="0"/>
          <w:color w:val="595959"/>
          <w:sz w:val="18"/>
        </w:rPr>
        <w:t>Lars Gjesvik（Security and Defence Group, Norwegian Institute of International Affairs, Oslo, Norway）；Johann Ole Willers（Department of Organization, Copenhagen Business School, Copenhagen, Denmark）</w:t>
      </w:r>
    </w:p>
    <w:p>
      <w:r>
        <w:rPr>
          <w:rFonts w:ascii="Times New Roman" w:hAnsi="Times New Roman" w:eastAsia="宋体"/>
          <w:b w:val="0"/>
          <w:i w:val="0"/>
          <w:sz w:val="22"/>
        </w:rPr>
        <w:t>摘要：【摘译】基于5973份行业展示等数据，作者将私营拦截、入侵与监控市场视为动态集合体，发现领土化、技术可供性变化与秩序化三种动态持续破坏限制市场运作的努力。</w:t>
      </w:r>
    </w:p>
    <w:p>
      <w:r>
        <w:rPr>
          <w:rFonts w:ascii="Times New Roman" w:hAnsi="Times New Roman" w:eastAsia="宋体"/>
          <w:b w:val="0"/>
          <w:i w:val="0"/>
          <w:sz w:val="20"/>
        </w:rPr>
        <w:t>Private intrusion, interception, and surveillance (PIIS) markets represent a key vehicle for the global expansion of digital surveillance regimes. Yet, due to their opacity and notorious secrecy, these markets have received relatively little scholarly attention. Triangulating between a unique dataset comprising 5973 industry presentations, interviews, and industry reports, this article provides novel insights into the evolution of market structures and public control efforts. Conceptualizing the PIIS-market as a dynamic and fluid assemblage, we highlight how the enmeshment of social, political, and technological dimensions shaped hierarchies and agencies of control. Our findings point towards the existence of three intersecting dynamics of territorialization, changing technological affordances, and ordering that persistently undermined attempts to limit market operations. In reflecting on these past failures, the presented approach points towards the importance of timing and highlights a need to re-conceptualize control in state-market relations from an assemblage perspective, pragmatically working across bureaucratic boundaries and leveraging disparate power centers across the public and private divide. Considering the growing interest in economic dependencies and the strategic dimension of high-tech markets, these findings have a wider relevance to current debates about the rise of economic security states.</w:t>
      </w:r>
    </w:p>
    <w:p/>
    <w:p>
      <w:r>
        <w:rPr>
          <w:rFonts w:ascii="Times New Roman" w:hAnsi="Times New Roman" w:eastAsia="黑体"/>
          <w:b/>
          <w:i w:val="0"/>
          <w:sz w:val="24"/>
        </w:rPr>
        <w:t>全球航天产业的组织生态</w:t>
      </w:r>
    </w:p>
    <w:p>
      <w:r>
        <w:rPr>
          <w:rFonts w:ascii="Times New Roman" w:hAnsi="Times New Roman" w:eastAsia="宋体"/>
          <w:b w:val="0"/>
          <w:i/>
          <w:color w:val="404040"/>
          <w:sz w:val="20"/>
        </w:rPr>
        <w:t>The organizational ecology of the global space industry</w:t>
      </w:r>
    </w:p>
    <w:p>
      <w:r>
        <w:rPr>
          <w:rFonts w:ascii="Times New Roman" w:hAnsi="Times New Roman" w:eastAsia="宋体"/>
          <w:b w:val="0"/>
          <w:i w:val="0"/>
          <w:color w:val="595959"/>
          <w:sz w:val="18"/>
        </w:rPr>
        <w:t>Jean-Frédéric Morin（Department of Political Science, Université Laval, Quebec City, Canada）；Guillaume Beaumier（Direction de l’enseignement et de la recherche, École nationale d’administration publique (Department of Education and Research, National School of Public Administration), Quebec City, Canada）</w:t>
      </w:r>
    </w:p>
    <w:p>
      <w:r>
        <w:rPr>
          <w:rFonts w:ascii="Times New Roman" w:hAnsi="Times New Roman" w:eastAsia="宋体"/>
          <w:b w:val="0"/>
          <w:i w:val="0"/>
          <w:sz w:val="22"/>
        </w:rPr>
        <w:t>摘要：【摘译】基于1751个航天组织数据与52次访谈，作者发现政府航天机构与私营航天组织的互利共生关系是后者兴起的关键，而非少数企业家白手起家或私营部门击败停滞的公共部门。</w:t>
      </w:r>
    </w:p>
    <w:p>
      <w:r>
        <w:rPr>
          <w:rFonts w:ascii="Times New Roman" w:hAnsi="Times New Roman" w:eastAsia="宋体"/>
          <w:b w:val="0"/>
          <w:i w:val="0"/>
          <w:sz w:val="20"/>
        </w:rPr>
        <w:t>The global space industry is booming. While governmental agencies used to dominate outer space activities, private space organizations (PSOs) now launch rockets, operate strategic satellites, and even take tourists on space expeditions. How can we explain this emergence of PSOs? Building on organizational ecology theory and drawing on a novel dataset of 1751 space organizations and 52 semi-structured interviews, this paper finds that mutualistic relations between governmental space agencies and PSOs have been instrumental in the rise of PSOs. This emphasis on mutualism challenges the prevailing belief that a few visionary private entrepreneurs create the space industry from the ground up. It also refutes the notion that PSOs simply out-compete a stagnant public sector. PSOs have not superseded governmental space agencies; they are nurtured by and developed with them. This paper is one of the first to explain how private actors can emerge in a field historically dominated by governmental actors. In so doing, it contributes to studies on public-private interactions by showing how mutualism can structure a nascent industry. It also opens up new avenues for research on the political economy of outer space by making available a rich dataset of space actors.</w:t>
      </w:r>
    </w:p>
    <w:p/>
    <w:p>
      <w:r>
        <w:rPr>
          <w:rFonts w:ascii="Times New Roman" w:hAnsi="Times New Roman" w:eastAsia="黑体"/>
          <w:b/>
          <w:i w:val="0"/>
          <w:sz w:val="24"/>
        </w:rPr>
        <w:t>认知选区划分：ESG、影响力投资与可持续性的金融治理</w:t>
      </w:r>
    </w:p>
    <w:p>
      <w:r>
        <w:rPr>
          <w:rFonts w:ascii="Times New Roman" w:hAnsi="Times New Roman" w:eastAsia="宋体"/>
          <w:b w:val="0"/>
          <w:i/>
          <w:color w:val="404040"/>
          <w:sz w:val="20"/>
        </w:rPr>
        <w:t>Epistemic gerrymandering: ESG, impact investing, and the financial governance of sustainability</w:t>
      </w:r>
    </w:p>
    <w:p>
      <w:r>
        <w:rPr>
          <w:rFonts w:ascii="Times New Roman" w:hAnsi="Times New Roman" w:eastAsia="宋体"/>
          <w:b w:val="0"/>
          <w:i w:val="0"/>
          <w:color w:val="595959"/>
          <w:sz w:val="18"/>
        </w:rPr>
        <w:t>Philipp Golka（Max Planck Institute for the Study of Societies, Cologne, Germany）</w:t>
      </w:r>
    </w:p>
    <w:p>
      <w:r>
        <w:rPr>
          <w:rFonts w:ascii="Times New Roman" w:hAnsi="Times New Roman" w:eastAsia="宋体"/>
          <w:b w:val="0"/>
          <w:i w:val="0"/>
          <w:sz w:val="22"/>
        </w:rPr>
        <w:t>摘要：【摘译】作者区分ESG投资与影响力投资，提出“认知选区划分”概念描述影响力投资者如何按自身投资组合定制“影响”，并以俱乐部结构与私人财富管理的接近解释这种模糊性的稳定。</w:t>
      </w:r>
    </w:p>
    <w:p>
      <w:r>
        <w:rPr>
          <w:rFonts w:ascii="Times New Roman" w:hAnsi="Times New Roman" w:eastAsia="宋体"/>
          <w:b w:val="0"/>
          <w:i w:val="0"/>
          <w:sz w:val="20"/>
        </w:rPr>
        <w:t>Finance plays an increasing role in the global governance of sustainability. To explain the rise of finance, scholarship is increasingly turning to the financial sector as a producer of policy-relevant knowledge. However, scholarship has paid little attention to how differences within the financial sector affect such knowledge production. This article differentiates two important ways how the financial sector addresses sustainability: investments following environmental, social and governance (ESG) standards, and impact investing. Whereas diversified ESG investing is centered around index and data providers, impact investors manage non-listed assets and develop idiosyncratic ‘impact’ approaches. I introduce the term ‘epistemic gerrymandering’ to describe how impact investors tailor ‘impact’ to their financial portfolios and to explain how the resulting heterogeneity and ambiguity is stabilized. Tracing the historical development of impact investing from three distinct strands into a transnational club, I argue that the club structure, together with impact investors’ proximity to private wealth management, explains the persistence of epistemic gerrymandering. As a knowledge regime, epistemic gerrymandering reinforces three dynamics of particular importance to political economists: the subjugation of sustainability to financial returns, the restriction of access to epistemic arenas to wealthy elites, and the rechanneling of charitable and public resources to de-risk private investments.</w:t>
      </w:r>
    </w:p>
    <w:p/>
    <w:p>
      <w:r>
        <w:rPr>
          <w:rFonts w:ascii="Times New Roman" w:hAnsi="Times New Roman" w:eastAsia="黑体"/>
          <w:b/>
          <w:i w:val="0"/>
          <w:sz w:val="24"/>
        </w:rPr>
        <w:t>给自由化苦药加糖：自由贸易协定的配套措施</w:t>
      </w:r>
    </w:p>
    <w:p>
      <w:r>
        <w:rPr>
          <w:rFonts w:ascii="Times New Roman" w:hAnsi="Times New Roman" w:eastAsia="宋体"/>
          <w:b w:val="0"/>
          <w:i/>
          <w:color w:val="404040"/>
          <w:sz w:val="20"/>
        </w:rPr>
        <w:t>Sweetening the liberalization pill: flanking measures to free trade agreements</w:t>
      </w:r>
    </w:p>
    <w:p>
      <w:r>
        <w:rPr>
          <w:rFonts w:ascii="Times New Roman" w:hAnsi="Times New Roman" w:eastAsia="宋体"/>
          <w:b w:val="0"/>
          <w:i w:val="0"/>
          <w:color w:val="595959"/>
          <w:sz w:val="18"/>
        </w:rPr>
        <w:t>Noémie Laurens（Geneva Graduate Institute, Geneva, Switzerland）；Christian Winkler（Geneva Graduate Institute, Geneva, Switzerland）；Cédric Dupont（Geneva Graduate Institute, Geneva, Switzerland）</w:t>
      </w:r>
    </w:p>
    <w:p>
      <w:r>
        <w:rPr>
          <w:rFonts w:ascii="Times New Roman" w:hAnsi="Times New Roman" w:eastAsia="宋体"/>
          <w:b w:val="0"/>
          <w:i w:val="0"/>
          <w:sz w:val="22"/>
        </w:rPr>
        <w:t>摘要：【摘译】作者将自由贸易协定配套工具称为“侧翼措施”，认为其兼具缓解负面溢出（实质维度）与构建支持自由化的国内联盟（政治维度）两种目的。</w:t>
      </w:r>
    </w:p>
    <w:p>
      <w:r>
        <w:rPr>
          <w:rFonts w:ascii="Times New Roman" w:hAnsi="Times New Roman" w:eastAsia="宋体"/>
          <w:b w:val="0"/>
          <w:i w:val="0"/>
          <w:sz w:val="20"/>
        </w:rPr>
        <w:t>Free trade agreement (FTA) negotiators increasingly face pressure from domestic interest groups, including environmental non-governmental organizations (NGOs), civil activists and labor unions. As a result of the growing scrutiny on the content of FTAs, we are now witnessing a proliferation of instruments accompanying FTAs, which we group under the label of flanking measures. In this article, we argue that flanking measures can serve two main non-exclusive purposes: Increasing aggregate social welfare by mitigating the negative spillovers of FTAs on society (the substantive dimension) and helping to build domestic coalitions in support of trade liberalization (the political dimension). Despite the relevance and growing empirical importance of the concept, flanking remains largely overlooked in the International Political Economy (IPE) literature. This essay seeks to fill this gap by discussing the scope, purposes and timing of flanking.</w:t>
      </w:r>
    </w:p>
    <w:p/>
    <w:p>
      <w:r>
        <w:rPr>
          <w:rFonts w:ascii="Times New Roman" w:hAnsi="Times New Roman" w:eastAsia="宋体"/>
          <w:b/>
          <w:i w:val="0"/>
          <w:sz w:val="22"/>
        </w:rPr>
        <w:t>RIPE： Vol. 31, No. 5, 2024</w:t>
      </w:r>
    </w:p>
    <w:p/>
    <w:p>
      <w:r>
        <w:rPr>
          <w:rFonts w:ascii="Times New Roman" w:hAnsi="Times New Roman" w:eastAsia="黑体"/>
          <w:b/>
          <w:i w:val="0"/>
          <w:sz w:val="24"/>
        </w:rPr>
        <w:t>变卖家珍：耐心资本、政商关系与意大利和西班牙战略性公用事业私有化</w:t>
      </w:r>
    </w:p>
    <w:p>
      <w:r>
        <w:rPr>
          <w:rFonts w:ascii="Times New Roman" w:hAnsi="Times New Roman" w:eastAsia="宋体"/>
          <w:b w:val="0"/>
          <w:i/>
          <w:color w:val="404040"/>
          <w:sz w:val="20"/>
        </w:rPr>
        <w:t>Selling the jewels: patient capital, state-business relations, and the privatization of strategic utilities in Italy and Spain</w:t>
      </w:r>
    </w:p>
    <w:p>
      <w:r>
        <w:rPr>
          <w:rFonts w:ascii="Times New Roman" w:hAnsi="Times New Roman" w:eastAsia="宋体"/>
          <w:b w:val="0"/>
          <w:i w:val="0"/>
          <w:color w:val="595959"/>
          <w:sz w:val="18"/>
        </w:rPr>
        <w:t>Fabio Bulfone（Universiteit Leiden, Leiden, The Netherlands）</w:t>
      </w:r>
    </w:p>
    <w:p>
      <w:r>
        <w:rPr>
          <w:rFonts w:ascii="Times New Roman" w:hAnsi="Times New Roman" w:eastAsia="宋体"/>
          <w:b w:val="0"/>
          <w:i w:val="0"/>
          <w:sz w:val="22"/>
        </w:rPr>
        <w:t>摘要：【摘译】历史案例显示，西班牙完成公用事业全面私有化是因为国家能组织私人投资者形成重视长期的股东联盟，而意大利未能如此，故国家仍保留控股。</w:t>
      </w:r>
    </w:p>
    <w:p>
      <w:r>
        <w:rPr>
          <w:rFonts w:ascii="Times New Roman" w:hAnsi="Times New Roman" w:eastAsia="宋体"/>
          <w:b w:val="0"/>
          <w:i w:val="0"/>
          <w:sz w:val="20"/>
        </w:rPr>
        <w:t>The privatization of public utilities marked a turning point in European capitalism, reshaping the relationship between the public and private spheres of the economy. However, the extent of state disinvestment varies greatly from country to country. While in some countries direct state ownership has disappeared, in others the state still acts as a reference shareholder in strategic companies. Despite their institutional similarities, Italy and Spain provide a puzzling example of this divergence. While Spain completed the privatization of all public utilities, the Italian state retains a controlling stake in many of them. Through historical case studies based on official documents, legal texts, archival research of newspaper articles, secondary sources and memoirs, this paper explains this divergence. Contributing to recent debates on patient capital and state-business interactions, it is argued that Spain completed the privatization process because the state was able to orchestrate the creation of shareholder alliances among private investors. Crucially, these investors were willing to ensure that management prioritizes long-term investment plans over the distribution of short-term financial profits. In the absence of domestic private providers of patient capital, the Italian state had to keep the role of anchor investor for itself after unsuccessfully experimenting with various privatization strategies.</w:t>
      </w:r>
    </w:p>
    <w:p/>
    <w:p>
      <w:r>
        <w:rPr>
          <w:rFonts w:ascii="Times New Roman" w:hAnsi="Times New Roman" w:eastAsia="黑体"/>
          <w:b/>
          <w:i w:val="0"/>
          <w:sz w:val="24"/>
        </w:rPr>
        <w:t>抵押品工厂里的协作：公债管理、中央银行与一级交易商体系的基础设施纠缠</w:t>
      </w:r>
    </w:p>
    <w:p>
      <w:r>
        <w:rPr>
          <w:rFonts w:ascii="Times New Roman" w:hAnsi="Times New Roman" w:eastAsia="宋体"/>
          <w:b w:val="0"/>
          <w:i/>
          <w:color w:val="404040"/>
          <w:sz w:val="20"/>
        </w:rPr>
        <w:t>Co-working in the collateral factory: analyzing the infrastructural entanglements of public debt management, central banking, and primary dealer systems</w:t>
      </w:r>
    </w:p>
    <w:p>
      <w:r>
        <w:rPr>
          <w:rFonts w:ascii="Times New Roman" w:hAnsi="Times New Roman" w:eastAsia="宋体"/>
          <w:b w:val="0"/>
          <w:i w:val="0"/>
          <w:color w:val="595959"/>
          <w:sz w:val="18"/>
        </w:rPr>
        <w:t>Fabian Pape（Department of International Relations, The London School of Economics and Political Science, London, England）；Charlotte Rommerskirchen（School of Social and Political Science, University of Edinburgh, Edinburgh, Scotland）</w:t>
      </w:r>
    </w:p>
    <w:p>
      <w:r>
        <w:rPr>
          <w:rFonts w:ascii="Times New Roman" w:hAnsi="Times New Roman" w:eastAsia="宋体"/>
          <w:b w:val="0"/>
          <w:i w:val="0"/>
          <w:sz w:val="22"/>
        </w:rPr>
        <w:t>摘要：【摘译】作者提出“抵押品三角”概念：债务管理办公室、央行与一级交易商共同以回购融资为核心构建并维护主权债市场流动性基础设施。</w:t>
      </w:r>
    </w:p>
    <w:p>
      <w:r>
        <w:rPr>
          <w:rFonts w:ascii="Times New Roman" w:hAnsi="Times New Roman" w:eastAsia="宋体"/>
          <w:b w:val="0"/>
          <w:i w:val="0"/>
          <w:sz w:val="20"/>
        </w:rPr>
        <w:t>Scholarship on sovereign debt emphasizes the importance of central banks in backstopping markets, but less attention has been devoted to the interactions of debt management offices with private finance. To fill this gap, this article examines the market-based operations of debt management offices alongside those of central banks. Debt management has played a crucial role in constructing and nurturing liquidity conditions in primary and secondary markets for sovereign debt through the contracting of primary dealers as monetary and fiscal policy partners, the embrace of repo markets, and later, through the creation of special liquidity facilities. Co-working in the collateral factory of the modern financial system creates new forms of entanglements that we term the ‘collateral triangle’, linking together central banking, debt management, and primary dealer operations in a shared convergence on repo finance as integral to public sector governability and private sector business models. Debt management and central banking jointly created and now maintain the infrastructures of this ‘collateral triangle’, not least because the inherent stability risks of repo markets threaten market-based monetary policy and market-based debt management. Routine de-risking by both actors is a core feature of the collateral system.</w:t>
      </w:r>
    </w:p>
    <w:p/>
    <w:p>
      <w:r>
        <w:rPr>
          <w:rFonts w:ascii="Times New Roman" w:hAnsi="Times New Roman" w:eastAsia="黑体"/>
          <w:b/>
          <w:i w:val="0"/>
          <w:sz w:val="24"/>
        </w:rPr>
        <w:t>企业透明度的政治起源：通过信息规则与政策企业家构建奇特联盟</w:t>
      </w:r>
    </w:p>
    <w:p>
      <w:r>
        <w:rPr>
          <w:rFonts w:ascii="Times New Roman" w:hAnsi="Times New Roman" w:eastAsia="宋体"/>
          <w:b w:val="0"/>
          <w:i/>
          <w:color w:val="404040"/>
          <w:sz w:val="20"/>
        </w:rPr>
        <w:t>The political origins of corporate transparency: forging strange coalitions through information rules and policy entrepreneurship</w:t>
      </w:r>
    </w:p>
    <w:p>
      <w:r>
        <w:rPr>
          <w:rFonts w:ascii="Times New Roman" w:hAnsi="Times New Roman" w:eastAsia="宋体"/>
          <w:b w:val="0"/>
          <w:i w:val="0"/>
          <w:color w:val="595959"/>
          <w:sz w:val="18"/>
        </w:rPr>
        <w:t>Elizabeth Meehan（Department of Political Science, The George Washington University, Washington, DC, USA）</w:t>
      </w:r>
    </w:p>
    <w:p>
      <w:r>
        <w:rPr>
          <w:rFonts w:ascii="Times New Roman" w:hAnsi="Times New Roman" w:eastAsia="宋体"/>
          <w:b w:val="0"/>
          <w:i w:val="0"/>
          <w:sz w:val="22"/>
        </w:rPr>
        <w:t>摘要：【摘译】以美英加澳受益所有权透明度立法为例，作者提出另一因果路径：既往对部分行业的信息收集要求造成行业偏好分化，公民社会借此组建“奇特联盟”推动立法。</w:t>
      </w:r>
    </w:p>
    <w:p>
      <w:r>
        <w:rPr>
          <w:rFonts w:ascii="Times New Roman" w:hAnsi="Times New Roman" w:eastAsia="宋体"/>
          <w:b w:val="0"/>
          <w:i w:val="0"/>
          <w:sz w:val="20"/>
        </w:rPr>
        <w:t>When does business support corporate transparency laws, and how do they succeed despite opposition from other powerful business groups? Existing research converges on a common causal pathway: Crises increase public issue salience and open windows of opportunity for policy entrepreneurs to pressure politicians into adopting transparency laws. Examining the case of beneficial ownership transparency (BOT) laws, I theorize an alternative causal pathway where past policy decisions mandating information collection by certain industries produce inter-industry divergence in their policy preferences and undermine opposition business lobbying. Civil society groups can then engage in policy entrepreneurship to integrate supportive regulated industries into new coalitions. Large, organizationally diverse ‘strange coalitions’ increase political pressure on policymakers, leading to the adoption of corporate transparency laws. I conduct a structured, focused comparison of the United States, United Kingdom, Canada, and Australia as parallel demonstrations of this causal pathway. I combine primary and secondary source documentation with 44 semi-structured interviews to trace failed and successful attempts to adopt BOT laws during the 2010s and early 2020s. I center endogenous feedback processes as a primary cause of transparency, provide further evidence of when firms prefer stronger regulation, and highlight the continued importance of domestic interests in transnational policy issues.</w:t>
      </w:r>
    </w:p>
    <w:p/>
    <w:p>
      <w:r>
        <w:rPr>
          <w:rFonts w:ascii="Times New Roman" w:hAnsi="Times New Roman" w:eastAsia="黑体"/>
          <w:b/>
          <w:i w:val="0"/>
          <w:sz w:val="24"/>
        </w:rPr>
        <w:t>银行成为新家庭：土耳其从非正式借贷到正式借贷的转变</w:t>
      </w:r>
    </w:p>
    <w:p>
      <w:r>
        <w:rPr>
          <w:rFonts w:ascii="Times New Roman" w:hAnsi="Times New Roman" w:eastAsia="宋体"/>
          <w:b w:val="0"/>
          <w:i/>
          <w:color w:val="404040"/>
          <w:sz w:val="20"/>
        </w:rPr>
        <w:t>Banks as the new family: the transition from informal to formal borrowing in Turkey</w:t>
      </w:r>
    </w:p>
    <w:p>
      <w:r>
        <w:rPr>
          <w:rFonts w:ascii="Times New Roman" w:hAnsi="Times New Roman" w:eastAsia="宋体"/>
          <w:b w:val="0"/>
          <w:i w:val="0"/>
          <w:color w:val="595959"/>
          <w:sz w:val="18"/>
        </w:rPr>
        <w:t>Pelin Kılınçarslan（Migration Research Center at Koç University (MiReKoc), Istanbul, Turkey）</w:t>
      </w:r>
    </w:p>
    <w:p>
      <w:r>
        <w:rPr>
          <w:rFonts w:ascii="Times New Roman" w:hAnsi="Times New Roman" w:eastAsia="宋体"/>
          <w:b w:val="0"/>
          <w:i w:val="0"/>
          <w:sz w:val="22"/>
        </w:rPr>
        <w:t>摘要：【摘译】伊斯坦布尔负债家庭女性访谈显示，向亲友借贷由信任团结变为依赖与屈辱，向银行借贷被视为自立，但这与女性以社会再生产必要性为道德框架的债务人自我认同相矛盾。</w:t>
      </w:r>
    </w:p>
    <w:p>
      <w:r>
        <w:rPr>
          <w:rFonts w:ascii="Times New Roman" w:hAnsi="Times New Roman" w:eastAsia="宋体"/>
          <w:b w:val="0"/>
          <w:i w:val="0"/>
          <w:sz w:val="20"/>
        </w:rPr>
        <w:t>This paper focuses on the impact of social reproduction patterns on borrowing experiences in everyday life, linking two lines of research within feminist and critical International Political Economy (IPE) literature of the everyday, one on social reproduction and debt, and the other on financial subjectivities. Drawing on interviews with women from indebted households in Istanbul, Turkey, it specifically explores how this impact is reflected in the meanings attached to borrowing and the perceptions of what it entails to be a debtor, thereby generating gendered implications. This article reveals that borrowing from family and friends, once seen as an expression of trust and solidarity, is now associated with financial dependence and humiliation, while borrowing from banks is perceived as a means to achieve self-reliance and self-responsibility. However, these meanings contradict women’s self-identifications as debtors, which are framed in moral terms surrounding the structural necessity of incurring credit-debt for social reproduction. This paper contributes to political economy scholarship by addressing how the everyday lives of the indebted are linked to the broader global financial system, mediated by the specific conditions of a Global South context (Turkey) characterized by subordinate financialization, the political use of credit expansion, and a neoliberal/conservative gender regime.</w:t>
      </w:r>
    </w:p>
    <w:p/>
    <w:p>
      <w:r>
        <w:rPr>
          <w:rFonts w:ascii="Times New Roman" w:hAnsi="Times New Roman" w:eastAsia="黑体"/>
          <w:b/>
          <w:i w:val="0"/>
          <w:sz w:val="24"/>
        </w:rPr>
        <w:t>政权稳定的工具：海湾食利国家主权财富基金的政治经济学</w:t>
      </w:r>
    </w:p>
    <w:p>
      <w:r>
        <w:rPr>
          <w:rFonts w:ascii="Times New Roman" w:hAnsi="Times New Roman" w:eastAsia="宋体"/>
          <w:b w:val="0"/>
          <w:i/>
          <w:color w:val="404040"/>
          <w:sz w:val="20"/>
        </w:rPr>
        <w:t>Tools of regime stability: the political economy of sovereign wealth funds in Gulf rentier states</w:t>
      </w:r>
    </w:p>
    <w:p>
      <w:r>
        <w:rPr>
          <w:rFonts w:ascii="Times New Roman" w:hAnsi="Times New Roman" w:eastAsia="宋体"/>
          <w:b w:val="0"/>
          <w:i w:val="0"/>
          <w:color w:val="595959"/>
          <w:sz w:val="18"/>
        </w:rPr>
        <w:t>Alexis Montambault Trudelle（School of Social and Political Science, University of Edinburgh, Edinburgh, UK）</w:t>
      </w:r>
    </w:p>
    <w:p>
      <w:r>
        <w:rPr>
          <w:rFonts w:ascii="Times New Roman" w:hAnsi="Times New Roman" w:eastAsia="宋体"/>
          <w:b w:val="0"/>
          <w:i w:val="0"/>
          <w:sz w:val="22"/>
        </w:rPr>
        <w:t>摘要：【摘译】以沙特为例，作者认为海湾主权财富基金从被动投资者转为发展驱动者，是食利国家在维持分配框架前提下应对外部压力、增强经济调控并重构庇护网络的政权稳定工具。</w:t>
      </w:r>
    </w:p>
    <w:p>
      <w:r>
        <w:rPr>
          <w:rFonts w:ascii="Times New Roman" w:hAnsi="Times New Roman" w:eastAsia="宋体"/>
          <w:b w:val="0"/>
          <w:i w:val="0"/>
          <w:sz w:val="20"/>
        </w:rPr>
        <w:t>Why have Gulf resource-dependent countries transformed the role of their sovereign wealth funds (SWFs) from passive global investors to ubiquitous drivers of economic development? How does this role-change operate amidst fiscal scarcity, confounding macroeconomic expectations of commodity-based SWFs? Beyond a narrow view of funds as apolitical economic actors, this article puts forward the logic of SWFs as tools of regime stability to explain SWF development in Gulf rentier states. This logic advances that SWFs are adaptive strategies through which rentier states respond to evolving external pressure without compromising the fundamental pillars of regime stability underpinning allocative frameworks. Drawing on the Saudi case, the article finds that SWFs create de-risking pathways to mobilize private finance capital through environmental, social and governance (ESG) practices and market-based instruments like green bonds. Simultaneously, SWFs allow incumbents to revisit rentier governance by enhancing economic steering capacity while upholding, but restructuring, patronage networks. By shedding light on the political role of SWFs, this article contributes to debates surrounding rentier states and financialization literatures. It highlights how the elasticity of rentierism as financialized forms of state-led economic development does not erode state capacity but rather empowers ruling elites with a new range of tools and resources to upgrade rentier governance in times of economic transitions.</w:t>
      </w:r>
    </w:p>
    <w:p/>
    <w:p>
      <w:r>
        <w:rPr>
          <w:rFonts w:ascii="Times New Roman" w:hAnsi="Times New Roman" w:eastAsia="黑体"/>
          <w:b/>
          <w:i w:val="0"/>
          <w:sz w:val="24"/>
        </w:rPr>
        <w:t>解释各国加密货币监管差异：对全球政治经济的含义</w:t>
      </w:r>
    </w:p>
    <w:p>
      <w:r>
        <w:rPr>
          <w:rFonts w:ascii="Times New Roman" w:hAnsi="Times New Roman" w:eastAsia="宋体"/>
          <w:b w:val="0"/>
          <w:i/>
          <w:color w:val="404040"/>
          <w:sz w:val="20"/>
        </w:rPr>
        <w:t>Explaining variation in national cryptocurrency regulation: implications for the global political economy</w:t>
      </w:r>
    </w:p>
    <w:p>
      <w:r>
        <w:rPr>
          <w:rFonts w:ascii="Times New Roman" w:hAnsi="Times New Roman" w:eastAsia="宋体"/>
          <w:b w:val="0"/>
          <w:i w:val="0"/>
          <w:color w:val="595959"/>
          <w:sz w:val="18"/>
        </w:rPr>
        <w:t>Heather-Leigh Ba（Truman School of Government and Public Affairs, University of Missouri, Columbia, Missouri, USA）；Ömer Faruk Şen（Truman School of Government and Public Affairs, University of Missouri, Columbia, Missouri, USA）</w:t>
      </w:r>
    </w:p>
    <w:p>
      <w:r>
        <w:rPr>
          <w:rFonts w:ascii="Times New Roman" w:hAnsi="Times New Roman" w:eastAsia="宋体"/>
          <w:b w:val="0"/>
          <w:i w:val="0"/>
          <w:sz w:val="22"/>
        </w:rPr>
        <w:t>摘要：【摘译】作者认为政府禁止加密货币源于维护货币控制的意愿，实行固定汇率与资本管制的国家最有动机禁止；威权国家比民主国家更可能实施禁令。</w:t>
      </w:r>
    </w:p>
    <w:p>
      <w:r>
        <w:rPr>
          <w:rFonts w:ascii="Times New Roman" w:hAnsi="Times New Roman" w:eastAsia="宋体"/>
          <w:b w:val="0"/>
          <w:i w:val="0"/>
          <w:sz w:val="20"/>
        </w:rPr>
        <w:t>While still in their nascent stages, cryptocurrencies have the potential to reshape the international political economy by hastening the end of US dollar hegemony and reducing the US’s coercive financial power. Recently, governments have adopted various regulatory approaches to these new technologies. Most commonly, countries have implemented an array of partial and absolute bans. What explains governments’ responses to the new and potentially disruptive technology? We argue that governments’ decisions to ban cryptocurrencies stem from their desire to maintain monetary control. While cryptoization threatens all governments’ monetary policy autonomy, governments who choose to fix their exchange rates and restrict cross-border movement of capital are most motivated to ban crypto because digital currencies can be used to evade exchange and capital controls. A country’s regime type also affects its ability to enact bans; democracies will be less likely to enact a ban than autocracies. Our results suggest that cryptocurrency threatens the international political and economic status quo less than many speculate because regimes most likely to be at odds with US monetary and financial dominance face a strong incentive to ban the technologies in their own countries.</w:t>
      </w:r>
    </w:p>
    <w:p/>
    <w:p>
      <w:r>
        <w:rPr>
          <w:rFonts w:ascii="Times New Roman" w:hAnsi="Times New Roman" w:eastAsia="黑体"/>
          <w:b/>
          <w:i w:val="0"/>
          <w:sz w:val="24"/>
        </w:rPr>
        <w:t>殖民印度的金汇兑本位：国际国家信用本位货币等级的预演</w:t>
      </w:r>
    </w:p>
    <w:p>
      <w:r>
        <w:rPr>
          <w:rFonts w:ascii="Times New Roman" w:hAnsi="Times New Roman" w:eastAsia="宋体"/>
          <w:b w:val="0"/>
          <w:i/>
          <w:color w:val="404040"/>
          <w:sz w:val="20"/>
        </w:rPr>
        <w:t>The gold-exchange standard in colonial India: foreshadowing the monetary hierarchy of the international state-credit standard</w:t>
      </w:r>
    </w:p>
    <w:p>
      <w:r>
        <w:rPr>
          <w:rFonts w:ascii="Times New Roman" w:hAnsi="Times New Roman" w:eastAsia="宋体"/>
          <w:b w:val="0"/>
          <w:i w:val="0"/>
          <w:color w:val="595959"/>
          <w:sz w:val="18"/>
        </w:rPr>
        <w:t>Ramaa Vasudevan（Department of Economics, Colorado State University, Fort Collins, CO, USA）</w:t>
      </w:r>
    </w:p>
    <w:p>
      <w:r>
        <w:rPr>
          <w:rFonts w:ascii="Times New Roman" w:hAnsi="Times New Roman" w:eastAsia="宋体"/>
          <w:b w:val="0"/>
          <w:i w:val="0"/>
          <w:sz w:val="22"/>
        </w:rPr>
        <w:t>摘要：【摘译】作者分析殖民印度金汇兑本位如何通过议会票据机制与储备存放伦敦将印度嵌入英镑货币等级，预演了美元霸权下发展中国家储备积累的金融从属。</w:t>
      </w:r>
    </w:p>
    <w:p>
      <w:r>
        <w:rPr>
          <w:rFonts w:ascii="Times New Roman" w:hAnsi="Times New Roman" w:eastAsia="宋体"/>
          <w:b w:val="0"/>
          <w:i w:val="0"/>
          <w:sz w:val="20"/>
        </w:rPr>
        <w:t>This paper investigates how the concrete operation of the gold-exchange standard in colonial India imposed a process of financial subordination embedding colonial India in the currency hierarchy of British sterling. This system was instrumental in entrenching a core-periphery asymmetry that undergirded Britain’s financial supremacy, providing elasticity to the sterling funding mechanisms of international money-markets by mobilizing the reserves of colonial India through the council bill mechanism and the placement of reserves in London. Its workings foreshadow the role of reserve accumulation in the financial subordination of developing countries in the context of the dollar hegemony in an international monetary hierarchy delinked from gold and enforced without colonial rule.</w:t>
      </w:r>
    </w:p>
    <w:p/>
    <w:p>
      <w:r>
        <w:rPr>
          <w:rFonts w:ascii="Times New Roman" w:hAnsi="Times New Roman" w:eastAsia="黑体"/>
          <w:b/>
          <w:i w:val="0"/>
          <w:sz w:val="24"/>
        </w:rPr>
        <w:t>“系统性意识”：英格兰银行与包容性资本主义话语</w:t>
      </w:r>
    </w:p>
    <w:p>
      <w:r>
        <w:rPr>
          <w:rFonts w:ascii="Times New Roman" w:hAnsi="Times New Roman" w:eastAsia="宋体"/>
          <w:b w:val="0"/>
          <w:i/>
          <w:color w:val="404040"/>
          <w:sz w:val="20"/>
        </w:rPr>
        <w:t>‘A sense of the systemic’: the Bank of England and the language of inclusive capitalism</w:t>
      </w:r>
    </w:p>
    <w:p>
      <w:r>
        <w:rPr>
          <w:rFonts w:ascii="Times New Roman" w:hAnsi="Times New Roman" w:eastAsia="宋体"/>
          <w:b w:val="0"/>
          <w:i w:val="0"/>
          <w:color w:val="595959"/>
          <w:sz w:val="18"/>
        </w:rPr>
        <w:t>Adam Blanden（King’s College London, London, UK）</w:t>
      </w:r>
    </w:p>
    <w:p>
      <w:r>
        <w:rPr>
          <w:rFonts w:ascii="Times New Roman" w:hAnsi="Times New Roman" w:eastAsia="宋体"/>
          <w:b w:val="0"/>
          <w:i w:val="0"/>
          <w:sz w:val="22"/>
        </w:rPr>
        <w:t>摘要：【摘译】基于英格兰银行官员职业数据、讲话与12次访谈，作者发现具有公共部门与国际机构经验的官员作为“有机知识分子”使用“包容性资本主义”话语，以跨机构协作的审议模式应对长期社会问题。</w:t>
      </w:r>
    </w:p>
    <w:p>
      <w:r>
        <w:rPr>
          <w:rFonts w:ascii="Times New Roman" w:hAnsi="Times New Roman" w:eastAsia="宋体"/>
          <w:b w:val="0"/>
          <w:i w:val="0"/>
          <w:sz w:val="20"/>
        </w:rPr>
        <w:t>Successive crises – social, environmental and political – have led some in global governance circles to advocate a more ‘inclusive capitalism’. In this article, I show how this postcrisis language of inclusive capitalism was used by a specific subset of officials within the Bank of England: Those with high levels of experience in public sector and international official institutions. It is argued that these officials are ‘organic intellectuals’ who mobilise their experience of inter-institutional collaboration as a deliberative model for solving long-term social problems. The institutional experience of these officials and their concern with crises of trust in expertise facilitated the adoption of these models of communicative intervention. I draw on a novel dataset of Bank officials’ career data and speeches, as well as twelve interviews with current and former Bank staff, to show who used this language, in what settings and what motivated its adoption. The article makes a novel contribution to debates about the motivations of key figures in central banks, suggesting that their actions go beyond reputation defence to encompass an expansive worldview of how capitalism might solve its myriad crises.</w:t>
      </w:r>
    </w:p>
    <w:p/>
    <w:p>
      <w:r>
        <w:rPr>
          <w:rFonts w:ascii="Times New Roman" w:hAnsi="Times New Roman" w:eastAsia="黑体"/>
          <w:b/>
          <w:i w:val="0"/>
          <w:sz w:val="24"/>
        </w:rPr>
        <w:t>南南政策转移中的个体能动性：中国与埃塞俄比亚的工业园区发展</w:t>
      </w:r>
    </w:p>
    <w:p>
      <w:r>
        <w:rPr>
          <w:rFonts w:ascii="Times New Roman" w:hAnsi="Times New Roman" w:eastAsia="宋体"/>
          <w:b w:val="0"/>
          <w:i/>
          <w:color w:val="404040"/>
          <w:sz w:val="20"/>
        </w:rPr>
        <w:t>Individual agency in South-South policy transfer: China and Ethiopia’s industrial park development</w:t>
      </w:r>
    </w:p>
    <w:p>
      <w:r>
        <w:rPr>
          <w:rFonts w:ascii="Times New Roman" w:hAnsi="Times New Roman" w:eastAsia="宋体"/>
          <w:b w:val="0"/>
          <w:i w:val="0"/>
          <w:color w:val="595959"/>
          <w:sz w:val="18"/>
        </w:rPr>
        <w:t>Yuan Wang（Duke Kunshan University, Kunshan, China）；Hong Zhang（Kennedy School of Government, Harvard University, Cambridge, Massachusetts, USA）</w:t>
      </w:r>
    </w:p>
    <w:p>
      <w:r>
        <w:rPr>
          <w:rFonts w:ascii="Times New Roman" w:hAnsi="Times New Roman" w:eastAsia="宋体"/>
          <w:b w:val="0"/>
          <w:i w:val="0"/>
          <w:sz w:val="22"/>
        </w:rPr>
        <w:t>摘要：本文对埃塞俄比亚2000年代中期至2010年代末采纳并实施工业园区发展战略进行过程追踪：政策转移如何展开？中国对埃塞俄比亚经济特区战略的影响有何特点？基于2017—2023年多次赴埃塞俄比亚与中国田野的大量访谈并辅以二手资料，作者认为政策转移既涉及应对结构性机遇（为个人提供激励与资源），也涉及个体能动性对结构约束的克服。作为对南南政策转移文献的贡献，研究凸显个体能动性在克服南南情境中普遍存在的结构约束方面的关键作用——这种情境以流动的权力关系与不太明确的政策转移网络为特征；同时强调要审视东道国行为体与崛起中国互动中的能动性，而非假定中国的影响是单向的。</w:t>
      </w:r>
    </w:p>
    <w:p>
      <w:r>
        <w:rPr>
          <w:rFonts w:ascii="Times New Roman" w:hAnsi="Times New Roman" w:eastAsia="宋体"/>
          <w:b w:val="0"/>
          <w:i w:val="0"/>
          <w:sz w:val="20"/>
        </w:rPr>
        <w:t>This article process-traces Ethiopia’s adoption and implementation of the industrial park development strategy from the mid 2000s to the late 2010s. How does policy transfer unfold, and what characterizes China’s influence on Ethiopia’s Special Economic Zone (SEZ) strategy? Drawing on extensive interviews conducted during multiple field trips to Ethiopia and China between 2017 and 2023, complemented by secondary sources, we argue that policy transfer involves navigating both structural opportunities—providing incentives and resources for individuals—and individual agency to surmount structural constraints. Contributing to the growing body of literature on South-South policy transfer, our study underscores the pivotal role of individual agency in overcoming prevalent structural constraints within South-South contexts, characterized by fluid power relations and less defined policy transfer networks. Additionally, we emphasize the importance of scrutinizing the agency of host-country actors in their engagements with a rising China, rather than assuming China’s impacts in a deterministic manner. Our detailed documentation offers a nuanced perspective on China’s influence in Ethiopia’s industrialization. We show that primary agency in the policy transfer process should be attributed to Ethiopian actors, whereas the roles of Chinese actors range from initiation, facilitation, and occasionally, reluctant responses in this intricate process.</w:t>
      </w:r>
    </w:p>
    <w:p/>
    <w:p>
      <w:r>
        <w:rPr>
          <w:rFonts w:ascii="Times New Roman" w:hAnsi="Times New Roman" w:eastAsia="黑体"/>
          <w:b/>
          <w:i w:val="0"/>
          <w:sz w:val="24"/>
        </w:rPr>
        <w:t>数字欧元：（不）安全的物化</w:t>
      </w:r>
    </w:p>
    <w:p>
      <w:r>
        <w:rPr>
          <w:rFonts w:ascii="Times New Roman" w:hAnsi="Times New Roman" w:eastAsia="宋体"/>
          <w:b w:val="0"/>
          <w:i/>
          <w:color w:val="404040"/>
          <w:sz w:val="20"/>
        </w:rPr>
        <w:t>The digital euro: a materialization of (in)security</w:t>
      </w:r>
    </w:p>
    <w:p>
      <w:r>
        <w:rPr>
          <w:rFonts w:ascii="Times New Roman" w:hAnsi="Times New Roman" w:eastAsia="宋体"/>
          <w:b w:val="0"/>
          <w:i w:val="0"/>
          <w:color w:val="595959"/>
          <w:sz w:val="18"/>
        </w:rPr>
        <w:t>Carola Westermeier（Department of Sociology, Justus Liebig University Giessen, Giessen, Germany; Department of Sociology, Technical University Darmstadt, Darmstadt, Germany）</w:t>
      </w:r>
    </w:p>
    <w:p>
      <w:r>
        <w:rPr>
          <w:rFonts w:ascii="Times New Roman" w:hAnsi="Times New Roman" w:eastAsia="宋体"/>
          <w:b w:val="0"/>
          <w:i w:val="0"/>
          <w:sz w:val="22"/>
        </w:rPr>
        <w:t>摘要：【摘译】作者将数字欧元视为推进欧洲安全雄心的基础设施，是在地缘政治紧张中保障泛欧金融交易的（不）安全逻辑的物化，同时作为新型公共货币对银行有深远影响。</w:t>
      </w:r>
    </w:p>
    <w:p>
      <w:r>
        <w:rPr>
          <w:rFonts w:ascii="Times New Roman" w:hAnsi="Times New Roman" w:eastAsia="宋体"/>
          <w:b w:val="0"/>
          <w:i w:val="0"/>
          <w:sz w:val="20"/>
        </w:rPr>
        <w:t>The European Central Bank (ECB) has entered the preparation phase for the potential issuance of a digital euro. The digital euro under consideration represents a retail central bank digital currency (CBDC), a digital representation of central bank money that is intended for use by the general public. This article foregrounds the digital euro as an infrastructure that furthers European security ambitions. It argues that the development of the digital euro is a materialization of European (in)security rationales that aim to secure pan-European financial transactions amid growing geopolitical tensions. It focuses on the development of the technology and analyses how central bankers’ scenarios of the future manifest in the anticipated design and prototypes. While the provision of a financial infrastructure is the most decisive security-related implication of the digital euro, the introduction of a new form of public money is the decisive financial feature with potentially wide-ranging implications for banks. Although the ECB seeks to balance the interests of banks and other financial actors in the development of the digital euro, its plans are still met with criticism. Finally, the article argues that the ECB exerts itself more explicitly than before as a geopolitical actor in its own regard.</w:t>
      </w:r>
    </w:p>
    <w:p/>
    <w:p>
      <w:r>
        <w:rPr>
          <w:rFonts w:ascii="Times New Roman" w:hAnsi="Times New Roman" w:eastAsia="黑体"/>
          <w:b/>
          <w:i w:val="0"/>
          <w:sz w:val="24"/>
        </w:rPr>
        <w:t>有（无）大棒的胡萝卜：信贷政策与绿色央行的局限</w:t>
      </w:r>
    </w:p>
    <w:p>
      <w:r>
        <w:rPr>
          <w:rFonts w:ascii="Times New Roman" w:hAnsi="Times New Roman" w:eastAsia="宋体"/>
          <w:b w:val="0"/>
          <w:i/>
          <w:color w:val="404040"/>
          <w:sz w:val="20"/>
        </w:rPr>
        <w:t>Carrots with(out) sticks: credit policy and the limits of green central banking</w:t>
      </w:r>
    </w:p>
    <w:p>
      <w:r>
        <w:rPr>
          <w:rFonts w:ascii="Times New Roman" w:hAnsi="Times New Roman" w:eastAsia="宋体"/>
          <w:b w:val="0"/>
          <w:i w:val="0"/>
          <w:color w:val="595959"/>
          <w:sz w:val="18"/>
        </w:rPr>
        <w:t>Katie Kedward（Institute for Innovation and Public Purpose, University College London, London, UK）；Daniela Gabor（Faculty of Business and Law, University of the West of England, Bristol, UK）；Josh Ryan-Collins（Institute for Innovation and Public Purpose, University College London, London, UK）</w:t>
      </w:r>
    </w:p>
    <w:p>
      <w:r>
        <w:rPr>
          <w:rFonts w:ascii="Times New Roman" w:hAnsi="Times New Roman" w:eastAsia="宋体"/>
          <w:b w:val="0"/>
          <w:i w:val="0"/>
          <w:sz w:val="22"/>
        </w:rPr>
        <w:t>摘要：【摘译】作者认为央行受货币主导与全球市场化金融结构约束，只能采取“修补市场”与“去风险”式绿色干预；借鉴战后信贷引导体制提出更新方案。</w:t>
      </w:r>
    </w:p>
    <w:p>
      <w:r>
        <w:rPr>
          <w:rFonts w:ascii="Times New Roman" w:hAnsi="Times New Roman" w:eastAsia="宋体"/>
          <w:b w:val="0"/>
          <w:i w:val="0"/>
          <w:sz w:val="20"/>
        </w:rPr>
        <w:t>This article considers the role of central bank interventions in credit and financial markets in support of decarbonization. Drawing on the critical macrofinance literature, we argue that central banks are constrained in greening financial flows by their continued adherence to monetary dominance – prioritizing short-term price stability – and the structural demands of global market-based finance. This has led to a narrow focus on 'market-fixing' and 'de-risking' policy interventions, implicitly outsourcing the green transition to private finance whilst asserting that central banks cannot be seen as 'climate policymakers'. Moving beyond the constraints of this macrofinancial regime remains challenging, as we illustrate with the European Central Bank's (ECB) tilting of its corporate asset purchase program. We explore the lessons from the Post-World War II credit guidance regimes employed in many countries and consider how these could be updated to meet the challenges posed by market-based finance. Such a shift would require an evolution in the role of the central bank as a public agency, challenging current norms around independence and market neutrality.</w:t>
      </w:r>
    </w:p>
    <w:p/>
    <w:p>
      <w:r>
        <w:rPr>
          <w:rFonts w:ascii="Times New Roman" w:hAnsi="Times New Roman" w:eastAsia="黑体"/>
          <w:b/>
          <w:i w:val="0"/>
          <w:sz w:val="24"/>
        </w:rPr>
        <w:t>失而复得的变体：谈判与国际合作研究</w:t>
      </w:r>
    </w:p>
    <w:p>
      <w:r>
        <w:rPr>
          <w:rFonts w:ascii="Times New Roman" w:hAnsi="Times New Roman" w:eastAsia="宋体"/>
          <w:b w:val="0"/>
          <w:i/>
          <w:color w:val="404040"/>
          <w:sz w:val="20"/>
        </w:rPr>
        <w:t>A lost variation found: negotiations and research on international cooperation</w:t>
      </w:r>
    </w:p>
    <w:p>
      <w:r>
        <w:rPr>
          <w:rFonts w:ascii="Times New Roman" w:hAnsi="Times New Roman" w:eastAsia="宋体"/>
          <w:b w:val="0"/>
          <w:i w:val="0"/>
          <w:color w:val="595959"/>
          <w:sz w:val="18"/>
        </w:rPr>
        <w:t>Huei-Jyun Ye（Department of Political Science, Wabash College, Crawfordsville, Indiana, USA）</w:t>
      </w:r>
    </w:p>
    <w:p>
      <w:r>
        <w:rPr>
          <w:rFonts w:ascii="Times New Roman" w:hAnsi="Times New Roman" w:eastAsia="宋体"/>
          <w:b w:val="0"/>
          <w:i w:val="0"/>
          <w:sz w:val="22"/>
        </w:rPr>
        <w:t>摘要：【摘译】作者主张以过程为中心研究国际合作，关注谈判过程中的变异与替代结果，而不只看合作结果，并以贸易谈判为例说明。</w:t>
      </w:r>
    </w:p>
    <w:p>
      <w:r>
        <w:rPr>
          <w:rFonts w:ascii="Times New Roman" w:hAnsi="Times New Roman" w:eastAsia="宋体"/>
          <w:b w:val="0"/>
          <w:i w:val="0"/>
          <w:sz w:val="20"/>
        </w:rPr>
        <w:t>International cooperation occurs after long periods of negotiation, but not every negotiation ends in cooperation outcomes. To date, International Political Economy (IPE) literature has not fully explored these negotiation variations. I suggest that researchers take a process-centered approach to better understand (non-)cooperation rather than look only at the cooperation outcomes. A process-centered approach enables researchers to examine the determinants of the negotiation process and alternative outcomes. This approach also helps uncover how the process may change domestic and international politics. I use trade negotiations to demonstrate negotiation variations and draw on relevant literature to discuss the strengths and weaknesses of process-centered and outcome-centered approaches. Relevant lessons from trade negotiations may shed light on other bargaining processes that bring about (non-)cooperation. While opening the black box of negotiations can be challenging, a process-centered approach advances our knowledge of international cooperation and bridges the gap between IPE research and the real world.</w:t>
      </w:r>
    </w:p>
    <w:p/>
    <w:p>
      <w:r>
        <w:rPr>
          <w:rFonts w:ascii="Times New Roman" w:hAnsi="Times New Roman" w:eastAsia="宋体"/>
          <w:b/>
          <w:i w:val="0"/>
          <w:sz w:val="22"/>
        </w:rPr>
        <w:t>RIPE： Vol. 31, No. 4, 2024</w:t>
      </w:r>
    </w:p>
    <w:p/>
    <w:p>
      <w:r>
        <w:rPr>
          <w:rFonts w:ascii="Times New Roman" w:hAnsi="Times New Roman" w:eastAsia="黑体"/>
          <w:b/>
          <w:i w:val="0"/>
          <w:sz w:val="24"/>
        </w:rPr>
        <w:t>优惠贸易协定设计中的否决权力与准入能力</w:t>
      </w:r>
    </w:p>
    <w:p>
      <w:r>
        <w:rPr>
          <w:rFonts w:ascii="Times New Roman" w:hAnsi="Times New Roman" w:eastAsia="宋体"/>
          <w:b w:val="0"/>
          <w:i/>
          <w:color w:val="404040"/>
          <w:sz w:val="20"/>
        </w:rPr>
        <w:t>Veto powers and access capabilities in the design of preferential trade agreements</w:t>
      </w:r>
    </w:p>
    <w:p>
      <w:r>
        <w:rPr>
          <w:rFonts w:ascii="Times New Roman" w:hAnsi="Times New Roman" w:eastAsia="宋体"/>
          <w:b w:val="0"/>
          <w:i w:val="0"/>
          <w:color w:val="595959"/>
          <w:sz w:val="18"/>
        </w:rPr>
        <w:t>Ninfa M. Fuentes-Sosa（Division of International Studies, Centro de Investigación y Docencia Económicas (CIDE), Mexico City, Mexico）</w:t>
      </w:r>
    </w:p>
    <w:p>
      <w:r>
        <w:rPr>
          <w:rFonts w:ascii="Times New Roman" w:hAnsi="Times New Roman" w:eastAsia="宋体"/>
          <w:b w:val="0"/>
          <w:i w:val="0"/>
          <w:sz w:val="22"/>
        </w:rPr>
        <w:t>摘要：【摘译】结合否决者与准入点理论，作者发现否决者与准入点对优惠贸易协定范围与自主性的约束取决于与之互动的出口商类型：产业内出口值越高，约束越弱。</w:t>
      </w:r>
    </w:p>
    <w:p>
      <w:r>
        <w:rPr>
          <w:rFonts w:ascii="Times New Roman" w:hAnsi="Times New Roman" w:eastAsia="宋体"/>
          <w:b w:val="0"/>
          <w:i w:val="0"/>
          <w:sz w:val="20"/>
        </w:rPr>
        <w:t>Studies of domestic political actors’ influence on the design of preferential trade agreements (PTAs) have focused on veto players as obstacles to policy change, assuming their roles as access points or channels for economic interests. Access point and veto player theories predict that multiple access points lead to a protectionist bias and that numerous veto players have a constraining influence over PTAs. This study argues that after the veto player and access point theories are combined, the effect of variation in the number of veto players and access points on the institutional features of PTAs depends on the types of exporters (endowment-based or intra-industry exporters) with whom said political actors interact. Quantitative tests show that as the value of intra-industry exports rises, veto players and access points have a less constraining effect on the scope and autonomy of PTAs. This study employed a novel dataset to approximate the values of intra-industry and endowment-based exports of 256 Standard International Trade Classification (SITC) products manufactured by 500 trading partners. The findings highlight the importance of considering the broader influence of political actors and economic interests on PTA design.</w:t>
      </w:r>
    </w:p>
    <w:p/>
    <w:p>
      <w:r>
        <w:rPr>
          <w:rFonts w:ascii="Times New Roman" w:hAnsi="Times New Roman" w:eastAsia="黑体"/>
          <w:b/>
          <w:i w:val="0"/>
          <w:sz w:val="24"/>
        </w:rPr>
        <w:t>非洲的数字发展之路：为中国在信通技术领域的结构性权力铺路？</w:t>
      </w:r>
    </w:p>
    <w:p>
      <w:r>
        <w:rPr>
          <w:rFonts w:ascii="Times New Roman" w:hAnsi="Times New Roman" w:eastAsia="宋体"/>
          <w:b w:val="0"/>
          <w:i/>
          <w:color w:val="404040"/>
          <w:sz w:val="20"/>
        </w:rPr>
        <w:t>Africa’s roads to digital development: paving the way for Chinese structural power in the ICT sector?</w:t>
      </w:r>
    </w:p>
    <w:p>
      <w:r>
        <w:rPr>
          <w:rFonts w:ascii="Times New Roman" w:hAnsi="Times New Roman" w:eastAsia="宋体"/>
          <w:b w:val="0"/>
          <w:i w:val="0"/>
          <w:color w:val="595959"/>
          <w:sz w:val="18"/>
        </w:rPr>
        <w:t>Stephanie Arnold（Department of Political and Social Sciences, University of Bologna, Bologna, Italy; Digital Governance Cluster, United Nations University – Institute for Comparative Regional Integration Studies (UNU-CRIS), Bruges, Belgium）</w:t>
      </w:r>
    </w:p>
    <w:p>
      <w:r>
        <w:rPr>
          <w:rFonts w:ascii="Times New Roman" w:hAnsi="Times New Roman" w:eastAsia="宋体"/>
          <w:b w:val="0"/>
          <w:i w:val="0"/>
          <w:sz w:val="22"/>
        </w:rPr>
        <w:t>摘要：过去几十年，中国成为非洲数字发展的主要伙伴。中非信息通信技术合作满足非洲对先进技术与专门知识的需求，同时帮助中国在全球信通技术领域占据一席之地。尽管对非洲短期数字发展至关重要，本文认为中非合作的广度会带来重要长期后果，可能使中国获得对非洲数字发展的潜在控制。借鉴苏珊·斯特兰奇的结构性权力支柱，本文考察光纤网络铺设如何支撑中国对生产的控制、数据中心建设可能如何影响安全、研究伙伴关系如何增强未来创新中的规范与标准（知识支柱），并认为推动中非在这三个领域合作的力量是中国融资。作者对撒哈拉以南非洲42国进行定性比较分析以检验这一主张。</w:t>
      </w:r>
    </w:p>
    <w:p>
      <w:r>
        <w:rPr>
          <w:rFonts w:ascii="Times New Roman" w:hAnsi="Times New Roman" w:eastAsia="宋体"/>
          <w:b w:val="0"/>
          <w:i w:val="0"/>
          <w:sz w:val="20"/>
        </w:rPr>
        <w:t>Over the past few decades, China emerged as Africa’s main partner in digital development. Sino-African cooperation in the Information and Communications Technology (ICT) sector meets African demand for advanced technologies and know-how while helping China to position itself in the global ICT sector. Albeit crucial for Africa’s digital development in the short term, this paper argues that the breadth of Sino-African cooperation carries important long-term consequences that could afford China latent control over Africa’s digital development. Drawing on Susan Strange’s pillars of structural power, this paper considers how the rollout of fiber-optic network cables underpins Chinese control over production, how the construction of data centers might impinge on security, and how research partnerships enhance norms and standards in future innovation—the knowledge pillar. The paper argues that the enabling force of Sino-African cooperation in these three realms is Chinese finance. To test this claim, I conduct a Qualitative Comparative Analysis (QCA) of 42 states in Sub-Saharan Africa, showing that Chinese aid and, to a lesser extent, Chinese loans are the main drivers of Sino-African ties in the ICT sector. The paper concludes that Chinese financial support not only promotes Africa’s digital development but also paves the way to Chinese structural power in the ICT sector.</w:t>
      </w:r>
    </w:p>
    <w:p/>
    <w:p>
      <w:r>
        <w:rPr>
          <w:rFonts w:ascii="Times New Roman" w:hAnsi="Times New Roman" w:eastAsia="黑体"/>
          <w:b/>
          <w:i w:val="0"/>
          <w:sz w:val="24"/>
        </w:rPr>
        <w:t>20世纪90年代中期大豆自由化对外资在中国农村工业化中作用的启示</w:t>
      </w:r>
    </w:p>
    <w:p>
      <w:r>
        <w:rPr>
          <w:rFonts w:ascii="Times New Roman" w:hAnsi="Times New Roman" w:eastAsia="宋体"/>
          <w:b w:val="0"/>
          <w:i/>
          <w:color w:val="404040"/>
          <w:sz w:val="20"/>
        </w:rPr>
        <w:t>What does the mid-1990s soybean liberalization tell us about the role of foreign investment in China’s rural industrialization?</w:t>
      </w:r>
    </w:p>
    <w:p>
      <w:r>
        <w:rPr>
          <w:rFonts w:ascii="Times New Roman" w:hAnsi="Times New Roman" w:eastAsia="宋体"/>
          <w:b w:val="0"/>
          <w:i w:val="0"/>
          <w:color w:val="595959"/>
          <w:sz w:val="18"/>
        </w:rPr>
        <w:t>Tomaz Mefano Fares（Graduate School of Business, University of Bedfordshire, Luton, United Kingdom）</w:t>
      </w:r>
    </w:p>
    <w:p>
      <w:r>
        <w:rPr>
          <w:rFonts w:ascii="Times New Roman" w:hAnsi="Times New Roman" w:eastAsia="宋体"/>
          <w:b w:val="0"/>
          <w:i w:val="0"/>
          <w:sz w:val="22"/>
        </w:rPr>
        <w:t>摘要：【摘译】作者重估外资在中国1980年代至1990年代初农村工业化中的作用，认为东北大豆加工业基于毛泽东时代工业遗产形成本地生产—消费循环的内生积累，外资农业跨国公司推动的自由化反而对其造成损害。</w:t>
      </w:r>
    </w:p>
    <w:p>
      <w:r>
        <w:rPr>
          <w:rFonts w:ascii="Times New Roman" w:hAnsi="Times New Roman" w:eastAsia="宋体"/>
          <w:b w:val="0"/>
          <w:i w:val="0"/>
          <w:sz w:val="20"/>
        </w:rPr>
        <w:t>This article reassesses the role of foreign investments in China’s rural industrialization in the 1980s and the early 1990s. It draws upon the power disputes between agribusiness transnational corporations (TNCs) and central domestic players in the country’s soybean complex. I follow Chris Bramall’s argument that food processing infrastructure grew progressively since the Maoist era in the 1960s and 1970s, instead of springing from foreign investments or pro-business local state officials during the reform and opening up. However, I go beyond this assumption by suggesting that foreign investments often had a detrimental role in rural industrialization, depending on their political action. I show through in-depth empirical analyses that due to the Maoist industrial legacy, soybean processors from Northeast China consolidated an endogenous form of accumulation based on local circuits of production and consumption under state protectionism. This specific industrialization trajectory has put them on opposite sides from agribusiness TNCs. The liberalization agenda pushed by the TNCs through bilateral and multilateral levels of influence culminated in the opening of China’s soybean imports in the late 1990s, allowing the consolidation of their global trade monopoly to the detriment of domestic players.</w:t>
      </w:r>
    </w:p>
    <w:p/>
    <w:p>
      <w:r>
        <w:rPr>
          <w:rFonts w:ascii="Times New Roman" w:hAnsi="Times New Roman" w:eastAsia="黑体"/>
          <w:b/>
          <w:i w:val="0"/>
          <w:sz w:val="24"/>
        </w:rPr>
        <w:t>不跟着钱走：描绘国际税收的微观行动者</w:t>
      </w:r>
    </w:p>
    <w:p>
      <w:r>
        <w:rPr>
          <w:rFonts w:ascii="Times New Roman" w:hAnsi="Times New Roman" w:eastAsia="宋体"/>
          <w:b w:val="0"/>
          <w:i/>
          <w:color w:val="404040"/>
          <w:sz w:val="20"/>
        </w:rPr>
        <w:t>Unfollow the money: mapping the micro agents of international tax</w:t>
      </w:r>
    </w:p>
    <w:p>
      <w:r>
        <w:rPr>
          <w:rFonts w:ascii="Times New Roman" w:hAnsi="Times New Roman" w:eastAsia="宋体"/>
          <w:b w:val="0"/>
          <w:i w:val="0"/>
          <w:color w:val="595959"/>
          <w:sz w:val="18"/>
        </w:rPr>
        <w:t>Saila Stausholm（Max Planck Institute for the Study of Societies, Cologne, Germany）；Javier Garcia-Bernardo（Department of Methodology &amp;amp; Statistics, Utrecht University, Utrecht, Netherlands; Centre for Complex Systems Studies, Utrecht University, Utrecht, Netherlands）</w:t>
      </w:r>
    </w:p>
    <w:p>
      <w:r>
        <w:rPr>
          <w:rFonts w:ascii="Times New Roman" w:hAnsi="Times New Roman" w:eastAsia="宋体"/>
          <w:b w:val="0"/>
          <w:i w:val="0"/>
          <w:sz w:val="22"/>
        </w:rPr>
        <w:t>摘要：【摘译】基于领英数据描绘企业税务顾问地理分布，作者发现其集中于欧盟与OECD大城市而非“避税天堂”，与管理与金融活动相关，更多分布在制定黑名单的国家而非被列入者。</w:t>
      </w:r>
    </w:p>
    <w:p>
      <w:r>
        <w:rPr>
          <w:rFonts w:ascii="Times New Roman" w:hAnsi="Times New Roman" w:eastAsia="宋体"/>
          <w:b w:val="0"/>
          <w:i w:val="0"/>
          <w:sz w:val="20"/>
        </w:rPr>
        <w:t>Financial globalization has enabled multinational corporations to shift profits between jurisdictions to lower their tax rate, undermining public finances and concerning policy makers. While policy efforts have focused on the jurisdictions that enable lower taxes, scholars increasingly recognize the importance of micro-level actors. We geographically map corporate tax advisors, influential micro-level actors in tax avoidance, using a novel empirical approach based on LinkedIn. We show that tax advisors are generally located in large cities in the EU and OECD, rather than in places targeted as ‘tax havens’. Using multiple regression analysis, we find that the location of tax advisors is not correlated with the location of corporate profits, financial secrecy, or economic activity. Rather, it correlates with managerial and financial activity. We find that tax advisors are disproportionately placed in the countries writing the blacklists rather than the countries blacklisted. We argue that effective regulation of tax avoidance needs to focus on tax advisors, not only on the destination of financial flows.</w:t>
      </w:r>
    </w:p>
    <w:p/>
    <w:p>
      <w:r>
        <w:rPr>
          <w:rFonts w:ascii="Times New Roman" w:hAnsi="Times New Roman" w:eastAsia="黑体"/>
          <w:b/>
          <w:i w:val="0"/>
          <w:sz w:val="24"/>
        </w:rPr>
        <w:t>范式变迁的过程：中国引导型创新的兴起</w:t>
      </w:r>
    </w:p>
    <w:p>
      <w:r>
        <w:rPr>
          <w:rFonts w:ascii="Times New Roman" w:hAnsi="Times New Roman" w:eastAsia="宋体"/>
          <w:b w:val="0"/>
          <w:i/>
          <w:color w:val="404040"/>
          <w:sz w:val="20"/>
        </w:rPr>
        <w:t>The process of paradigm change: the rise of guided innovation in China</w:t>
      </w:r>
    </w:p>
    <w:p>
      <w:r>
        <w:rPr>
          <w:rFonts w:ascii="Times New Roman" w:hAnsi="Times New Roman" w:eastAsia="宋体"/>
          <w:b w:val="0"/>
          <w:i w:val="0"/>
          <w:color w:val="595959"/>
          <w:sz w:val="18"/>
        </w:rPr>
        <w:t>Andrew B. Kennedy（Crawford School of Public Policy, The Australian National University, Canberra, Australia）</w:t>
      </w:r>
    </w:p>
    <w:p>
      <w:r>
        <w:rPr>
          <w:rFonts w:ascii="Times New Roman" w:hAnsi="Times New Roman" w:eastAsia="宋体"/>
          <w:b w:val="0"/>
          <w:i w:val="0"/>
          <w:sz w:val="22"/>
        </w:rPr>
        <w:t>摘要：【摘译】作者将科技创新政策范式视为分层信念体系，以中国接受与本土化“创新体系政策”范式为案例，强调本土关于国家干预经济的意识形态塑造新范式的本土化。</w:t>
      </w:r>
    </w:p>
    <w:p>
      <w:r>
        <w:rPr>
          <w:rFonts w:ascii="Times New Roman" w:hAnsi="Times New Roman" w:eastAsia="宋体"/>
          <w:b w:val="0"/>
          <w:i w:val="0"/>
          <w:sz w:val="20"/>
        </w:rPr>
        <w:t>This article offers a new framework for understanding the beliefs behind science, technology and innovation (STI) policy. Building on recent research that has identified several distinct ‘policy paradigms’ in STI policy, it explains how these paradigms may be understood as hierarchical belief systems, and it identifies different variants within each paradigm. The article then illuminates one means through which countries may transition from one paradigm to another in this domain, focusing on the international diffusion of the ‘innovation systems policy’ paradigm after the 1980s. The article emphasizes how local ideology regarding state intervention in the economy shapes how the new paradigm is localized in the receiving state. To probe the plausibility of this theory, the article presents an in-depth case study focused on China’s reception and localization of the innovation systems policy paradigm in recent decades.</w:t>
      </w:r>
    </w:p>
    <w:p/>
    <w:p>
      <w:r>
        <w:rPr>
          <w:rFonts w:ascii="Times New Roman" w:hAnsi="Times New Roman" w:eastAsia="黑体"/>
          <w:b/>
          <w:i w:val="0"/>
          <w:sz w:val="24"/>
        </w:rPr>
        <w:t>多边贸易体制中发展政策空间（出人意料）的回归：WTO上诉机构停摆对发展型国家意味着什么</w:t>
      </w:r>
    </w:p>
    <w:p>
      <w:r>
        <w:rPr>
          <w:rFonts w:ascii="Times New Roman" w:hAnsi="Times New Roman" w:eastAsia="宋体"/>
          <w:b w:val="0"/>
          <w:i/>
          <w:color w:val="404040"/>
          <w:sz w:val="20"/>
        </w:rPr>
        <w:t>The (surprise) return of development policy space in the multilateral trading system: what the WTO Appellate Body blockage means for the developmental state</w:t>
      </w:r>
    </w:p>
    <w:p>
      <w:r>
        <w:rPr>
          <w:rFonts w:ascii="Times New Roman" w:hAnsi="Times New Roman" w:eastAsia="宋体"/>
          <w:b w:val="0"/>
          <w:i w:val="0"/>
          <w:color w:val="595959"/>
          <w:sz w:val="18"/>
        </w:rPr>
        <w:t>Kristen Hopewell（School of Public Policy and Global Affairs, University of British Columbia, Vancouver, Canada）</w:t>
      </w:r>
    </w:p>
    <w:p>
      <w:r>
        <w:rPr>
          <w:rFonts w:ascii="Times New Roman" w:hAnsi="Times New Roman" w:eastAsia="宋体"/>
          <w:b w:val="0"/>
          <w:i w:val="0"/>
          <w:sz w:val="22"/>
        </w:rPr>
        <w:t>摘要：自世界贸易组织成立以来——它大幅扩展全球贸易规则范围并使其对国家具有法律约束力——学者们一直强调其对发展政策空间的限制：通过禁止许多发展型国家的标准工具，WTO规则被视为对发展中国家“踢开梯子”，阻止其使用赶超所需的贸易与产业政策。然而自2019年以来，美国通过阻挠上诉机构法官任命使WTO执行机制失效。本文表明，贸易与发展格局因此发生根本变化：曾强力约束发展政策空间的WTO规则已不再具有法律可执行性。文章分析两起近期里程碑式争端——印尼镍出口限制与印度经济特区出口补贴——发展中国家在其中通过“上诉至虚空”成功阻止了不利裁决的执行，从而重获发展政策空间。</w:t>
      </w:r>
    </w:p>
    <w:p>
      <w:r>
        <w:rPr>
          <w:rFonts w:ascii="Times New Roman" w:hAnsi="Times New Roman" w:eastAsia="宋体"/>
          <w:b w:val="0"/>
          <w:i w:val="0"/>
          <w:sz w:val="20"/>
        </w:rPr>
        <w:t>Since the establishment of the World Trade Organization (WTO) – which led to a dramatic expansion in the scope of global trade rules and made those rules legally binding on states – scholars have highlighted the constraints it has imposed on development policy space. By prohibiting many of the standard tools of the developmental state, the WTO’s rules have been seen as ‘kicking away the ladder’ for developing countries, preventing them from using the trade and industrial policies needed to catch up with more advanced economies. However, since 2019, the US has disabled the WTO’s enforcement mechanism by blocking judicial appointments to the Appellate Body. As a result, this article shows the trade and development landscape has now changed fundamentally: WTO rules – once a powerful constraint on development policy space – are no longer legally enforceable. The article analyzes two recent landmark disputes – Indonesian nickel export restrictions and Indian export subsidies provided through special economic zones – in which developing countries have successfully blocked WTO panel rulings that would force them to repeal developmentalist policies. Ironically, given that the US was originally the dominant force behind the WTO’s anti-developmentalist rules and its binding dispute settlement system, one important consequence of the US Appellate Body blockage has been the re-emergence of development policy space in the multilateral trading system.</w:t>
      </w:r>
    </w:p>
    <w:p/>
    <w:p>
      <w:r>
        <w:rPr>
          <w:rFonts w:ascii="Times New Roman" w:hAnsi="Times New Roman" w:eastAsia="黑体"/>
          <w:b/>
          <w:i w:val="0"/>
          <w:sz w:val="24"/>
        </w:rPr>
        <w:t>一个古老而新颖的想法：G-Pub公共银行组建原创数据集介绍</w:t>
      </w:r>
    </w:p>
    <w:p>
      <w:r>
        <w:rPr>
          <w:rFonts w:ascii="Times New Roman" w:hAnsi="Times New Roman" w:eastAsia="宋体"/>
          <w:b w:val="0"/>
          <w:i/>
          <w:color w:val="404040"/>
          <w:sz w:val="20"/>
        </w:rPr>
        <w:t>An old, novel idea: introducing G-Pub, an original dataset of public bank formation</w:t>
      </w:r>
    </w:p>
    <w:p>
      <w:r>
        <w:rPr>
          <w:rFonts w:ascii="Times New Roman" w:hAnsi="Times New Roman" w:eastAsia="宋体"/>
          <w:b w:val="0"/>
          <w:i w:val="0"/>
          <w:color w:val="595959"/>
          <w:sz w:val="18"/>
        </w:rPr>
        <w:t>Devin Case-Ruchala（University of North Carolina, Asheville, NC, USA）</w:t>
      </w:r>
    </w:p>
    <w:p>
      <w:r>
        <w:rPr>
          <w:rFonts w:ascii="Times New Roman" w:hAnsi="Times New Roman" w:eastAsia="宋体"/>
          <w:b w:val="0"/>
          <w:i w:val="0"/>
          <w:sz w:val="22"/>
        </w:rPr>
        <w:t>摘要：【摘译】作者引入涵盖195国1355家“政府发起的公共银行”的数据集（1401—2020），发现1970—2020年公共银行组建更多与发达民主国家相关，而非欠发达或威权国家。</w:t>
      </w:r>
    </w:p>
    <w:p>
      <w:r>
        <w:rPr>
          <w:rFonts w:ascii="Times New Roman" w:hAnsi="Times New Roman" w:eastAsia="宋体"/>
          <w:b w:val="0"/>
          <w:i w:val="0"/>
          <w:sz w:val="20"/>
        </w:rPr>
        <w:t>Amidst growing financial internationalization, public banks are a reemerging mode of financial governance that can serve as a policy tool for counter-cyclical crisis financing, proactive investment (e.g. green finance), or protectionist lending. Yet no systematic studies examine what leads governments to form public banks in the first place, in part due to a lack of data. This paper introduces an original dataset, conceptual framework, and descriptive empirical insights to serve as the basis for future research. I discuss contending definitions of public banks to advance the more targeted conceptualization of ‘government-initiated public banks’ (G-Pubs), or banks that are formed by governments and remain under government control through ownership and/or management. The dataset includes 1,355 banks and spans 195 countries for the period 1401–2020. Using these data, I test prevailing assumptions suggesting G-Pubs are more likely to form in less developed or more autocratic countries. I show that for the period 1970–2020, G-Pub formation is instead associated with developed democracies. Descriptive analysis prior to the 1970s further supports a more complex view. These findings underscore the need for a renewed research agenda on public banking that considers both domestic and international political economic dynamics, including international diffusion, financial integration, and crisis mechanisms.</w:t>
      </w:r>
    </w:p>
    <w:p/>
    <w:p>
      <w:r>
        <w:rPr>
          <w:rFonts w:ascii="Times New Roman" w:hAnsi="Times New Roman" w:eastAsia="黑体"/>
          <w:b/>
          <w:i w:val="0"/>
          <w:sz w:val="24"/>
        </w:rPr>
        <w:t>搭便车的发展：世界银行与网约车公司的合作研究</w:t>
      </w:r>
    </w:p>
    <w:p>
      <w:r>
        <w:rPr>
          <w:rFonts w:ascii="Times New Roman" w:hAnsi="Times New Roman" w:eastAsia="宋体"/>
          <w:b w:val="0"/>
          <w:i/>
          <w:color w:val="404040"/>
          <w:sz w:val="20"/>
        </w:rPr>
        <w:t>Taking development for a ride: the World Bank’s research with ride-hailing companies</w:t>
      </w:r>
    </w:p>
    <w:p>
      <w:r>
        <w:rPr>
          <w:rFonts w:ascii="Times New Roman" w:hAnsi="Times New Roman" w:eastAsia="宋体"/>
          <w:b w:val="0"/>
          <w:i w:val="0"/>
          <w:color w:val="595959"/>
          <w:sz w:val="18"/>
        </w:rPr>
        <w:t>Kate Bedford（Birmingham Law School, University of Birmingham, Birmingham, UK）</w:t>
      </w:r>
    </w:p>
    <w:p>
      <w:r>
        <w:rPr>
          <w:rFonts w:ascii="Times New Roman" w:hAnsi="Times New Roman" w:eastAsia="宋体"/>
          <w:b w:val="0"/>
          <w:i w:val="0"/>
          <w:sz w:val="22"/>
        </w:rPr>
        <w:t>摘要：【摘译】作者分析世界银行国际金融公司与网约车公司合作的性别平等研究报告，认为其将女司机短缺框定为性别与发展问题而非企业劳动供给问题，推动有利平台企业的新“发展常识”。</w:t>
      </w:r>
    </w:p>
    <w:p>
      <w:r>
        <w:rPr>
          <w:rFonts w:ascii="Times New Roman" w:hAnsi="Times New Roman" w:eastAsia="宋体"/>
          <w:b w:val="0"/>
          <w:i w:val="0"/>
          <w:sz w:val="20"/>
        </w:rPr>
        <w:t>The World Bank’s International Finance Corporation has produced three research reports on gender equality and ride-hailing, in collaboration with ride-hailing companies. This article examines these reports in light of wider conversations about the growing corporate co-production of development knowledge. Focusing on research claims about the gender and development potential of ‘sharing economy’ firms like Uber, it argues that the shortage of women drivers has been successfully framed as a gender and development problem, rather than a labour supply problem to be resolved by ride-hailing companies themselves. Multi-stakeholder solutions are proposed, involving licensing actors, charities, government development agencies, banks, and insurance providers. Gender equality research contributes to a new development common sense involving expanding the numbers of indebted ‘independent contractors’ in the gig economy; reducing ‘regulatory burdens’ on platforms; and binding nongovernmental organizations (NGOs) ever tighter to corporate interests. This article shows the centrality of gender research to the Bank’s broader reorientation towards business-led development, and highlights some distinctive lessons of work on ride-hailing.</w:t>
      </w:r>
    </w:p>
    <w:p/>
    <w:p>
      <w:r>
        <w:rPr>
          <w:rFonts w:ascii="Times New Roman" w:hAnsi="Times New Roman" w:eastAsia="黑体"/>
          <w:b/>
          <w:i w:val="0"/>
          <w:sz w:val="24"/>
        </w:rPr>
        <w:t>让国际政治经济学全球化，而不只是教学大纲！虚拟课堂互动与《大西洋对角线》术语表的编撰</w:t>
      </w:r>
    </w:p>
    <w:p>
      <w:r>
        <w:rPr>
          <w:rFonts w:ascii="Times New Roman" w:hAnsi="Times New Roman" w:eastAsia="宋体"/>
          <w:b w:val="0"/>
          <w:i/>
          <w:color w:val="404040"/>
          <w:sz w:val="20"/>
        </w:rPr>
        <w:t>Globalize IPE, not just the syllabi! Virtual classrooms interactions and the making of the Atlantic Diagonals glossary</w:t>
      </w:r>
    </w:p>
    <w:p>
      <w:r>
        <w:rPr>
          <w:rFonts w:ascii="Times New Roman" w:hAnsi="Times New Roman" w:eastAsia="宋体"/>
          <w:b w:val="0"/>
          <w:i w:val="0"/>
          <w:color w:val="595959"/>
          <w:sz w:val="18"/>
        </w:rPr>
        <w:t>Jean-Christophe Graz（Centre d’histoire internationale et d’études politiques de la mondialisation (CRHIM), University of Lausanne, Lausanne, Switzerland）；Jean-Marie Chenou（Department of Political Science and Global Studies, Universidad de los Andes, Bogotá, Colombia）；Carolina Urrego-Sandoval（Department of Political Science and Global Studies, Universidad de los Andes, Bogotá, Colombia）；Sylvain Maechler（Centre d’histoire internationale et d’études politiques de la mondialisation (CRHIM), University of Lausanne, Lausanne, Switzerland; Institute of Political Science, Goethe-Universität Frankfurt, Frankfurt, Germany）</w:t>
      </w:r>
    </w:p>
    <w:p>
      <w:r>
        <w:rPr>
          <w:rFonts w:ascii="Times New Roman" w:hAnsi="Times New Roman" w:eastAsia="宋体"/>
          <w:b w:val="0"/>
          <w:i w:val="0"/>
          <w:sz w:val="22"/>
        </w:rPr>
        <w:t>摘要：【摘译】作者介绍洛桑大学与哥伦比亚安第斯大学学生共同编撰多语种国际政治经济学术语表的教学实践，以推动IPE教学的全球化与去殖民化。</w:t>
      </w:r>
    </w:p>
    <w:p>
      <w:r>
        <w:rPr>
          <w:rFonts w:ascii="Times New Roman" w:hAnsi="Times New Roman" w:eastAsia="宋体"/>
          <w:b w:val="0"/>
          <w:i w:val="0"/>
          <w:sz w:val="20"/>
        </w:rPr>
        <w:t>How do we as scholars and instructors globalize International Political Economy (IPE) teaching beyond the syllabi? This pedagogical intervention proposes a concrete way to globalize IPE teaching in the classroom and through student-led activities based on courses taught during two semesters at the Universities of Lausanne (Switzerland) and Los Andes (Bogota, Colombia). We present the making of a multilingual glossary of IPE drafted by groups of students based in different universities in very different geographical, political, economic and cultural contexts. We argue that such a pedagogical intervention is not only about globalizing and decolonizing the teaching of IPE; it also helps develop important competences by students, especially their engagement and criticality. We review the literature on globalizing and decolonizing IPE before providing background on the idea of ‘global competence’ as part of the objectives of higher education and its relevance for recent calls to globalize IPE. We then present a toolbox for the pedagogical intervention that we used in such a way to be reused by anyone wanting to build upon it. Lastly, we further reflect on the contribution and challenges of such interventions regarding current attempts to globalize and decolonize IPE.</w:t>
      </w:r>
    </w:p>
    <w:p/>
    <w:p>
      <w:r>
        <w:rPr>
          <w:rFonts w:ascii="Times New Roman" w:hAnsi="Times New Roman" w:eastAsia="宋体"/>
          <w:b/>
          <w:i w:val="0"/>
          <w:sz w:val="22"/>
        </w:rPr>
        <w:t>RIPE： Vol. 31, No. 3, 2024</w:t>
      </w:r>
    </w:p>
    <w:p/>
    <w:p>
      <w:r>
        <w:rPr>
          <w:rFonts w:ascii="Times New Roman" w:hAnsi="Times New Roman" w:eastAsia="黑体"/>
          <w:b/>
          <w:i w:val="0"/>
          <w:sz w:val="24"/>
        </w:rPr>
        <w:t>又一次奇怪的“不死”：NAIRU与美联储新货币政策框架的观念基础</w:t>
      </w:r>
    </w:p>
    <w:p>
      <w:r>
        <w:rPr>
          <w:rFonts w:ascii="Times New Roman" w:hAnsi="Times New Roman" w:eastAsia="宋体"/>
          <w:b w:val="0"/>
          <w:i/>
          <w:color w:val="404040"/>
          <w:sz w:val="20"/>
        </w:rPr>
        <w:t>Another strange non-death: the NAIRU and the ideational foundations of the Federal Reserve’s new monetary policy framework</w:t>
      </w:r>
    </w:p>
    <w:p>
      <w:r>
        <w:rPr>
          <w:rFonts w:ascii="Times New Roman" w:hAnsi="Times New Roman" w:eastAsia="宋体"/>
          <w:b w:val="0"/>
          <w:i w:val="0"/>
          <w:color w:val="595959"/>
          <w:sz w:val="18"/>
        </w:rPr>
        <w:t>Tobias Arbogast（Max-Planck-Institute for the Study of Societies, Köln, Germany）；Hielke Van Doorslaer（Ghent Institute for International and European Studies, Ghent University, Ghent, Belgium）；Mattias Vermeiren（Ghent Institute for International and European Studies, Ghent University, Ghent, Belgium）</w:t>
      </w:r>
    </w:p>
    <w:p>
      <w:r>
        <w:rPr>
          <w:rFonts w:ascii="Times New Roman" w:hAnsi="Times New Roman" w:eastAsia="宋体"/>
          <w:b w:val="0"/>
          <w:i w:val="0"/>
          <w:sz w:val="22"/>
        </w:rPr>
        <w:t>摘要：【摘译】对2012—2022年联邦公开市场委员会120篇讲话的内容分析显示，美联储成员从认识论或本体论两种理由质疑NAIRU，均导向更扩张的立场但动机不同。</w:t>
      </w:r>
    </w:p>
    <w:p>
      <w:r>
        <w:rPr>
          <w:rFonts w:ascii="Times New Roman" w:hAnsi="Times New Roman" w:eastAsia="宋体"/>
          <w:b w:val="0"/>
          <w:i w:val="0"/>
          <w:sz w:val="20"/>
        </w:rPr>
        <w:t>Monetary policy has long relied on the ‘natural rate hypothesis’, suggesting that after an economic shock the unemployment rate will automatically return to its supply-side ‘natural’ rate or NAIRU. Macroeconomic developments since the 2008 financial crisis have challenged this hypothesis, forcing the US Federal Reserve to conduct a strategic review of its monetary policy framework, published in 2020. We conducted an in-depth case study of the Fed through a content analysis of 120 speeches given by the Fed’s top-level body (FOMC) from 2012 to 2022. We show that policy learning has occurred in that FOMC members have problematised the NAIRU either on (1) epistemological grounds, acknowledging the risk of relying on NAIRU estimates, or on (2) ontological grounds, highlighting the endogeneity of the NAIRU to monetary policy. While both interpretations lead to a more expansionary monetary policy stance, the differing motivations matter for future policymaking. In the case of (1) the rationale is mainly to a avoid downward de-anchoring of inflation expectations, whereas with (2) it is to deliberately chase hot labour markets and a high-pressure-economy. Our speech analysis shows that (1) has been far more dominant in the FOMC, indicating incremental rather than fundamental ideational change.</w:t>
      </w:r>
    </w:p>
    <w:p/>
    <w:p>
      <w:r>
        <w:rPr>
          <w:rFonts w:ascii="Times New Roman" w:hAnsi="Times New Roman" w:eastAsia="黑体"/>
          <w:b/>
          <w:i w:val="0"/>
          <w:sz w:val="24"/>
        </w:rPr>
        <w:t>国际政治经济学的盲点：合同法与跨国资本主义的结构性嵌入</w:t>
      </w:r>
    </w:p>
    <w:p>
      <w:r>
        <w:rPr>
          <w:rFonts w:ascii="Times New Roman" w:hAnsi="Times New Roman" w:eastAsia="宋体"/>
          <w:b w:val="0"/>
          <w:i/>
          <w:color w:val="404040"/>
          <w:sz w:val="20"/>
        </w:rPr>
        <w:t>Blind spots in IPE: contract law and the structural embedding of transnational capitalism</w:t>
      </w:r>
    </w:p>
    <w:p>
      <w:r>
        <w:rPr>
          <w:rFonts w:ascii="Times New Roman" w:hAnsi="Times New Roman" w:eastAsia="宋体"/>
          <w:b w:val="0"/>
          <w:i w:val="0"/>
          <w:color w:val="595959"/>
          <w:sz w:val="18"/>
        </w:rPr>
        <w:t>A. Claire Cutler（Political Science Department, University of Victoria, Victoria, Canada）</w:t>
      </w:r>
    </w:p>
    <w:p>
      <w:r>
        <w:rPr>
          <w:rFonts w:ascii="Times New Roman" w:hAnsi="Times New Roman" w:eastAsia="宋体"/>
          <w:b w:val="0"/>
          <w:i w:val="0"/>
          <w:sz w:val="22"/>
        </w:rPr>
        <w:t>摘要：【摘译】作者指出IR将国际法视为上层建筑、国际法学视法为自治，二者盲点掩盖了跨国合同法、争端解决与价值链契约作为“资本之法”推进跨国资本主义与不平等的作用。</w:t>
      </w:r>
    </w:p>
    <w:p>
      <w:r>
        <w:rPr>
          <w:rFonts w:ascii="Times New Roman" w:hAnsi="Times New Roman" w:eastAsia="宋体"/>
          <w:b w:val="0"/>
          <w:i w:val="0"/>
          <w:sz w:val="20"/>
        </w:rPr>
        <w:t>This paper focuses on the ‘blind spots in IPE’ recently addressed in related Special Issues of Review of International Political Economy and New Political Economy. It identifies a blind spot of law in IPE, tracing the problem to a blind spot in the discipline of international relations (IR) generated by tendencies in dominant theories to consider international law to be super-structural, epiphenomenal, and not worthy of political analysis, and to associations of international law with idealism. The analysis notes an inverse blind spot in international law (IL), wherein legal scholars tend to regard IL as autonomous of politics and the political economy of ‘who gets what, when, how’. These blind spots contribute to the neglect of how legal forms function to mystify the political economy of IL, thereby advancing transnational capitalism and inequality. The empirical focus is on transnational contract law, dispute settlement, and value and production chain contracting. These laws function as Capital’s law and central pillars of the transnational politico-legal order by reaching deep inside states to restructure domestic spheres according to new constitutionalism and the demands of transnational capital. Drawing on critical political economy, the paper develops a historical materialist analysis to denaturalize and demystify Capital’s law. This is a necessary move for scholars interested in the progressive and emancipatory potential of IL.</w:t>
      </w:r>
    </w:p>
    <w:p/>
    <w:p>
      <w:r>
        <w:rPr>
          <w:rFonts w:ascii="Times New Roman" w:hAnsi="Times New Roman" w:eastAsia="黑体"/>
          <w:b/>
          <w:i w:val="0"/>
          <w:sz w:val="24"/>
        </w:rPr>
        <w:t>二元化的故事：解释法国受监管储蓄的部分市场化</w:t>
      </w:r>
    </w:p>
    <w:p>
      <w:r>
        <w:rPr>
          <w:rFonts w:ascii="Times New Roman" w:hAnsi="Times New Roman" w:eastAsia="宋体"/>
          <w:b w:val="0"/>
          <w:i/>
          <w:color w:val="404040"/>
          <w:sz w:val="20"/>
        </w:rPr>
        <w:t>A tale of dualization: accounting for the partial marketization of regulated savings in France</w:t>
      </w:r>
    </w:p>
    <w:p>
      <w:r>
        <w:rPr>
          <w:rFonts w:ascii="Times New Roman" w:hAnsi="Times New Roman" w:eastAsia="宋体"/>
          <w:b w:val="0"/>
          <w:i w:val="0"/>
          <w:color w:val="595959"/>
          <w:sz w:val="18"/>
        </w:rPr>
        <w:t>Elsa Clara Massoc（School of Economics and Political Science, University of St. Gallen, St. Gallen, Switzerland）；Cyril Benoit（Centre for European Studies and Comparative Politics, CNRS, Sciences Po, Paris, France）</w:t>
      </w:r>
    </w:p>
    <w:p>
      <w:r>
        <w:rPr>
          <w:rFonts w:ascii="Times New Roman" w:hAnsi="Times New Roman" w:eastAsia="宋体"/>
          <w:b w:val="0"/>
          <w:i w:val="0"/>
          <w:sz w:val="22"/>
        </w:rPr>
        <w:t>摘要：【摘译】法国受监管储蓄出现二元化：银行提供的产品未市场化，保险公司提供的产品日益市场化，源于国家与私人行为体之间不同的制度依赖。</w:t>
      </w:r>
    </w:p>
    <w:p>
      <w:r>
        <w:rPr>
          <w:rFonts w:ascii="Times New Roman" w:hAnsi="Times New Roman" w:eastAsia="宋体"/>
          <w:b w:val="0"/>
          <w:i w:val="0"/>
          <w:sz w:val="20"/>
        </w:rPr>
        <w:t>As in other countries, regulated savings in France are intricately woven into dense regulatory frameworks driven by explicit governmental objectives. The anticipated marketization of the French economy should have eradicated them; however, a substantial portion of regulated savings has managed to evade this process. Is this phenomenon attributable to the tenacious grip of the French state-led tradition? Not entirely, as another subset of these savings has indeed undergone marketization. The landscape of French regulated savings is notably distinguished by a growing dichotomy: on one side, non-marketized products offered by banks, and on the other, increasingly marketized products provided by insurers. Drawing upon process tracing, we contend that these ostensibly conflicting developments emanate from the distinct and precise institutional dependencies between state and private actors in which these products are enmeshed. The prevailing status quo within the banking sector is owed to banks’ engagement in a mutually advantageous, long-term exchange of favors with state actors. Faced with the trade-off between offering less lucrative products and risking the endangerment of this relationship, banks have opted for the former. In contrast, an assertive strategy has gained traction in the insurance industry. Yet, strategies for the marketization of regulated savings aligned with state priorities have been implemented, even when insurers expressed opposition.</w:t>
      </w:r>
    </w:p>
    <w:p/>
    <w:p>
      <w:r>
        <w:rPr>
          <w:rFonts w:ascii="Times New Roman" w:hAnsi="Times New Roman" w:eastAsia="黑体"/>
          <w:b/>
          <w:i w:val="0"/>
          <w:sz w:val="24"/>
        </w:rPr>
        <w:t>治理俘获与社会环境冲突：全球矿业事先协商机制的批判政治经济学</w:t>
      </w:r>
    </w:p>
    <w:p>
      <w:r>
        <w:rPr>
          <w:rFonts w:ascii="Times New Roman" w:hAnsi="Times New Roman" w:eastAsia="宋体"/>
          <w:b w:val="0"/>
          <w:i/>
          <w:color w:val="404040"/>
          <w:sz w:val="20"/>
        </w:rPr>
        <w:t>Governance capture and socio-environmental conflict: a critical political economy of the global mining industry’s prior consultation regime</w:t>
      </w:r>
    </w:p>
    <w:p>
      <w:r>
        <w:rPr>
          <w:rFonts w:ascii="Times New Roman" w:hAnsi="Times New Roman" w:eastAsia="宋体"/>
          <w:b w:val="0"/>
          <w:i w:val="0"/>
          <w:color w:val="595959"/>
          <w:sz w:val="18"/>
        </w:rPr>
        <w:t>Jonathan Kishen Gamu（Department of Politics and International Relations, University of Sheffield, Sheffield, England）；Niels Soendergaard（Institute for International Relations, University of Brasilia, Brasília, Brazil）</w:t>
      </w:r>
    </w:p>
    <w:p>
      <w:r>
        <w:rPr>
          <w:rFonts w:ascii="Times New Roman" w:hAnsi="Times New Roman" w:eastAsia="宋体"/>
          <w:b w:val="0"/>
          <w:i w:val="0"/>
          <w:sz w:val="22"/>
        </w:rPr>
        <w:t>摘要：【摘译】作者认为全球矿业事先协商的多层治理机制已被采矿利益“俘获”，市场赋能式程序限制社区自决，迫使部分群体以高风险抗议表达反对；以巴西、秘鲁为例。</w:t>
      </w:r>
    </w:p>
    <w:p>
      <w:r>
        <w:rPr>
          <w:rFonts w:ascii="Times New Roman" w:hAnsi="Times New Roman" w:eastAsia="宋体"/>
          <w:b w:val="0"/>
          <w:i w:val="0"/>
          <w:sz w:val="20"/>
        </w:rPr>
        <w:t>Prior consultation purports to mitigate socio-environmental conflict risks by creating deliberative and democratic spaces for local communities to influence decisions over newly proposed mining projects. Yet, many contest state and corporate claims to fair and inclusive decision-making, insisting that mines are often approved in violation of their human rights. Using a critical political economy of environmental governance approach, we analyze the multilevel governance regime which informs the practice of prior consultation within the global mining industry. We argue that this regime has become ‘captured’ by mining interests, as evidenced by the ‘market-enabling’ procedures which restrict communities’ capacity to exercise self-determination. Furthermore, we suggest that this leaves some local groups with little choice but to engage in risky protest action to express opposition. We utilize the Brazilian and Peruvian mining sectors as illustrative vignettes, for which data were collected from extensive fieldwork in both countries.</w:t>
      </w:r>
    </w:p>
    <w:p/>
    <w:p>
      <w:r>
        <w:rPr>
          <w:rFonts w:ascii="Times New Roman" w:hAnsi="Times New Roman" w:eastAsia="黑体"/>
          <w:b/>
          <w:i w:val="0"/>
          <w:sz w:val="24"/>
        </w:rPr>
        <w:t>剥夺、社会再生产与难民生存的女性化：内罗毕的埃塞俄比亚难民</w:t>
      </w:r>
    </w:p>
    <w:p>
      <w:r>
        <w:rPr>
          <w:rFonts w:ascii="Times New Roman" w:hAnsi="Times New Roman" w:eastAsia="宋体"/>
          <w:b w:val="0"/>
          <w:i/>
          <w:color w:val="404040"/>
          <w:sz w:val="20"/>
        </w:rPr>
        <w:t>Dispossession, social reproduction and the feminization of refugee survival: Ethiopian refugees in Nairobi, Kenya</w:t>
      </w:r>
    </w:p>
    <w:p>
      <w:r>
        <w:rPr>
          <w:rFonts w:ascii="Times New Roman" w:hAnsi="Times New Roman" w:eastAsia="宋体"/>
          <w:b w:val="0"/>
          <w:i w:val="0"/>
          <w:color w:val="595959"/>
          <w:sz w:val="18"/>
        </w:rPr>
        <w:t>Bina Fernandez（School of Social and Political Sciences, University of Melbourne, Melbourne, Australia）；Handun Rasari Athukorala（Western Sydney University Online, Sydney, Australia）</w:t>
      </w:r>
    </w:p>
    <w:p>
      <w:r>
        <w:rPr>
          <w:rFonts w:ascii="Times New Roman" w:hAnsi="Times New Roman" w:eastAsia="宋体"/>
          <w:b w:val="0"/>
          <w:i w:val="0"/>
          <w:sz w:val="22"/>
        </w:rPr>
        <w:t>摘要：【摘译】以内罗毕埃塞俄比亚难民为例，作者论述两种跨国错置导致难民社会再生产能力被剥夺与“难民生存女性化”。</w:t>
      </w:r>
    </w:p>
    <w:p>
      <w:r>
        <w:rPr>
          <w:rFonts w:ascii="Times New Roman" w:hAnsi="Times New Roman" w:eastAsia="宋体"/>
          <w:b w:val="0"/>
          <w:i w:val="0"/>
          <w:sz w:val="20"/>
        </w:rPr>
        <w:t>This paper theorizes the gendered consequences of refugee dispossession for social reproduction, focusing on Ethiopian refugees in Nairobi, Kenya. We analyze the Kenyan refugee regime as structured by colonial legacies of racialization and by neo-colonial global political economy strategies of managing ‘surplus’ populations. We demonstrate that refugees’ ongoing experiences of interpersonal and structural violence constitutes an attack on their capacity for social reproduction and argue the ‘feminization of refugee survival’ is an important gendered consequence. We identify two transnational displacements that produce a new form of racialized enclosure and the alienation of refugees from the means of social reproduction. The first transnational displacement occurs due to their dispossession from support infrastructure for social reproduction in their origin country, and in the host country. A second, invisible but racialized transnational displacement is the refusal of global North countries to take on the anticipated welfare costs of refugee social reproduction. Transformative and re-generative approaches to refugee social reproduction would need to address both forms of displacement. The paper thus urges IPE scholarship to recognize that the crisis of refugee social reproduction is not only produced by global capitalist regimes, but also deeply structured by gendered, racialized, and colonial hierarchies of inequality.</w:t>
      </w:r>
    </w:p>
    <w:p/>
    <w:p>
      <w:r>
        <w:rPr>
          <w:rFonts w:ascii="Times New Roman" w:hAnsi="Times New Roman" w:eastAsia="黑体"/>
          <w:b/>
          <w:i w:val="0"/>
          <w:sz w:val="24"/>
        </w:rPr>
        <w:t>跨越式物流：巴西与中国的数字货运平台、基础设施与劳动</w:t>
      </w:r>
    </w:p>
    <w:p>
      <w:r>
        <w:rPr>
          <w:rFonts w:ascii="Times New Roman" w:hAnsi="Times New Roman" w:eastAsia="宋体"/>
          <w:b w:val="0"/>
          <w:i/>
          <w:color w:val="404040"/>
          <w:sz w:val="20"/>
        </w:rPr>
        <w:t>Leapfrog logistics: digital trucking platforms, infrastructure, and labor in Brazil and China</w:t>
      </w:r>
    </w:p>
    <w:p>
      <w:r>
        <w:rPr>
          <w:rFonts w:ascii="Times New Roman" w:hAnsi="Times New Roman" w:eastAsia="宋体"/>
          <w:b w:val="0"/>
          <w:i w:val="0"/>
          <w:color w:val="595959"/>
          <w:sz w:val="18"/>
        </w:rPr>
        <w:t>Wei Wei（School of Business, University of Leicester, Leicester, UK）；Jörg Nowak（Planaltina College, Universidade de Brasília, Brasília, Brazil）；Steve Rolf（Digital Futures at Work (Digit) Research Centre, Business School, University of Sussex, Brighton, UK）</w:t>
      </w:r>
    </w:p>
    <w:p>
      <w:r>
        <w:rPr>
          <w:rFonts w:ascii="Times New Roman" w:hAnsi="Times New Roman" w:eastAsia="宋体"/>
          <w:b w:val="0"/>
          <w:i w:val="0"/>
          <w:sz w:val="22"/>
        </w:rPr>
        <w:t>摘要：【摘译】作者考察巴西与中国的数字货运平台，认为其集中投资、协调控制，以超越全球北方的技术理顺无序的公路物流体系，具有跨越式发展潜力，同时重塑劳动关系。</w:t>
      </w:r>
    </w:p>
    <w:p>
      <w:r>
        <w:rPr>
          <w:rFonts w:ascii="Times New Roman" w:hAnsi="Times New Roman" w:eastAsia="宋体"/>
          <w:b w:val="0"/>
          <w:i w:val="0"/>
          <w:sz w:val="20"/>
        </w:rPr>
        <w:t>Critical political economy analyses have principally conceptualised platforms as unproductive economic forms (rentier capital) skimming value off each intermediated transaction and/or illegitimately extracting and capitalizing user data. This scholarship has also focused heavily on extractive dimensions of global North platforms’ operations within the global South. However, a small but growing literature is examining the productive aspects of digital platforms, while important digital platforms are emerging in Southern economies. These trends draw attention to the prospect of platforms playing a role in leapfrog development. This article examines digital trucking platforms in two major economies of the global South: Brazil and China. We argue that trucking platforms are engendering dramatic transformations of these countries’ disorganised road transport logistics systems. Platforms are centralising investment and co-ordinating control. Utilising technologies which surpass those deployed in the global North, they rationalise disorganised and inefficient transport systems by subjecting them to algorithmic rule and minimising bureaucratic inefficiencies. Through greater centralisation, co-ordination and rationalisation, trucking platforms further serve to proletarianize their owner-operator workforces, driving down costs and eliminating barriers to the geographical circulation of capital. While this offers some benefits to workers, it also exposes them to the vagaries of market discipline in new ways.</w:t>
      </w:r>
    </w:p>
    <w:p/>
    <w:p>
      <w:r>
        <w:rPr>
          <w:rFonts w:ascii="Times New Roman" w:hAnsi="Times New Roman" w:eastAsia="黑体"/>
          <w:b/>
          <w:i w:val="0"/>
          <w:sz w:val="24"/>
        </w:rPr>
        <w:t>社会再生产理论的空间化：整合国家空间与城市肌理</w:t>
      </w:r>
    </w:p>
    <w:p>
      <w:r>
        <w:rPr>
          <w:rFonts w:ascii="Times New Roman" w:hAnsi="Times New Roman" w:eastAsia="宋体"/>
          <w:b w:val="0"/>
          <w:i/>
          <w:color w:val="404040"/>
          <w:sz w:val="20"/>
        </w:rPr>
        <w:t>Spatializing social reproduction theory: integrating state space and the urban fabric</w:t>
      </w:r>
    </w:p>
    <w:p>
      <w:r>
        <w:rPr>
          <w:rFonts w:ascii="Times New Roman" w:hAnsi="Times New Roman" w:eastAsia="宋体"/>
          <w:b w:val="0"/>
          <w:i w:val="0"/>
          <w:color w:val="595959"/>
          <w:sz w:val="18"/>
        </w:rPr>
        <w:t>William Conroy（Graduate School of Design, Harvard University, Cambridge, MA, USA）</w:t>
      </w:r>
    </w:p>
    <w:p>
      <w:r>
        <w:rPr>
          <w:rFonts w:ascii="Times New Roman" w:hAnsi="Times New Roman" w:eastAsia="宋体"/>
          <w:b w:val="0"/>
          <w:i w:val="0"/>
          <w:sz w:val="22"/>
        </w:rPr>
        <w:t>摘要：【摘译】作者使社会再生产理论与新列斐伏尔主义国家空间及资本主义城市化多尺度地理文献对话，认为再生产劳动随资本危机周期性重组与再空间化，并受国家空间实践中介。</w:t>
      </w:r>
    </w:p>
    <w:p>
      <w:r>
        <w:rPr>
          <w:rFonts w:ascii="Times New Roman" w:hAnsi="Times New Roman" w:eastAsia="宋体"/>
          <w:b w:val="0"/>
          <w:i w:val="0"/>
          <w:sz w:val="20"/>
        </w:rPr>
        <w:t>This article sets out to extend the core ideas of social reproduction theory (SRT), an increasingly influential strand of scholarship within and beyond critical geopolitical economy. It suggests that while SRT productively addresses longstanding debates within Marxist feminism, it has yet to adequately theorize the shifting spatialities of reproductive work and the relationship between social reproduction and the state. To address this relative weakness, this article stages a dialogue between SRT and the emergent neo-Lefebvrian literature on state space and the multiscalar geographies of capitalist urbanization. The primary claim at stake in this context is that reproductive work is periodically and systematically reorganized and re-spatialized in relation to the broader crisis dynamics of capital, and the reweaving of the urban fabric; and, moreover, that this process of reorganization and re-spatialization is profoundly mediated, managed, and canalized by state spatial practices. To concretize this theorization, this article closes with a brief historical reading of US imperial expansion and urbanization between roughly 1898 and 1925.</w:t>
      </w:r>
    </w:p>
    <w:p/>
    <w:p>
      <w:r>
        <w:rPr>
          <w:rFonts w:ascii="Times New Roman" w:hAnsi="Times New Roman" w:eastAsia="黑体"/>
          <w:b/>
          <w:i w:val="0"/>
          <w:sz w:val="24"/>
        </w:rPr>
        <w:t>出口信贷机构与能源转型的国际政治经济学</w:t>
      </w:r>
    </w:p>
    <w:p>
      <w:r>
        <w:rPr>
          <w:rFonts w:ascii="Times New Roman" w:hAnsi="Times New Roman" w:eastAsia="宋体"/>
          <w:b w:val="0"/>
          <w:i/>
          <w:color w:val="404040"/>
          <w:sz w:val="20"/>
        </w:rPr>
        <w:t>The international political economy of export credit agencies and the energy transition</w:t>
      </w:r>
    </w:p>
    <w:p>
      <w:r>
        <w:rPr>
          <w:rFonts w:ascii="Times New Roman" w:hAnsi="Times New Roman" w:eastAsia="宋体"/>
          <w:b w:val="0"/>
          <w:i w:val="0"/>
          <w:color w:val="595959"/>
          <w:sz w:val="18"/>
        </w:rPr>
        <w:t>Maxfield Peterson（School of Regulation and Global Governance (RegNet), The Australian National University, Canberra, Australia）；Christian Downie（School of Regulation and Global Governance (RegNet), The Australian National University, Canberra, Australia）</w:t>
      </w:r>
    </w:p>
    <w:p>
      <w:r>
        <w:rPr>
          <w:rFonts w:ascii="Times New Roman" w:hAnsi="Times New Roman" w:eastAsia="宋体"/>
          <w:b w:val="0"/>
          <w:i w:val="0"/>
          <w:sz w:val="22"/>
        </w:rPr>
        <w:t>摘要：【摘译】出口信贷机构对化石燃料的公共投资远超世界银行等多边机构却被忽视，作者提出研究议程：以国内政治经济、气候治理与国际安全三组因素解释其贷款行为。</w:t>
      </w:r>
    </w:p>
    <w:p>
      <w:r>
        <w:rPr>
          <w:rFonts w:ascii="Times New Roman" w:hAnsi="Times New Roman" w:eastAsia="宋体"/>
          <w:b w:val="0"/>
          <w:i w:val="0"/>
          <w:sz w:val="20"/>
        </w:rPr>
        <w:t>If the world is to achieve an energy transition to address climate change, global finance must shift rapidly away from fossil fuels and toward clean energy. Despite the prominence of global finance in International Political Economy (IPE), it is striking that one of the key institutions – export credit agencies (ECAs) – that provide a significantly larger volume of public investment in fossil fuels than multilateral financial institutions, such as the World Bank, has been largely overlooked in the literature. In this commentary, we argue that IPE scholars are well placed to lead research on the role of ECAs in the energy transition. Specifically, we consider ECA behaviour, such as lending decisions, to be the outcome of interest, and propose three possible sets of factors that are likely to shape ECA lending: Namely, domestic political economy factors, climate governance and international security. In doing so, we set out a research agenda for IPE in relation to ECAs by laying out a series of research questions and linking them to adjacent streams in the literature. This largely unexplored research agenda has great potential to expand not only our understanding of ECAs in IPE, but also the shape of the energy transition in the 21st century.</w:t>
      </w:r>
    </w:p>
    <w:p/>
    <w:p>
      <w:r>
        <w:rPr>
          <w:rFonts w:ascii="Times New Roman" w:hAnsi="Times New Roman" w:eastAsia="黑体"/>
          <w:b/>
          <w:i w:val="0"/>
          <w:sz w:val="24"/>
        </w:rPr>
        <w:t>金融制裁的次级效应：银行合规与非目标国的经济孤立</w:t>
      </w:r>
    </w:p>
    <w:p>
      <w:r>
        <w:rPr>
          <w:rFonts w:ascii="Times New Roman" w:hAnsi="Times New Roman" w:eastAsia="宋体"/>
          <w:b w:val="0"/>
          <w:i/>
          <w:color w:val="404040"/>
          <w:sz w:val="20"/>
        </w:rPr>
        <w:t>Secondary effects of financial sanctions: Bank compliance and economic isolation of non-target states</w:t>
      </w:r>
    </w:p>
    <w:p>
      <w:r>
        <w:rPr>
          <w:rFonts w:ascii="Times New Roman" w:hAnsi="Times New Roman" w:eastAsia="宋体"/>
          <w:b w:val="0"/>
          <w:i w:val="0"/>
          <w:color w:val="595959"/>
          <w:sz w:val="18"/>
        </w:rPr>
        <w:t>Abraham L. Newman（Government Department and the School of Foreign Service at, Georgetown University, Washington, DC, USA）；Qi Zhang（Government Department, Georgetown University, Washington, DC, USA）</w:t>
      </w:r>
    </w:p>
    <w:p>
      <w:r>
        <w:rPr>
          <w:rFonts w:ascii="Times New Roman" w:hAnsi="Times New Roman" w:eastAsia="宋体"/>
          <w:b w:val="0"/>
          <w:i w:val="0"/>
          <w:sz w:val="22"/>
        </w:rPr>
        <w:t>摘要：随着国家使用金融制裁作为经济胁迫形式，企业成为“步兵”。本分析将武器化相互依赖研究与域外权威研究相连接，以理解这些企业的去风险行为：担心域外执法的公司可能限制对可能使其暴露于制裁体制的第三方辖区的敞口。作者识别两种机制——目标泄漏与政治级联——以理解哪些第三方辖区最可能受影响，并通过分析2010年对伊朗制裁前后跨国银行贷款检验假设。双重差分估计显示，制裁使跨国银行对伊朗邻国和政治上与之结盟国家的贷款分别减少约14%和12%；离岸金融中心银行等存在贷方异质性。</w:t>
      </w:r>
    </w:p>
    <w:p>
      <w:r>
        <w:rPr>
          <w:rFonts w:ascii="Times New Roman" w:hAnsi="Times New Roman" w:eastAsia="宋体"/>
          <w:b w:val="0"/>
          <w:i w:val="0"/>
          <w:sz w:val="20"/>
        </w:rPr>
        <w:t>As states employ financial sanctions as a form of economic coercion, firms become the foot soldiers. This analysis bridges work on weaponized interdependence with work on extraterritorial authority to understand the de-risking behavior of these firms. Companies fearing extraterritorial enforcement are likely to limit exposure to third party jurisdictions, which may expose the firm to the sanctions regime. In particular, we identify two mechanisms – target leakage and political cascades – to understand which third-party jurisdictions are most likely to be affected. We test our hypotheses through analyses of multinational banks’ lending before and after the 2010 sanctions on Iran. Using a difference-in-differences estimator to evaluate the sanction’s impact on cross-border lending, our analysis shows that the sanction reduced multinational banks’ lending to neighboring countries of Iran and its politically aligned states by approximately 14% and 12% respectively. Moreover, we observed lender heterogeneity as banks from offshore financial centers increased their lending to the affected jurisdictions by 32% and 33%. Our findings demonstrate the broader consequences of financial sanctions in terms of the impacted countries and the potential to drive lending to less regulated spaces.</w:t>
      </w:r>
    </w:p>
    <w:p/>
    <w:p>
      <w:r>
        <w:rPr>
          <w:rFonts w:ascii="Times New Roman" w:hAnsi="Times New Roman" w:eastAsia="黑体"/>
          <w:b/>
          <w:i w:val="0"/>
          <w:sz w:val="24"/>
        </w:rPr>
        <w:t>为女性赋权估值：追踪东南亚的资金</w:t>
      </w:r>
    </w:p>
    <w:p>
      <w:r>
        <w:rPr>
          <w:rFonts w:ascii="Times New Roman" w:hAnsi="Times New Roman" w:eastAsia="宋体"/>
          <w:b w:val="0"/>
          <w:i/>
          <w:color w:val="404040"/>
          <w:sz w:val="20"/>
        </w:rPr>
        <w:t>Valuing women’s empowerment: tracking funding in Southeast Asia</w:t>
      </w:r>
    </w:p>
    <w:p>
      <w:r>
        <w:rPr>
          <w:rFonts w:ascii="Times New Roman" w:hAnsi="Times New Roman" w:eastAsia="宋体"/>
          <w:b w:val="0"/>
          <w:i w:val="0"/>
          <w:color w:val="595959"/>
          <w:sz w:val="18"/>
        </w:rPr>
        <w:t>Kelly Gerard（School of Social Sciences, University of Western Australia, Perth, Australia）；Joshua McDonnell（School of Social Sciences, University of Western Australia, Perth, Australia）</w:t>
      </w:r>
    </w:p>
    <w:p>
      <w:r>
        <w:rPr>
          <w:rFonts w:ascii="Times New Roman" w:hAnsi="Times New Roman" w:eastAsia="宋体"/>
          <w:b w:val="0"/>
          <w:i w:val="0"/>
          <w:sz w:val="22"/>
        </w:rPr>
        <w:t>摘要：【摘译】对东南亚女性经济赋权项目资金的系统梳理显示，项目主题较以往研究所示更多元，但女性经济赋权仍被诠释为女性市场纳入，延续工具化趋势；当前报告做法存在缺陷。</w:t>
      </w:r>
    </w:p>
    <w:p>
      <w:r>
        <w:rPr>
          <w:rFonts w:ascii="Times New Roman" w:hAnsi="Times New Roman" w:eastAsia="宋体"/>
          <w:b w:val="0"/>
          <w:i w:val="0"/>
          <w:sz w:val="20"/>
        </w:rPr>
        <w:t>Women’s empowerment is now a global development objective. However, the instrumentalization of this approach to gender equality has prompted calls for research into the financing of interventions. With donors now reporting the gender credentials of their spending, this article follows the money for one region—Southeast Asia—to investigate how donors are engaging with women’s economic empowerment. Through a systematic review, it identifies and codes women’s economic empowerment projects. Data is analyzed according to geographic distribution, thematic distribution, and participant types. The article offers important insights into funding patterns and deficiencies in current reporting practices. It finds, first, while there is a more thematically diverse mix of projects being funded than indicated in previous research, women’s economic empowerment continues to be interpreted in Southeast Asia as women’s market inclusion, continuing the trend of instrumentalization. Second, and consistent with emergent research highlighting the political uses of aid transparency, it demonstrates that donors are engaging in gender wash by inadequately and incorrectly reporting project characteristics. By upselling their gender credentials, donors are characterizing their activities as advancing gender equality despite often intensifying the challenges faced by women, underscoring the urgent need to reform reporting practices.</w:t>
      </w:r>
    </w:p>
    <w:p/>
    <w:p>
      <w:r>
        <w:rPr>
          <w:rFonts w:ascii="Times New Roman" w:hAnsi="Times New Roman" w:eastAsia="黑体"/>
          <w:b/>
          <w:i w:val="0"/>
          <w:sz w:val="24"/>
        </w:rPr>
        <w:t>适得其反的演化：全球金融危机后短期干预主义的长期影响</w:t>
      </w:r>
    </w:p>
    <w:p>
      <w:r>
        <w:rPr>
          <w:rFonts w:ascii="Times New Roman" w:hAnsi="Times New Roman" w:eastAsia="宋体"/>
          <w:b w:val="0"/>
          <w:i/>
          <w:color w:val="404040"/>
          <w:sz w:val="20"/>
        </w:rPr>
        <w:t>Counterproductive evolution: the long-term effects of short-term interventionism following the Great Financial Crisis</w:t>
      </w:r>
    </w:p>
    <w:p>
      <w:r>
        <w:rPr>
          <w:rFonts w:ascii="Times New Roman" w:hAnsi="Times New Roman" w:eastAsia="宋体"/>
          <w:b w:val="0"/>
          <w:i w:val="0"/>
          <w:color w:val="595959"/>
          <w:sz w:val="18"/>
        </w:rPr>
        <w:t>Tami Oren（Department of Sociology, Political Science and Communication, Open University, Israel）；Ronen Mandelkern（School of Political Science, Government and International Affairs, Tel Aviv University, Israel）</w:t>
      </w:r>
    </w:p>
    <w:p>
      <w:r>
        <w:rPr>
          <w:rFonts w:ascii="Times New Roman" w:hAnsi="Times New Roman" w:eastAsia="宋体"/>
          <w:b w:val="0"/>
          <w:i w:val="0"/>
          <w:sz w:val="22"/>
        </w:rPr>
        <w:t>摘要：【摘译】以英国与以色列为例，作者以建构—演化框架解释金融危机后“短期”非常规干预如何因反复未达预期而扩大政策空间、扩展至更多领域、难以逆转并改变宏观经济优先事项。</w:t>
      </w:r>
    </w:p>
    <w:p>
      <w:r>
        <w:rPr>
          <w:rFonts w:ascii="Times New Roman" w:hAnsi="Times New Roman" w:eastAsia="宋体"/>
          <w:b w:val="0"/>
          <w:i w:val="0"/>
          <w:sz w:val="20"/>
        </w:rPr>
        <w:t>Following the 2008 financial crisis, policymakers in advanced economies employed unconventional economic interventions that were meant to be short-term but continued for more than a decade and were followed by unconventional interventions in non-financial markets. What causal mechanisms connect short-term unconventional interventions with long-term policy change? By developing a constructivist-evolutionary framework, we suggest that employing unconventional policy ideas for the sake of securing the pre-crisis growth regime, in a volatile economic environment, has repeatedly failed policymakers’ expectations. The gap between expectations and outcomes expanded the policy space for unconventional policy ideas, and activated an evolutionary process, through which expanding ‘temporary’ interventions have been adopted in additional areas, became hard to reverse and modified macroeconomic priorities. A comparative process-tracing analysis of two case studies – the UK and Israel – demonstrates how short-term employment of innovative policy ideas and long-term change in economic policy are tightly connected via causal ideational evolutionary mechanisms.</w:t>
      </w:r>
    </w:p>
    <w:p/>
    <w:p>
      <w:r>
        <w:rPr>
          <w:rFonts w:ascii="Times New Roman" w:hAnsi="Times New Roman" w:eastAsia="黑体"/>
          <w:b/>
          <w:i w:val="0"/>
          <w:sz w:val="24"/>
        </w:rPr>
        <w:t>能源转型政治经济学的去殖民化：墨西哥的新能源空间与多元世界政治</w:t>
      </w:r>
    </w:p>
    <w:p>
      <w:r>
        <w:rPr>
          <w:rFonts w:ascii="Times New Roman" w:hAnsi="Times New Roman" w:eastAsia="宋体"/>
          <w:b w:val="0"/>
          <w:i/>
          <w:color w:val="404040"/>
          <w:sz w:val="20"/>
        </w:rPr>
        <w:t>Decolonizing the political economy of energy transitions: new energy spaces and pluriversal politics in Mexico</w:t>
      </w:r>
    </w:p>
    <w:p>
      <w:r>
        <w:rPr>
          <w:rFonts w:ascii="Times New Roman" w:hAnsi="Times New Roman" w:eastAsia="宋体"/>
          <w:b w:val="0"/>
          <w:i w:val="0"/>
          <w:color w:val="595959"/>
          <w:sz w:val="18"/>
        </w:rPr>
        <w:t>Carlos Tornel（Department of Geography, Durham University, Durham, UK）</w:t>
      </w:r>
    </w:p>
    <w:p>
      <w:r>
        <w:rPr>
          <w:rFonts w:ascii="Times New Roman" w:hAnsi="Times New Roman" w:eastAsia="宋体"/>
          <w:b w:val="0"/>
          <w:i w:val="0"/>
          <w:sz w:val="22"/>
        </w:rPr>
        <w:t>摘要：【摘译】以墨西哥尤卡坦两个低碳基础设施项目为例，作者从去殖民、空间与后发展视角主张能源转型不应成为新的汲取形式，而应成为受影响社区参与的多元世界转型的物质基础。</w:t>
      </w:r>
    </w:p>
    <w:p>
      <w:r>
        <w:rPr>
          <w:rFonts w:ascii="Times New Roman" w:hAnsi="Times New Roman" w:eastAsia="宋体"/>
          <w:b w:val="0"/>
          <w:i w:val="0"/>
          <w:sz w:val="20"/>
        </w:rPr>
        <w:t>This paper draws on Critical Political Economy (CPE) to explore energy transitions in Mexico. It analyzes struggles over competing energy visions from a decolonial, spatial and post-development perspective. The article frames energy transformations as more than a move away from fossil fuels: They encompass a radical overhaul of universalized Eurocentric capitalist modernity that call the state’s role as both facilitator and driver of the energy transition into question. I examine two low-carbon infrastructure projects in the state of Yucatan, Mexico to build on Bridge and Gailing’s notion of new energy spaces as the sites, scales and spatialities through which broader questions of political economy and contemporary struggles are being worked out. CPE of the energy transition must ensure that low-carbon infrastructures are not deployed as new forms of extraction, but rather as the material basis of pluriversal transitions informed by affected communities and their territorial struggles. Both studies on the political economy of energy transitions and territorial struggles can benefit from an open dialogue about how socioecological transformations are imagined, designed and implemented.</w:t>
      </w:r>
    </w:p>
    <w:p/>
    <w:p>
      <w:r>
        <w:rPr>
          <w:rFonts w:ascii="Times New Roman" w:hAnsi="Times New Roman" w:eastAsia="黑体"/>
          <w:b/>
          <w:i w:val="0"/>
          <w:sz w:val="24"/>
        </w:rPr>
        <w:t>货币—财政协调的政治经济学：欧洲与日本的央行亏损与“央行破产”幽灵</w:t>
      </w:r>
    </w:p>
    <w:p>
      <w:r>
        <w:rPr>
          <w:rFonts w:ascii="Times New Roman" w:hAnsi="Times New Roman" w:eastAsia="宋体"/>
          <w:b w:val="0"/>
          <w:i/>
          <w:color w:val="404040"/>
          <w:sz w:val="20"/>
        </w:rPr>
        <w:t>The political economy of monetary-fiscal coordination: central bank losses and the specter of central bankruptcy in Europe and Japan</w:t>
      </w:r>
    </w:p>
    <w:p>
      <w:r>
        <w:rPr>
          <w:rFonts w:ascii="Times New Roman" w:hAnsi="Times New Roman" w:eastAsia="宋体"/>
          <w:b w:val="0"/>
          <w:i w:val="0"/>
          <w:color w:val="595959"/>
          <w:sz w:val="18"/>
        </w:rPr>
        <w:t>Sebastian Diessner（Institute of Public Administration, Faculty of Governance and Global Affairs, Leiden University, The Hague, The Netherlands）</w:t>
      </w:r>
    </w:p>
    <w:p>
      <w:r>
        <w:rPr>
          <w:rFonts w:ascii="Times New Roman" w:hAnsi="Times New Roman" w:eastAsia="宋体"/>
          <w:b w:val="0"/>
          <w:i w:val="0"/>
          <w:sz w:val="22"/>
        </w:rPr>
        <w:t>摘要：【摘译】作者提出货币—财政协调的新类型学，聚焦财政为央行资产负债表兜底，以央行官员对独立性的诠释解释其对亏损的厌恶；比较欧洲与日本。</w:t>
      </w:r>
    </w:p>
    <w:p>
      <w:r>
        <w:rPr>
          <w:rFonts w:ascii="Times New Roman" w:hAnsi="Times New Roman" w:eastAsia="宋体"/>
          <w:b w:val="0"/>
          <w:i w:val="0"/>
          <w:sz w:val="20"/>
        </w:rPr>
        <w:t>Central banks and finance ministries have been faced with growing calls for better monetary-fiscal coordination in recent years as the solution to an array of macroeconomic policy problems, promoted by an ever-wider range of stakeholders. Yet, how can the silver-bullet solution of coordination be expected to play out across very different political-economic contexts? This paper sheds light on this question by introducing a novel typology of monetary-fiscal coordination that can help us make sense of formal and informal coordination efforts in the post-2008 era. It zooms in on a peculiar but key aspect which monetary and fiscal authorities have sought to achieve coordination on: The fiscal backing of central banks’ balance sheets to insure monetary policy against losses and ‘insolvency’. To understand central bankers’ aversion towards loss-making despite their ability to create currency, the paper develops a political economy account which emphasizes policy-makers’ interpretations of their own independence and their desire for fiscal protection, in contrast to traditional accounts of delegation that treat independent agents as discretion-seekers and power-maximizers. The typology is illustrated with case studies of the European Central Bank, Bank of England, and Bank of Japan between 2008 and 2023, each representing a different type of monetary-fiscal coordination post-crisis.</w:t>
      </w:r>
    </w:p>
    <w:p/>
    <w:p>
      <w:r>
        <w:rPr>
          <w:rFonts w:ascii="Times New Roman" w:hAnsi="Times New Roman" w:eastAsia="宋体"/>
          <w:b/>
          <w:i w:val="0"/>
          <w:sz w:val="22"/>
        </w:rPr>
        <w:t>RIPE： Vol. 31, No. 2, 2024</w:t>
      </w:r>
    </w:p>
    <w:p/>
    <w:p>
      <w:r>
        <w:rPr>
          <w:rFonts w:ascii="Times New Roman" w:hAnsi="Times New Roman" w:eastAsia="黑体"/>
          <w:b/>
          <w:i w:val="0"/>
          <w:sz w:val="24"/>
        </w:rPr>
        <w:t>延续还是变革？平台与新自由主义制度环境的混合化</w:t>
      </w:r>
    </w:p>
    <w:p>
      <w:r>
        <w:rPr>
          <w:rFonts w:ascii="Times New Roman" w:hAnsi="Times New Roman" w:eastAsia="宋体"/>
          <w:b w:val="0"/>
          <w:i/>
          <w:color w:val="404040"/>
          <w:sz w:val="20"/>
        </w:rPr>
        <w:t>Continuity or change? Platforms and the hybridization of neoliberal institutional contexts</w:t>
      </w:r>
    </w:p>
    <w:p>
      <w:r>
        <w:rPr>
          <w:rFonts w:ascii="Times New Roman" w:hAnsi="Times New Roman" w:eastAsia="宋体"/>
          <w:b w:val="0"/>
          <w:i w:val="0"/>
          <w:color w:val="595959"/>
          <w:sz w:val="18"/>
        </w:rPr>
        <w:t>Aleksandra Piletić（University of Amsterdam, Amsterdam, The Netherlands）</w:t>
      </w:r>
    </w:p>
    <w:p>
      <w:r>
        <w:rPr>
          <w:rFonts w:ascii="Times New Roman" w:hAnsi="Times New Roman" w:eastAsia="宋体"/>
          <w:b w:val="0"/>
          <w:i w:val="0"/>
          <w:sz w:val="22"/>
        </w:rPr>
        <w:t>摘要：【摘译】作者认为平台不是全新资本主义或历史重复，而是从内部重塑新自由主义制度，引发“混合化”，在工资关系与社会再生产中巩固其主导地位。</w:t>
      </w:r>
    </w:p>
    <w:p>
      <w:r>
        <w:rPr>
          <w:rFonts w:ascii="Times New Roman" w:hAnsi="Times New Roman" w:eastAsia="宋体"/>
          <w:b w:val="0"/>
          <w:i w:val="0"/>
          <w:sz w:val="20"/>
        </w:rPr>
        <w:t>In recent years, a wide range of contributions have sought to conceptualize the emergent effects of platforms on contemporary capitalism(s). One strand of literature has emphasized the novelty of platforms, stressing their disruptive features and proclaiming the rise of a new era – platform/digital capitalism. Another strand has tended to position platforms within the longue durée of capitalist transformation, focusing on the continuities and historical recurrences of platform-led transformations. In contrast to both strands of literature, this paper argues that platforms should be understood as reworking existing, neoliberal institutions from within, engendering a process of hybridization. It builds on the French Régulation approach to trace platform-led transformations in the wage relation and social reproduction. It argues that platforms have consolidated their dominance in the post-2008 financial crisis period by, on the one hand, inserting themselves into neoliberal ‘innovations’ in labor markets, benefitting from a flexibilized, precaritized and casualized workforce and, on the other, by responding to the neoliberal crisis in social reproduction, and the decades-long privatization, marketization and individualization of reproductive tasks. It explores these dynamics in the context of Amsterdam and Berlin, tracing the hybridization of the neoliberal wage-labor nexus in the context of food delivery, cleaning and care platforms.</w:t>
      </w:r>
    </w:p>
    <w:p/>
    <w:p>
      <w:r>
        <w:rPr>
          <w:rFonts w:ascii="Times New Roman" w:hAnsi="Times New Roman" w:eastAsia="黑体"/>
          <w:b/>
          <w:i w:val="0"/>
          <w:sz w:val="24"/>
        </w:rPr>
        <w:t>跨越南北鸿沟的新宪政主义——通过发展合作协议推进新自由主义化</w:t>
      </w:r>
    </w:p>
    <w:p>
      <w:r>
        <w:rPr>
          <w:rFonts w:ascii="Times New Roman" w:hAnsi="Times New Roman" w:eastAsia="宋体"/>
          <w:b w:val="0"/>
          <w:i/>
          <w:color w:val="404040"/>
          <w:sz w:val="20"/>
        </w:rPr>
        <w:t>New constitutionalism across the North-South divide—neoliberalization through development cooperation agreements</w:t>
      </w:r>
    </w:p>
    <w:p>
      <w:r>
        <w:rPr>
          <w:rFonts w:ascii="Times New Roman" w:hAnsi="Times New Roman" w:eastAsia="宋体"/>
          <w:b w:val="0"/>
          <w:i w:val="0"/>
          <w:color w:val="595959"/>
          <w:sz w:val="18"/>
        </w:rPr>
        <w:t>Nina Glatzer（Faculty of Business, Economics and Social Sciences – Political Science, University of Hamburg, Hamburg, Germany）；Manuel Neumann（Faculty of Social Sciences – Globalization and Politics, University of Kassel, Kassel, Germany）；Franziska Müller（Faculty of Business, Economics and Social Sciences – Political Science, University of Hamburg, Hamburg, Germany）</w:t>
      </w:r>
    </w:p>
    <w:p>
      <w:r>
        <w:rPr>
          <w:rFonts w:ascii="Times New Roman" w:hAnsi="Times New Roman" w:eastAsia="宋体"/>
          <w:b w:val="0"/>
          <w:i w:val="0"/>
          <w:sz w:val="22"/>
        </w:rPr>
        <w:t>摘要：【摘译】以美国千年挑战公司—加纳电力契约为例，作者运用吉尔的“新宪政主义”概念，发现发展合作协议中嵌有约60%的新宪政主义机制以锁定新自由主义改革与金融化。</w:t>
      </w:r>
    </w:p>
    <w:p>
      <w:r>
        <w:rPr>
          <w:rFonts w:ascii="Times New Roman" w:hAnsi="Times New Roman" w:eastAsia="宋体"/>
          <w:b w:val="0"/>
          <w:i w:val="0"/>
          <w:sz w:val="20"/>
        </w:rPr>
        <w:t>The Wall Street Consensus (WSC) marks the global North’s recent attempt to make development in the global South investable. Yet, how are these neoliberal reforms for an investor-friendly environment promoted? This article argues that new constitutionalist mechanisms are used in development cooperation agreements between the global North and the global South to carve in neoliberal reforms in general, and financialization in particular. We apply Gill’s concept of New Constitutionalism (NC) to trace the mechanisms that attempt to lock in these reforms. We chart out how NC underpins Gabor’s WSC and account for idiosyncratic features of postcolonial statehood. We, thus, operationalize and expand Gill’s NC concept. We apply this framework to the MCC Ghana Power Compact, a development cooperation treaty between the Millennium Challenge Corporation (MCC) and the Government of Ghana. Deploying qualitative content analysis, we spot about 60% of the NC mechanisms. Beyond rendering visible the NC mechanisms in international agreements, this article contributes an analytical tool to research the (power) dynamics in development cooperation between the global North and South. While it demonstrates Gill’s relevance in understanding these processes, it also points towards avenues of research regarding the locking in of WSC reforms.</w:t>
      </w:r>
    </w:p>
    <w:p/>
    <w:p>
      <w:r>
        <w:rPr>
          <w:rFonts w:ascii="Times New Roman" w:hAnsi="Times New Roman" w:eastAsia="黑体"/>
          <w:b/>
          <w:i w:val="0"/>
          <w:sz w:val="24"/>
        </w:rPr>
        <w:t>债务治理多于医疗：多边开发银行在印度新冠应对中的照常行事</w:t>
      </w:r>
    </w:p>
    <w:p>
      <w:r>
        <w:rPr>
          <w:rFonts w:ascii="Times New Roman" w:hAnsi="Times New Roman" w:eastAsia="宋体"/>
          <w:b w:val="0"/>
          <w:i/>
          <w:color w:val="404040"/>
          <w:sz w:val="20"/>
        </w:rPr>
        <w:t>More debtfare than healthcare: business as usual in the Multilateral Development Banks’ COVID-19 response in India</w:t>
      </w:r>
    </w:p>
    <w:p>
      <w:r>
        <w:rPr>
          <w:rFonts w:ascii="Times New Roman" w:hAnsi="Times New Roman" w:eastAsia="宋体"/>
          <w:b w:val="0"/>
          <w:i w:val="0"/>
          <w:color w:val="595959"/>
          <w:sz w:val="18"/>
        </w:rPr>
        <w:t>Susan Engel（Politics and International Studies, University of Wollongong, Wollongong, Australia）；David Pedersen（University of Wollongong, Wollongong, Australia）</w:t>
      </w:r>
    </w:p>
    <w:p>
      <w:r>
        <w:rPr>
          <w:rFonts w:ascii="Times New Roman" w:hAnsi="Times New Roman" w:eastAsia="宋体"/>
          <w:b w:val="0"/>
          <w:i w:val="0"/>
          <w:sz w:val="22"/>
        </w:rPr>
        <w:t>摘要：【摘译】研究多边开发银行在印度的新冠医疗应对，发现其采取照常行事的不足路径，在微观到宏观层面加剧医疗金融化。</w:t>
      </w:r>
    </w:p>
    <w:p>
      <w:r>
        <w:rPr>
          <w:rFonts w:ascii="Times New Roman" w:hAnsi="Times New Roman" w:eastAsia="宋体"/>
          <w:b w:val="0"/>
          <w:i w:val="0"/>
          <w:sz w:val="20"/>
        </w:rPr>
        <w:t>Multilateral Development Banks (MDBs) have been a vital source of funds for the global South in responding to the COVID-19 pandemic, particularly in the healthcare sector. Prior to the pandemic, the big MDBs’ approach to healthcare reflected the post-Washington Consensus, that is a largely neoliberal agenda perpetuating the expansion of private healthcare markets through financialization mechanisms, though with some emphasis on a minimal level of universal healthcare. We studied the MDBs’ approaches to healthcare in India to evaluate whether the pandemic resulted in: (a) a re-evaluation of their healthcare models to ensure they were fit for a pandemic; (b) a business-as-usual approach; or (c) a disaster capitalism response exploiting the current socio-economic milieu to further neoliberalization processes. We found that the MDBs adopted an inadequate business-as-usual approach that is intensifying the financialization of healthcare in projects using interventions at the micro through to the macro level. This path dependent approach emphasizing multi-scalar financialization has long-term implications for human well-being. Further, we contend that MDB lending is deepening ‘debtfare’ through its healthcare and other support, a term Susanne Soederberg (2014, p. 3) conceived to describe the way neoliberal states ‘mediate, normalise and discipline the monetised relations that inhabit the poverty industry.’</w:t>
      </w:r>
    </w:p>
    <w:p/>
    <w:p>
      <w:r>
        <w:rPr>
          <w:rFonts w:ascii="Times New Roman" w:hAnsi="Times New Roman" w:eastAsia="黑体"/>
          <w:b/>
          <w:i w:val="0"/>
          <w:sz w:val="24"/>
        </w:rPr>
        <w:t>过度警惕的无知：“一带一路”沿线的无知学与清真认证</w:t>
      </w:r>
    </w:p>
    <w:p>
      <w:r>
        <w:rPr>
          <w:rFonts w:ascii="Times New Roman" w:hAnsi="Times New Roman" w:eastAsia="宋体"/>
          <w:b w:val="0"/>
          <w:i/>
          <w:color w:val="404040"/>
          <w:sz w:val="20"/>
        </w:rPr>
        <w:t>The ignorance of hypervigilance: agnotology and halal along the Belt and Road</w:t>
      </w:r>
    </w:p>
    <w:p>
      <w:r>
        <w:rPr>
          <w:rFonts w:ascii="Times New Roman" w:hAnsi="Times New Roman" w:eastAsia="宋体"/>
          <w:b w:val="0"/>
          <w:i w:val="0"/>
          <w:color w:val="595959"/>
          <w:sz w:val="18"/>
        </w:rPr>
        <w:t>Amalina Anuar（S Rajaratnam School of International Studies, Nanyang Technological University, Singapore, Singapore）；Chan Xin Ying（Department of Political Science, National University of Singapore, Singapore, Singapore）</w:t>
      </w:r>
    </w:p>
    <w:p>
      <w:r>
        <w:rPr>
          <w:rFonts w:ascii="Times New Roman" w:hAnsi="Times New Roman" w:eastAsia="宋体"/>
          <w:b w:val="0"/>
          <w:i w:val="0"/>
          <w:sz w:val="22"/>
        </w:rPr>
        <w:t>摘要：【摘译】作者提出“过度警惕”作为注意力偏差的框架，通过话语分析表明其导致知识扭曲、回避与拒绝，抑制了中国清真产业与“清真一带一路”的发展。</w:t>
      </w:r>
    </w:p>
    <w:p>
      <w:r>
        <w:rPr>
          <w:rFonts w:ascii="Times New Roman" w:hAnsi="Times New Roman" w:eastAsia="宋体"/>
          <w:b w:val="0"/>
          <w:i w:val="0"/>
          <w:sz w:val="20"/>
        </w:rPr>
        <w:t>When actors engage in attentional biases, they focus on one area of knowledge at the expense of others. In contrast to previous literature, we contend that these biases do not necessarily result in selective ignorance. This is because different attentional biases, informed by dissimilar emotions and logics, affect not just what knowledge is approached over others but how it is approached. It hence produces different types of ignorance or non-knowledge—and by extension, forms of power—in the political economy. We develop a novel conceptual framework on hypervigilance as attentional bias. Then, through discourse analysis, we demonstrate how hypervigilance engendered practices of knowledge distortion; knowledge avoidance and elimination; and knowledge rejection which resulted in the (re)production of inaccurate knowledge and willful blindness that stifled the growth of China’s fledgling halal industry and halal Belt and Road Initiative. This article contributes to the literature on social identity’s influence on economic policies and politics, particularly to nascent scholarship on the links between non-knowledge, ethnoreligious identity and political economy. It proposes pathways through which attentional biases as ignorance extend racialized power, affecting access to resources, opportunities, and participation in the domestic and international political economy.</w:t>
      </w:r>
    </w:p>
    <w:p/>
    <w:p>
      <w:r>
        <w:rPr>
          <w:rFonts w:ascii="Times New Roman" w:hAnsi="Times New Roman" w:eastAsia="黑体"/>
          <w:b/>
          <w:i w:val="0"/>
          <w:sz w:val="24"/>
        </w:rPr>
        <w:t>危机中以社会再生产为中心：新冠疫情期间缅甸、巴布亚新几内亚和菲律宾女性的粮食不安全经历</w:t>
      </w:r>
    </w:p>
    <w:p>
      <w:r>
        <w:rPr>
          <w:rFonts w:ascii="Times New Roman" w:hAnsi="Times New Roman" w:eastAsia="宋体"/>
          <w:b w:val="0"/>
          <w:i/>
          <w:color w:val="404040"/>
          <w:sz w:val="20"/>
        </w:rPr>
        <w:t>Centering social reproduction during crisis: women’s experiences of food insecurity in Myanmar, Papua New Guinea, and the Philippines during the COVID-19 pandemic</w:t>
      </w:r>
    </w:p>
    <w:p>
      <w:r>
        <w:rPr>
          <w:rFonts w:ascii="Times New Roman" w:hAnsi="Times New Roman" w:eastAsia="宋体"/>
          <w:b w:val="0"/>
          <w:i w:val="0"/>
          <w:color w:val="595959"/>
          <w:sz w:val="18"/>
        </w:rPr>
        <w:t>Sara E. Davies（Griffith Asia Institute, Griffith University, Brisbane, Australia）；Belinda Eslick（Griffith Asia Institute, Griffith University, Brisbane, Australia）；Darlene Joy D. Calsado（Center for Western Visayan Studies, University of the Philippines Visayas, Iloilo City, Philippines）；Claire Samantha Juanico（Philippine Genome Center Visayas, University of Philippines Visayas, Iloilo, Philippines）；Zin Mar Oo（National Young Women’s Christian Association, (YWCA) Myanmar, Yangon, Myanmar）；Robin E. Roberts（Griffith Asia Institute, Griffith University, Brisbane, Australia）；Yadanar（Consultant, National YWCA Myanmar, Yangon, Myanmar）；Naomi Woyengu（HausKuk Initiative, Madang, Papua New Guinea）</w:t>
      </w:r>
    </w:p>
    <w:p>
      <w:r>
        <w:rPr>
          <w:rFonts w:ascii="Times New Roman" w:hAnsi="Times New Roman" w:eastAsia="宋体"/>
          <w:b w:val="0"/>
          <w:i w:val="0"/>
          <w:sz w:val="22"/>
        </w:rPr>
        <w:t>摘要：【摘译】对缅甸、巴新与菲律宾183名女农民与摊贩的访谈显示，疫情通过收入下降与成本上升影响女性粮食安全，并因女性承担家庭粮食管理而加重其负担。</w:t>
      </w:r>
    </w:p>
    <w:p>
      <w:r>
        <w:rPr>
          <w:rFonts w:ascii="Times New Roman" w:hAnsi="Times New Roman" w:eastAsia="宋体"/>
          <w:b w:val="0"/>
          <w:i w:val="0"/>
          <w:sz w:val="20"/>
        </w:rPr>
        <w:t>Studies examining the gendered impacts of COVID-19 have shown that women have been disproportionately impacted by the socio-economic effects of the pandemic across multiple areas, including economic and food security. We sought to understand how the impacts of the pandemic on women’s food security in the Indo-Pacific region were influenced by women’s roles in performing the bulk of unpaid work and care involved in social reproduction. We interviewed 183 female farmers and vendors (market stallholders) in Myanmar, Papua New Guinea, and the Philippines. We found that across all three countries examined, women described an impact on their food security as well as their labour, processes of reproduction, and private household dynamics. Women’s household food security was impacted because of decreased income, increased business costs, rising food costs, and additional household costs. Further, our findings show that because it was typically women’s responsibility to manage household food security, women were anticipating food shortages and engaging in risks to mitigate against food insecurity. These findings demonstrate the urgent need to introduce national and international crisis response measures that differentiate the gendered social and economic impacts of crises that centers, rather than marginalizes, social reproduction in analyses.</w:t>
      </w:r>
    </w:p>
    <w:p/>
    <w:p>
      <w:r>
        <w:rPr>
          <w:rFonts w:ascii="Times New Roman" w:hAnsi="Times New Roman" w:eastAsia="黑体"/>
          <w:b/>
          <w:i w:val="0"/>
          <w:sz w:val="24"/>
        </w:rPr>
        <w:t>从避税天堂到加密货币：全球经济中寻求保密的资本</w:t>
      </w:r>
    </w:p>
    <w:p>
      <w:r>
        <w:rPr>
          <w:rFonts w:ascii="Times New Roman" w:hAnsi="Times New Roman" w:eastAsia="宋体"/>
          <w:b w:val="0"/>
          <w:i/>
          <w:color w:val="404040"/>
          <w:sz w:val="20"/>
        </w:rPr>
        <w:t>From tax havens to cryptocurrencies: secrecy-seeking capital in the global economy</w:t>
      </w:r>
    </w:p>
    <w:p>
      <w:r>
        <w:rPr>
          <w:rFonts w:ascii="Times New Roman" w:hAnsi="Times New Roman" w:eastAsia="宋体"/>
          <w:b w:val="0"/>
          <w:i w:val="0"/>
          <w:color w:val="595959"/>
          <w:sz w:val="18"/>
        </w:rPr>
        <w:t>Matti Ylönen（Faculty of Social Sciences, University of Helsinki, Helsinki, Finland）；Ringa Raudla（Ragnar Nurkse Department of Innovation and Governance, Tallinn University of Technology, Tallinn, Estonia）；Milan Babic（Department of Social Sciences and Business, Roskilde University, Roskilde, Denmark）</w:t>
      </w:r>
    </w:p>
    <w:p>
      <w:r>
        <w:rPr>
          <w:rFonts w:ascii="Times New Roman" w:hAnsi="Times New Roman" w:eastAsia="宋体"/>
          <w:b w:val="0"/>
          <w:i w:val="0"/>
          <w:sz w:val="22"/>
        </w:rPr>
        <w:t>摘要：【摘译】以爱沙尼亚为极端案例，作者识别寻求保密资本适应新监管的两种实践：“组织隔离”（北欧银行隔离波罗的海分支）与“蜂拥”（涌入加密货币部门）。</w:t>
      </w:r>
    </w:p>
    <w:p>
      <w:r>
        <w:rPr>
          <w:rFonts w:ascii="Times New Roman" w:hAnsi="Times New Roman" w:eastAsia="宋体"/>
          <w:b w:val="0"/>
          <w:i w:val="0"/>
          <w:sz w:val="20"/>
        </w:rPr>
        <w:t>The global backlash against tax havens has pushed secrecy-seeking capital to explore alternative opportunities in non-tax-haven countries and new financial technologies (FinTech). We identify two major corporate practices—organizational ring-fencing and swarming—that have enabled secrecy-seeking capital to adapt to new regulatory realities and illustrate these practices empirically with the extreme case of Estonia. In the 2010s, several Nordic banks turned their Estonian offices into hotbeds of high-risk transactions, ring-fencing their Baltic affiliates from their group-level systems and generating several money laundering scandals with global repercussions. More recently, secrecy-seeking capital ‘swarmed’ into Estonia’s large cryptocurrency sector and thereby thwarted effective supervision of the activities of the firms involved. Neither swarming nor organizational ring-fencing have been sufficiently explained by existing approaches in International Political Economy (IPE) as new core practices of secrecy-seeking capital. We study both practices in a mixed-methods research design and provide novel empirical insights to illuminate this phenomenon. In filling this gap, our study paves the way for a second generation of global tax governance scholarship amidst the cryptocurrency and FinTech boom, and calls for a research agenda that addresses these new practices that take advantage of the lack of administrative capabilities in non-tax-haven jurisdictions.</w:t>
      </w:r>
    </w:p>
    <w:p/>
    <w:p>
      <w:r>
        <w:rPr>
          <w:rFonts w:ascii="Times New Roman" w:hAnsi="Times New Roman" w:eastAsia="黑体"/>
          <w:b/>
          <w:i w:val="0"/>
          <w:sz w:val="24"/>
        </w:rPr>
        <w:t>族群政治与主权信用风险</w:t>
      </w:r>
    </w:p>
    <w:p>
      <w:r>
        <w:rPr>
          <w:rFonts w:ascii="Times New Roman" w:hAnsi="Times New Roman" w:eastAsia="宋体"/>
          <w:b w:val="0"/>
          <w:i/>
          <w:color w:val="404040"/>
          <w:sz w:val="20"/>
        </w:rPr>
        <w:t>Ethnic politics and sovereign credit risk</w:t>
      </w:r>
    </w:p>
    <w:p>
      <w:r>
        <w:rPr>
          <w:rFonts w:ascii="Times New Roman" w:hAnsi="Times New Roman" w:eastAsia="宋体"/>
          <w:b w:val="0"/>
          <w:i w:val="0"/>
          <w:color w:val="595959"/>
          <w:sz w:val="18"/>
        </w:rPr>
        <w:t>Kathleen J. Brown（Institute of Political Science, Leiden University, Leiden, Netherlands）；Matthew DiGiuseppe（Institute of Political Science, Leiden University, Leiden, Netherlands）；Patrick E. Shea（Politics and International Relations, University of Glasgow, Glasgow, UK）</w:t>
      </w:r>
    </w:p>
    <w:p>
      <w:r>
        <w:rPr>
          <w:rFonts w:ascii="Times New Roman" w:hAnsi="Times New Roman" w:eastAsia="宋体"/>
          <w:b w:val="0"/>
          <w:i w:val="0"/>
          <w:sz w:val="22"/>
        </w:rPr>
        <w:t>摘要：【摘译】作者发现族群联盟产生不同于阶级分野的财政激励：新兴市场中依赖族群支持的右翼政府借款成本上升，左翼政府则可承诺更低支出、获更好风险评估。</w:t>
      </w:r>
    </w:p>
    <w:p>
      <w:r>
        <w:rPr>
          <w:rFonts w:ascii="Times New Roman" w:hAnsi="Times New Roman" w:eastAsia="宋体"/>
          <w:b w:val="0"/>
          <w:i w:val="0"/>
          <w:sz w:val="20"/>
        </w:rPr>
        <w:t>How does domestic politics affect sovereign credit risk? To date, scholars have largely focused on how economic interests along class-cleavages influence sovereign default risk and borrowing costs. Ethnic dynamics are another important political factor that explains governments’ creditworthiness, yet are understudied. We investigate how ethnic politics shape governments’ credit access and argue that the fiscal incentives generated by ethnic coalitions influence credit risk differently than those created by class cleavages. Because ethnic coalitions are usually smaller than class coalitions, left governments with ethnic support can commit to lower spending and receive more favorable risk assessments. Right governments that rely on ethnic support, however, will have greater spending demands because of their need to satisfy ethnic groups. We test our argument using a new indicator of government ethnic support and four indicators of sovereign credit risk. We find that, in emerging markets, the borrowing costs of right governments increase as they become more dependent on ethnic groups for political support. Our findings suggest that financial markets are attuned to multiple dimensions of domestic politics and demonstrate that ethnic divisions can have strong implications for governments’ access to credit.</w:t>
      </w:r>
    </w:p>
    <w:p/>
    <w:p>
      <w:r>
        <w:rPr>
          <w:rFonts w:ascii="Times New Roman" w:hAnsi="Times New Roman" w:eastAsia="黑体"/>
          <w:b/>
          <w:i w:val="0"/>
          <w:sz w:val="24"/>
        </w:rPr>
        <w:t>由内而外的全球化：拉美银行业对国际软法的国内回应</w:t>
      </w:r>
    </w:p>
    <w:p>
      <w:r>
        <w:rPr>
          <w:rFonts w:ascii="Times New Roman" w:hAnsi="Times New Roman" w:eastAsia="宋体"/>
          <w:b w:val="0"/>
          <w:i/>
          <w:color w:val="404040"/>
          <w:sz w:val="20"/>
        </w:rPr>
        <w:t>Globalizing from the inside out: national responses to international soft law in Latin America’s banking sector</w:t>
      </w:r>
    </w:p>
    <w:p>
      <w:r>
        <w:rPr>
          <w:rFonts w:ascii="Times New Roman" w:hAnsi="Times New Roman" w:eastAsia="宋体"/>
          <w:b w:val="0"/>
          <w:i w:val="0"/>
          <w:color w:val="595959"/>
          <w:sz w:val="18"/>
        </w:rPr>
        <w:t>Mario G. Schapiro（FGV Law School, Fundacao Getulio Vargas Escola de Direito, Sao Paulo, Brazil）</w:t>
      </w:r>
    </w:p>
    <w:p>
      <w:r>
        <w:rPr>
          <w:rFonts w:ascii="Times New Roman" w:hAnsi="Times New Roman" w:eastAsia="宋体"/>
          <w:b w:val="0"/>
          <w:i w:val="0"/>
          <w:sz w:val="22"/>
        </w:rPr>
        <w:t>摘要：【摘译】比较巴西、智利、墨西哥，作者将监管全球化视为“由内而外”过程：国内联盟利用巴塞尔软法的权力资源推进本地议程，国家主导的巴西趋同率反而最高。</w:t>
      </w:r>
    </w:p>
    <w:p>
      <w:r>
        <w:rPr>
          <w:rFonts w:ascii="Times New Roman" w:hAnsi="Times New Roman" w:eastAsia="宋体"/>
          <w:b w:val="0"/>
          <w:i w:val="0"/>
          <w:sz w:val="20"/>
        </w:rPr>
        <w:t>Building from historical institutionalist contributions, this article explains why domestic regulators implement global rules to govern their banking markets. Although this question is not new, this paper tackles it with a novel approach. It frames regulatory globalization as an inside-out process in which domestic coalitions leverage international soft law’s power resources to advance their local agendas. The article highlights how local players utilize Basel’s power resources to build state regulatory capacities and market compliance conditions and, subsequently, strengthen those capacities and conditions to prompt regulatory convergence. To test this argument, the author conducts comparative case studies with Brazil, Chile, and Mexico, which challenge the conventional wisdom on rule harmonization. While the literature correlates convergence to externally driven, market-based economies and divergence to state-led, crony economies, case studies show the highest rate of convergence in Brazil’s state-led economy and the lowest rate in Chile’s market-based economy, with Mexico in between. The article concludes that regulatory politics is an iterative institutional process that does not necessarily coincide with a country’s variety of capitalism. It also points out that local policymakers are not merely standard followers but political players who mobilize global resources to further their interests while governing finance.</w:t>
      </w:r>
    </w:p>
    <w:p/>
    <w:p>
      <w:r>
        <w:rPr>
          <w:rFonts w:ascii="Times New Roman" w:hAnsi="Times New Roman" w:eastAsia="黑体"/>
          <w:b/>
          <w:i w:val="0"/>
          <w:sz w:val="24"/>
        </w:rPr>
        <w:t>解构“发展中”国家分类：起源与等级</w:t>
      </w:r>
    </w:p>
    <w:p>
      <w:r>
        <w:rPr>
          <w:rFonts w:ascii="Times New Roman" w:hAnsi="Times New Roman" w:eastAsia="宋体"/>
          <w:b w:val="0"/>
          <w:i/>
          <w:color w:val="404040"/>
          <w:sz w:val="20"/>
        </w:rPr>
        <w:t>Unpacking the ‘developing’ country classification: origins and hierarchies</w:t>
      </w:r>
    </w:p>
    <w:p>
      <w:r>
        <w:rPr>
          <w:rFonts w:ascii="Times New Roman" w:hAnsi="Times New Roman" w:eastAsia="宋体"/>
          <w:b w:val="0"/>
          <w:i w:val="0"/>
          <w:color w:val="595959"/>
          <w:sz w:val="18"/>
        </w:rPr>
        <w:t>Deborah Barros Leal Farias（School of Social Sciences, University of New South Wales-Sydney, Sydney, Australia）</w:t>
      </w:r>
    </w:p>
    <w:p>
      <w:r>
        <w:rPr>
          <w:rFonts w:ascii="Times New Roman" w:hAnsi="Times New Roman" w:eastAsia="宋体"/>
          <w:b w:val="0"/>
          <w:i w:val="0"/>
          <w:sz w:val="22"/>
        </w:rPr>
        <w:t>摘要：“发达”与“发展中”国家的世界划分在过去几十年日益成问题，但仍嵌于法律文件、外交政策话语与日常用语中。本文通过拆解国际体系中“发展中”标签的不同用法探讨这一复杂性，认为理解其使用需对其多样含义与后果进行严格分析。作者引入一个交叉两要素的分类：（1）分类来源（外部或内部）；（2）分类所隐含的等级类型（狭义或广义）。这一二乘二矩阵生成四种使用“发展中—发达”二分法的路径：技术官僚型、自选型、北方凝视型与南方团结型，并以与国际组织和多边条约相关的案例对每种路径作实证说明。</w:t>
      </w:r>
    </w:p>
    <w:p>
      <w:r>
        <w:rPr>
          <w:rFonts w:ascii="Times New Roman" w:hAnsi="Times New Roman" w:eastAsia="宋体"/>
          <w:b w:val="0"/>
          <w:i w:val="0"/>
          <w:sz w:val="20"/>
        </w:rPr>
        <w:t>The division of the world into ‘developing’ and ‘developed’ countries has grown increasingly problematic in the past decades. Nonetheless, it remains embedded in legal documents, foreign policy discourse, and colloquial use. This paper explores this complexity by unpacking the different ways in which the ‘developing’ label is used in the international system. It argues that understanding the complexity around its use requires a rigorous analysis of the label’s diverse meanings and consequences. This is done by introducing a taxonomy that intersects two elements: (1) the source of the classification (External or Internal) and (2) the kind of hierarchy implied in the classification (Narrow or Broad). This two-by-two matrix generates four approaches in which the ‘developing’ vs ‘developed’ dichotomy is used: Technocratic, Elective, Northern Gaze, and Southern Solidarity. Each approach is explored empirically, illustrated by cases connected to international organizations and multilateral treaties. In doing so, the paper teases out the underlying reasons why the use of the dichotomy is so challenging, based on what kinds of contestation it generates, and which actors are pushing for demise or longevity (and where).</w:t>
      </w:r>
    </w:p>
    <w:p/>
    <w:p>
      <w:r>
        <w:rPr>
          <w:rFonts w:ascii="Times New Roman" w:hAnsi="Times New Roman" w:eastAsia="黑体"/>
          <w:b/>
          <w:i w:val="0"/>
          <w:sz w:val="24"/>
        </w:rPr>
        <w:t>全球半导体价值链的地缘经济学：域外管辖与中美技术竞争</w:t>
      </w:r>
    </w:p>
    <w:p>
      <w:r>
        <w:rPr>
          <w:rFonts w:ascii="Times New Roman" w:hAnsi="Times New Roman" w:eastAsia="宋体"/>
          <w:b w:val="0"/>
          <w:i/>
          <w:color w:val="404040"/>
          <w:sz w:val="20"/>
        </w:rPr>
        <w:t>The geoeconomics of global semiconductor value chains: extraterritoriality and the US-China technology rivalry</w:t>
      </w:r>
    </w:p>
    <w:p>
      <w:r>
        <w:rPr>
          <w:rFonts w:ascii="Times New Roman" w:hAnsi="Times New Roman" w:eastAsia="宋体"/>
          <w:b w:val="0"/>
          <w:i w:val="0"/>
          <w:color w:val="595959"/>
          <w:sz w:val="18"/>
        </w:rPr>
        <w:t>Anton Malkin（Department of Global Studies, Chinese University of Hong Kong, Shenzhen, China）；Tian He（Department of International Studies, Xi’an Jiaotong-Liverpool University, Suzhou, China）</w:t>
      </w:r>
    </w:p>
    <w:p>
      <w:r>
        <w:rPr>
          <w:rFonts w:ascii="Times New Roman" w:hAnsi="Times New Roman" w:eastAsia="宋体"/>
          <w:b w:val="0"/>
          <w:i w:val="0"/>
          <w:sz w:val="22"/>
        </w:rPr>
        <w:t>摘要：本文研究美国在全球半导体产业中结构性权力的运用与发展，从地缘经济角度解释美国在该部门的主导地位，强调法律管辖与技术发展的空间维度在延续美国全球半导体价值链结构性权力中的作用。目标是将“域外管辖”概念应用于结构性权力研究：其如何获得、如何使用。作者解释为何应将域外管辖视为国际政治经济学中美国结构性权力的特征，并提出三个特征：全球价值链中的权力、法律管辖权力与基于联盟的权力。文章先说明美国如何在20世纪后期获得在半导体产业投射域外权力的政策工具与领先市场地位，进而如何利用其结构性特权打击中国技术企业。</w:t>
      </w:r>
    </w:p>
    <w:p>
      <w:r>
        <w:rPr>
          <w:rFonts w:ascii="Times New Roman" w:hAnsi="Times New Roman" w:eastAsia="宋体"/>
          <w:b w:val="0"/>
          <w:i w:val="0"/>
          <w:sz w:val="20"/>
        </w:rPr>
        <w:t>This paper conducts a study into the exercise and development of US structural power in the global semiconductor industry and offers a geoeconomics explanation for US dominance in the sector. It emphasizes the role of legal jurisdiction and spatial dimensions of technological development in perpetuating US structural power in global semiconductor value chains. The goal of this paper is to apply the concept of extraterritoriality to the study of structural power; how it is acquired, and how it is used. It explains why we should consider extraterritoriality as a feature of US structural power in International Political Economy (IPE) and suggests three features to help illuminate the concept: Power in global value chains, legal-jurisdictional power, and alliance-based power. The paper first explains how the US acquired the policy tools and leading market position for projecting extraterritorial power in the semiconductor industry during the late twentieth century, how it then utilized its structural privileges to target Chinese technology firms, and finally, the current and potential constraints on its deployment based on the reactions of Chinese and US transnational corporate actors.</w:t>
      </w:r>
    </w:p>
    <w:p/>
    <w:p>
      <w:r>
        <w:rPr>
          <w:rFonts w:ascii="Times New Roman" w:hAnsi="Times New Roman" w:eastAsia="黑体"/>
          <w:b/>
          <w:i w:val="0"/>
          <w:sz w:val="24"/>
        </w:rPr>
        <w:t>保护主义的地理分野：社会情境路径与来自日本的证据</w:t>
      </w:r>
    </w:p>
    <w:p>
      <w:r>
        <w:rPr>
          <w:rFonts w:ascii="Times New Roman" w:hAnsi="Times New Roman" w:eastAsia="宋体"/>
          <w:b w:val="0"/>
          <w:i/>
          <w:color w:val="404040"/>
          <w:sz w:val="20"/>
        </w:rPr>
        <w:t>Geographic divides in protectionism: the social context approach with evidence from Japan</w:t>
      </w:r>
    </w:p>
    <w:p>
      <w:r>
        <w:rPr>
          <w:rFonts w:ascii="Times New Roman" w:hAnsi="Times New Roman" w:eastAsia="宋体"/>
          <w:b w:val="0"/>
          <w:i w:val="0"/>
          <w:color w:val="595959"/>
          <w:sz w:val="18"/>
        </w:rPr>
        <w:t>Hirofumi Kawaguchi（Faculty of Humanities and Social Sciences, University of the Ryukyus, Nishihara, Japan）；Ikuma Ogura（Department of Contemporary Social Studies, Ibaraki University, Mito, Japan）</w:t>
      </w:r>
    </w:p>
    <w:p>
      <w:r>
        <w:rPr>
          <w:rFonts w:ascii="Times New Roman" w:hAnsi="Times New Roman" w:eastAsia="宋体"/>
          <w:b w:val="0"/>
          <w:i w:val="0"/>
          <w:sz w:val="22"/>
        </w:rPr>
        <w:t>摘要：【摘译】利用日本多项民调与全国及地方报纸数据，作者发现农村居民更反对贸易自由化与TPP，独立于个人经济利益；机制在于社交网络中有易受冲击行业从业者及地方报纸报道差异。</w:t>
      </w:r>
    </w:p>
    <w:p>
      <w:r>
        <w:rPr>
          <w:rFonts w:ascii="Times New Roman" w:hAnsi="Times New Roman" w:eastAsia="宋体"/>
          <w:b w:val="0"/>
          <w:i w:val="0"/>
          <w:sz w:val="20"/>
        </w:rPr>
        <w:t>Though many studies have analyzed public opinion of trade liberalization, they do not fully explain regional disparities in people’s preferences with regard to trade. To explain such a geographic division, this paper focuses on differences in social contexts that exist between regions, which is composed of social networks of different characteristics and distinct news coverage from local media. By utilizing multiple recent public opinion surveys conducted in Japan, we confirm that individuals in rural areas are less likely to support trade liberalization and Japan’s membership in the Trans-Pacific Partnership (TPP) independent of individuals’ economic self-interest or skills. With multiple surveys and data on Japanese national and local newspapers, we investigate the mechanisms, showing that (a) individuals whose communication network includes people working for a sector vulnerable to trade liberalization tend to oppose free trade regardless of the industry they work for and that (b) newspapers circulated in rural and urban places tend to cover TPP differently, which also impacts people’s attitudes toward the agreement. By analyzing the mechanisms of sociotropic considerations, our social context approach could eventually lead to further uncovering the formation of public opinion on trade.</w:t>
      </w:r>
    </w:p>
    <w:p/>
    <w:p>
      <w:r>
        <w:rPr>
          <w:rFonts w:ascii="Times New Roman" w:hAnsi="Times New Roman" w:eastAsia="黑体"/>
          <w:b/>
          <w:i w:val="0"/>
          <w:sz w:val="24"/>
        </w:rPr>
        <w:t>竞争性投资者对直接与间接征收的反应：来自采掘业的证据</w:t>
      </w:r>
    </w:p>
    <w:p>
      <w:r>
        <w:rPr>
          <w:rFonts w:ascii="Times New Roman" w:hAnsi="Times New Roman" w:eastAsia="宋体"/>
          <w:b w:val="0"/>
          <w:i/>
          <w:color w:val="404040"/>
          <w:sz w:val="20"/>
        </w:rPr>
        <w:t>Competing investor response to direct and indirect expropriation: evidence from the extractive sector</w:t>
      </w:r>
    </w:p>
    <w:p>
      <w:r>
        <w:rPr>
          <w:rFonts w:ascii="Times New Roman" w:hAnsi="Times New Roman" w:eastAsia="宋体"/>
          <w:b w:val="0"/>
          <w:i w:val="0"/>
          <w:color w:val="595959"/>
          <w:sz w:val="18"/>
        </w:rPr>
        <w:t>Alero Akporiaye（Department of History, Philosophy, and the Social Sciences, The Rhode Island School of Design, Providence, RI, USA）</w:t>
      </w:r>
    </w:p>
    <w:p>
      <w:r>
        <w:rPr>
          <w:rFonts w:ascii="Times New Roman" w:hAnsi="Times New Roman" w:eastAsia="宋体"/>
          <w:b w:val="0"/>
          <w:i w:val="0"/>
          <w:sz w:val="22"/>
        </w:rPr>
        <w:t>摘要：【摘译】石油业调查实验显示，投资者对直接征收的反应比间接征收更负面，因前者更可感知、对控制权后果更明确。</w:t>
      </w:r>
    </w:p>
    <w:p>
      <w:r>
        <w:rPr>
          <w:rFonts w:ascii="Times New Roman" w:hAnsi="Times New Roman" w:eastAsia="宋体"/>
          <w:b w:val="0"/>
          <w:i w:val="0"/>
          <w:sz w:val="20"/>
        </w:rPr>
        <w:t>Some research shows that foreign investors generally respond negatively to expropriation by host governments, and other research reveals that investors cope with expropriation. Why are there varied responses to expropriation? The nature of the obsolescing bargain—expropriation—is under-explored and measured unclearly in the political risk literature. I argue that investors respond more negatively to direct than indirect expropriation because the former is a more perceptible policy with clearer consequences for investors’ control rights, which sets up expectations for comparatively worse predatory behavior by the government in the future. Additionally, investors could have a better chance to recover and profit from all of their investments after indirect expropriation compared to direct expropriation, therefore, investors would react more negatively to the latter. I conduct first-pass testing of this prediction using an original survey experiment focusing on the oil industry and using mass public subjects. Results show that the direct expropriation treatment group was less likely to want to reinvest, and the likelihood of wanting to exit to an outside option was higher for subjects who faced direct expropriation. I supplement the experimental findings with a quantitative analysis that is inconclusive and qualitative interviews of practitioners from the oil industry that support the experimental findings.</w:t>
      </w:r>
    </w:p>
    <w:p/>
    <w:p>
      <w:r>
        <w:rPr>
          <w:rFonts w:ascii="Times New Roman" w:hAnsi="Times New Roman" w:eastAsia="黑体"/>
          <w:b/>
          <w:i w:val="0"/>
          <w:sz w:val="24"/>
        </w:rPr>
        <w:t>全球治理中的知识政治：全球卫生领域慈善家的知识生产实践</w:t>
      </w:r>
    </w:p>
    <w:p>
      <w:r>
        <w:rPr>
          <w:rFonts w:ascii="Times New Roman" w:hAnsi="Times New Roman" w:eastAsia="宋体"/>
          <w:b w:val="0"/>
          <w:i/>
          <w:color w:val="404040"/>
          <w:sz w:val="20"/>
        </w:rPr>
        <w:t>Knowledge politics in global governance: philanthropists’ knowledge-making practices in global health</w:t>
      </w:r>
    </w:p>
    <w:p>
      <w:r>
        <w:rPr>
          <w:rFonts w:ascii="Times New Roman" w:hAnsi="Times New Roman" w:eastAsia="宋体"/>
          <w:b w:val="0"/>
          <w:i w:val="0"/>
          <w:color w:val="595959"/>
          <w:sz w:val="18"/>
        </w:rPr>
        <w:t>Annabelle Littoz-Monnet（International Relations, Graduate Institute, Geneva, Switzerland）；Ximena Osorio Garate（International Relations, Political Science, Graduate Institute, Geneva, Switzerland）</w:t>
      </w:r>
    </w:p>
    <w:p>
      <w:r>
        <w:rPr>
          <w:rFonts w:ascii="Times New Roman" w:hAnsi="Times New Roman" w:eastAsia="宋体"/>
          <w:b w:val="0"/>
          <w:i w:val="0"/>
          <w:sz w:val="22"/>
        </w:rPr>
        <w:t>摘要：【摘译】作者认为慈善组织通过“知识慈善主义”——收集与生产数据、提供概念与工具——塑造全球卫生治理，将数据中心活动塑造为解决方案，并使自身成为不可或缺的伙伴。</w:t>
      </w:r>
    </w:p>
    <w:p>
      <w:r>
        <w:rPr>
          <w:rFonts w:ascii="Times New Roman" w:hAnsi="Times New Roman" w:eastAsia="宋体"/>
          <w:b w:val="0"/>
          <w:i w:val="0"/>
          <w:sz w:val="20"/>
        </w:rPr>
        <w:t>Existing research points to the presence of philanthropists in global governance as funders of programmes and partners. Through an in-depth exploration of global health governance, we highlight that philanthropic organizations now shape governance by acting as producers of knowledge. Practicing ‘knowledge philanthropism’, they collect, produce and assemble the data, calculations and research which is used by International Organizations (IOs) to govern problems. In addition, philanthropies craft tools of interpretation, whether concepts, vocabularies, or concrete technological devices that embed these, which are being used for the treatment of the knowledge they themselves produce. While performing such activities, they reify their own role and enable their deeper entanglement in the knowledge machinery of global governance, fashioning data-centric activities as the solution to global health problems, and themselves as the necessary partners in this resource-intensive data collection effort. The epistemic power of philanthropists produces political effects, on health interventions and modes of governing, which deeply participate to the transformation of all matters into objects of investments for financial returns. We explore these processes in relation to global health governance, with a specific focus on medical hypertension, fashioned as a top global health priority and a necessary ‘investment’ by the World Health Organization (WHO) and other sites of global governance.</w:t>
      </w:r>
    </w:p>
    <w:p/>
    <w:p>
      <w:r>
        <w:rPr>
          <w:rFonts w:ascii="Times New Roman" w:hAnsi="Times New Roman" w:eastAsia="黑体"/>
          <w:b/>
          <w:i w:val="0"/>
          <w:sz w:val="24"/>
        </w:rPr>
        <w:t>权利回归：人权重返世界贸易组织</w:t>
      </w:r>
    </w:p>
    <w:p>
      <w:r>
        <w:rPr>
          <w:rFonts w:ascii="Times New Roman" w:hAnsi="Times New Roman" w:eastAsia="宋体"/>
          <w:b w:val="0"/>
          <w:i/>
          <w:color w:val="404040"/>
          <w:sz w:val="20"/>
        </w:rPr>
        <w:t>Rights redux: the return of human rights at the WTO</w:t>
      </w:r>
    </w:p>
    <w:p>
      <w:r>
        <w:rPr>
          <w:rFonts w:ascii="Times New Roman" w:hAnsi="Times New Roman" w:eastAsia="宋体"/>
          <w:b w:val="0"/>
          <w:i w:val="0"/>
          <w:color w:val="595959"/>
          <w:sz w:val="18"/>
        </w:rPr>
        <w:t>Matias E. Margulis（School of Public Policy &amp;amp; Global Affairs and Faculty of Land &amp;amp; Food Systems, University of British Colombia, Vancouver, Canada）</w:t>
      </w:r>
    </w:p>
    <w:p>
      <w:r>
        <w:rPr>
          <w:rFonts w:ascii="Times New Roman" w:hAnsi="Times New Roman" w:eastAsia="宋体"/>
          <w:b w:val="0"/>
          <w:i w:val="0"/>
          <w:sz w:val="22"/>
        </w:rPr>
        <w:t>摘要：传统观点认为人权长期不在世界贸易组织谈判议程上：1990年代末至2000年代初北方国家在WTO规则中纳入“社会条款”的失败常被引为排除了在多边贸易谈判中援引人权的证据。本文挑战这一传统观点，表明各国正在WTO动员人权以塑造当前全球贸易规则制定；而且与“发达国家是贸易体制中人权主要倡导者、发展中国家是反对者”的主流假设形成鲜明对比，作者表明发展中国家实际上已成为在WTO援引人权的关键主角。作者通过考察发展中国家如何在近期WTO最具争议的两个议题中动员人权规范、原则与话语来塑造全球贸易规则制定，以说明这些主张。</w:t>
      </w:r>
    </w:p>
    <w:p>
      <w:r>
        <w:rPr>
          <w:rFonts w:ascii="Times New Roman" w:hAnsi="Times New Roman" w:eastAsia="宋体"/>
          <w:b w:val="0"/>
          <w:i w:val="0"/>
          <w:sz w:val="20"/>
        </w:rPr>
        <w:t>The conventional wisdom is that human rights have long been off the negotiating agenda at the World Trade Organization (WTO). The failed attempt by Northern states to include a ‘social clause’ in WTO rules during the late 1990s and early 2000s is often cited as having foreclosed bringing human rights to bear in multilateral trade negotiations. This article challenges this traditional view, demonstrating that states are mobilizing human rights at the WTO to shape current global trade rulemaking. Moreover, in sharp contrast to the prevailing assumption that developed countries are the primary champions of human rights in the trade regime and developing countries the opponents, I show that developing countries have in fact become key protagonists in marshalling human rights at the WTO. To illustrate these claims, I examine how developing countries mobilize human rights norms, principles and discourse to shape global trade rulemaking in two of the most contentious issues in recent WTO negotiations: The use of public food stockholding for food security purposes and a TRIPS waiver to ensure access to COVID-19 vaccines.</w:t>
      </w:r>
    </w:p>
    <w:p/>
    <w:p>
      <w:r>
        <w:rPr>
          <w:rFonts w:ascii="Times New Roman" w:hAnsi="Times New Roman" w:eastAsia="黑体"/>
          <w:b/>
          <w:i w:val="0"/>
          <w:sz w:val="24"/>
        </w:rPr>
        <w:t>《国际组织评论》</w:t>
      </w:r>
    </w:p>
    <w:p>
      <w:r>
        <w:rPr>
          <w:rFonts w:ascii="Times New Roman" w:hAnsi="Times New Roman" w:eastAsia="宋体"/>
          <w:b/>
          <w:i w:val="0"/>
          <w:sz w:val="22"/>
        </w:rPr>
        <w:t>RIO： Vol. 21, No. 3, 2026</w:t>
      </w:r>
    </w:p>
    <w:p/>
    <w:p>
      <w:r>
        <w:rPr>
          <w:rFonts w:ascii="Times New Roman" w:hAnsi="Times New Roman" w:eastAsia="黑体"/>
          <w:b/>
          <w:i w:val="0"/>
          <w:sz w:val="24"/>
        </w:rPr>
        <w:t>公众舆论与国际组织</w:t>
      </w:r>
    </w:p>
    <w:p>
      <w:r>
        <w:rPr>
          <w:rFonts w:ascii="Times New Roman" w:hAnsi="Times New Roman" w:eastAsia="宋体"/>
          <w:b w:val="0"/>
          <w:i/>
          <w:color w:val="404040"/>
          <w:sz w:val="20"/>
        </w:rPr>
        <w:t>Public opinion and international organizations</w:t>
      </w:r>
    </w:p>
    <w:p>
      <w:r>
        <w:rPr>
          <w:rFonts w:ascii="Times New Roman" w:hAnsi="Times New Roman" w:eastAsia="宋体"/>
          <w:b w:val="0"/>
          <w:i w:val="0"/>
          <w:color w:val="595959"/>
          <w:sz w:val="18"/>
        </w:rPr>
        <w:t>Lisa Dellmuth；Jonas Tallberg</w:t>
      </w:r>
    </w:p>
    <w:p>
      <w:r>
        <w:rPr>
          <w:rFonts w:ascii="Times New Roman" w:hAnsi="Times New Roman" w:eastAsia="宋体"/>
          <w:b w:val="0"/>
          <w:i w:val="0"/>
          <w:sz w:val="22"/>
        </w:rPr>
        <w:t>摘要：随着全球治理日益政治化与受到争议，公众舆论已成为国际组织日益重要的问题。本期特刊旨在通过考察公众舆论与国际组织相互关联的方式推进该研究领域。在导言中，作者识别出三个核心研究领域：公众对国际组织态度的驱动因素、公众舆论对国际组织的影响、以及国际组织对公众舆论的影响。针对每个领域，作者介绍关键理论类型、回顾知识现状，并概述本期文章如何推进该领域。最后提出未来研究议程，呼吁进一步探索公众舆论与国际组织的互动、拆解公众舆论与全球治理的关系，并将比较范围扩展到西方情境之外。</w:t>
      </w:r>
    </w:p>
    <w:p>
      <w:r>
        <w:rPr>
          <w:rFonts w:ascii="Times New Roman" w:hAnsi="Times New Roman" w:eastAsia="宋体"/>
          <w:b w:val="0"/>
          <w:i w:val="0"/>
          <w:sz w:val="20"/>
        </w:rPr>
        <w:t>Public opinion has become an increasingly important issue for international organizations (IOs) in the wake of growing politicization and contestation of global governance. This special issue aims to advance the research field on this topic by examining the ways in which public opinion and IOs are interconnected. In this introduction, we contribute to this aim by identifying three core areas of research: the drivers of public opinion toward IOs, the effects of public opinion on IOs, and the influence of IOs on public opinion. For each area, we introduce key theoretical typologies, review the state of knowledge, and outline how the articles in this special issue advance the field. We conclude by outlining an agenda for future research, calling for scholarship to further explore the interplay between public opinion and IOs, unpack public opinion and global governance, and expand the comparative scope beyond the western context.</w:t>
      </w:r>
    </w:p>
    <w:p/>
    <w:p>
      <w:r>
        <w:rPr>
          <w:rFonts w:ascii="Times New Roman" w:hAnsi="Times New Roman" w:eastAsia="黑体"/>
          <w:b/>
          <w:i w:val="0"/>
          <w:sz w:val="24"/>
        </w:rPr>
        <w:t>美国人对国际组织支持的极化（2017—2024）</w:t>
      </w:r>
    </w:p>
    <w:p>
      <w:r>
        <w:rPr>
          <w:rFonts w:ascii="Times New Roman" w:hAnsi="Times New Roman" w:eastAsia="宋体"/>
          <w:b w:val="0"/>
          <w:i/>
          <w:color w:val="404040"/>
          <w:sz w:val="20"/>
        </w:rPr>
        <w:t>Polarization in American support for International Organizations, 2017–2024</w:t>
      </w:r>
    </w:p>
    <w:p>
      <w:r>
        <w:rPr>
          <w:rFonts w:ascii="Times New Roman" w:hAnsi="Times New Roman" w:eastAsia="宋体"/>
          <w:b w:val="0"/>
          <w:i w:val="0"/>
          <w:color w:val="595959"/>
          <w:sz w:val="18"/>
        </w:rPr>
        <w:t>Sevdenur Koru；Diana C. Mutz</w:t>
      </w:r>
    </w:p>
    <w:p>
      <w:r>
        <w:rPr>
          <w:rFonts w:ascii="Times New Roman" w:hAnsi="Times New Roman" w:eastAsia="宋体"/>
          <w:b w:val="0"/>
          <w:i w:val="0"/>
          <w:sz w:val="22"/>
        </w:rPr>
        <w:t>摘要：本研究回答三个相关问题。第一，普通美国人对主要国际组织的看法是否是其观点的可靠信号？与他国相比，美国人较少直接接触国际组织行动，一些人因此认为其观点主要是“非态度”。第二，美国人对国际组织的支持是否下降？第三，什么解释了个体对国际组织看法随时间的变化？利用全国代表性的五波面板调查，作者表明美国人对国际组织有可靠看法，但难以区分不同国际组织，反映其依赖启发式而非对具体组织的了解。分析联合国、北约、WTO和WHO四个组织的五波数据发现，支持下降可忽略，但党派极化加剧。这一转变发生在新冠疫情在美国暴发之后，共和党人将疫情归咎于中国。实验结果进一步证实，全球主义与反全球主义的分野在疫情前已牢固扎根于两大政党：即便没有精英提示或具体组织信息，保守派美国人仍认为虚构的国际组织比同样描述的国内组织更“自由派”。</w:t>
      </w:r>
    </w:p>
    <w:p>
      <w:r>
        <w:rPr>
          <w:rFonts w:ascii="Times New Roman" w:hAnsi="Times New Roman" w:eastAsia="宋体"/>
          <w:b w:val="0"/>
          <w:i w:val="0"/>
          <w:sz w:val="20"/>
        </w:rPr>
        <w:t>This study addresses three inter-related questions. First, to what extent are rank and file Americans’ opinions toward major international organizations (IOs) reliable signals of their views? Compared to other countries, Americans have relatively little direct exposure to the actions of IOs, thus suggesting to some that Americans’ views are largely “non-attitudes” as opposed to true political opinions. Second, has American support for IOs declined? Although the United States (US) has been a traditional leader in efforts to build multilateral institutions, there is a fairly common belief among the public and some scholars that the backlash against globalization has included a decline in public support for IOs. Third, what accounts for change over time in individuals’ opinions of IOs? Using a nationally representative five-wave panel survey, we demonstrate that Americans have reliable views of IOs. However, their opinions do not readily distinguish between different IOs, thus reflecting reliance on heuristics rather than knowledge of individual IOs. Analyzing five waves of views on four different IOs–the United Nations, the North Atlantic Treaty Organization, the World Trade Organization, and the World Health Organization, we conclude that there has been a negligible decline in support, but increasing polarization by political party. This shift occurred in response to the onset of COVID19 in the US, an event that was blamed on China by Republicans. Finally, we provide experimental results confirming that the globalist versus anti-globalist divide was firmly entrenched in the two major political parties before COVID19. Without elite cues or information about specific IOs, conservative Americans still assumed that even fictitious IOs were more liberal than identically described national organizations.</w:t>
      </w:r>
    </w:p>
    <w:p/>
    <w:p>
      <w:r>
        <w:rPr>
          <w:rFonts w:ascii="Times New Roman" w:hAnsi="Times New Roman" w:eastAsia="黑体"/>
          <w:b/>
          <w:i w:val="0"/>
          <w:sz w:val="24"/>
        </w:rPr>
        <w:t>中国在联合国的领导力：形象管理与制度合法性</w:t>
      </w:r>
    </w:p>
    <w:p>
      <w:r>
        <w:rPr>
          <w:rFonts w:ascii="Times New Roman" w:hAnsi="Times New Roman" w:eastAsia="宋体"/>
          <w:b w:val="0"/>
          <w:i/>
          <w:color w:val="404040"/>
          <w:sz w:val="20"/>
        </w:rPr>
        <w:t>China’s leadership in the United Nations: Image management and institutional legitimacy</w:t>
      </w:r>
    </w:p>
    <w:p>
      <w:r>
        <w:rPr>
          <w:rFonts w:ascii="Times New Roman" w:hAnsi="Times New Roman" w:eastAsia="宋体"/>
          <w:b w:val="0"/>
          <w:i w:val="0"/>
          <w:color w:val="595959"/>
          <w:sz w:val="18"/>
        </w:rPr>
        <w:t>Sabrina B. Arias；Rachel A. Hulvey</w:t>
      </w:r>
    </w:p>
    <w:p>
      <w:r>
        <w:rPr>
          <w:rFonts w:ascii="Times New Roman" w:hAnsi="Times New Roman" w:eastAsia="宋体"/>
          <w:b w:val="0"/>
          <w:i w:val="0"/>
          <w:sz w:val="22"/>
        </w:rPr>
        <w:t>摘要：民主国家公众日益视中国为威胁。随着中国在联合国主要机构担任领导职务，作者考察这些职位如何影响中国在民主社会中的形象。作者认为崛起国可利用国际组织领导职位改善其在外国公众中的形象，但这可能对国际组织的合法性认知产生负面影响，使其被视为受大国俘获。作者在巴西（对华友好案例）和法国（对华怀疑案例）开展预注册调查实验，发现中国领导联合国机构在怀疑型国家中提升了中国形象，但在两国都降低了国际组织的合法性；美国领导国际组织在较小程度上也降低其合法性，表明公众普遍担忧大国控制国际组织。</w:t>
      </w:r>
    </w:p>
    <w:p>
      <w:r>
        <w:rPr>
          <w:rFonts w:ascii="Times New Roman" w:hAnsi="Times New Roman" w:eastAsia="宋体"/>
          <w:b w:val="0"/>
          <w:i w:val="0"/>
          <w:sz w:val="20"/>
        </w:rPr>
        <w:t>The public in democratic states increasingly views China as a threat. As China takes on leadership roles in key United Nations (UN) agencies, we examine how such positions affect its image in democratic societies where collaboration with China is often met with skepticism or rejection. We argue that a rising power can use IO leadership to improve its image among foreign publics. However, these efforts may have negative effects on the perceived legitimacy of IOs, which may be subsequently viewed as subject to major power capture. We test these expectations in pre-registered survey experiments in Brazil—a China-friendly case—and France—a China-skeptical case—finding that while China’s leadership of the UN enhances its image in the skeptical country context, it negatively affects IO legitimacy in both populations. To a lesser extent, US leadership of IOs also reduces their legitimacy, suggesting publics are also concerned about great power control of IOs broadly. These findings advance our understanding of China’s image management and IO legitimacy, contributing to broader debates on China’s growing role in global governance.</w:t>
      </w:r>
    </w:p>
    <w:p/>
    <w:p>
      <w:r>
        <w:rPr>
          <w:rFonts w:ascii="Times New Roman" w:hAnsi="Times New Roman" w:eastAsia="黑体"/>
          <w:b/>
          <w:i w:val="0"/>
          <w:sz w:val="24"/>
        </w:rPr>
        <w:t>全球南方的对外借款、主权与公众舆论：传统贷方还是中国</w:t>
      </w:r>
    </w:p>
    <w:p>
      <w:r>
        <w:rPr>
          <w:rFonts w:ascii="Times New Roman" w:hAnsi="Times New Roman" w:eastAsia="宋体"/>
          <w:b w:val="0"/>
          <w:i/>
          <w:color w:val="404040"/>
          <w:sz w:val="20"/>
        </w:rPr>
        <w:t>Foreign borrowing, sovereignty, and public opinion in the global south: Traditional lenders or China</w:t>
      </w:r>
    </w:p>
    <w:p>
      <w:r>
        <w:rPr>
          <w:rFonts w:ascii="Times New Roman" w:hAnsi="Times New Roman" w:eastAsia="宋体"/>
          <w:b w:val="0"/>
          <w:i w:val="0"/>
          <w:color w:val="595959"/>
          <w:sz w:val="18"/>
        </w:rPr>
        <w:t>David Janoff Bulman；Ning Leng；Kerry Ratigan</w:t>
      </w:r>
    </w:p>
    <w:p>
      <w:r>
        <w:rPr>
          <w:rFonts w:ascii="Times New Roman" w:hAnsi="Times New Roman" w:eastAsia="宋体"/>
          <w:b w:val="0"/>
          <w:i w:val="0"/>
          <w:sz w:val="22"/>
        </w:rPr>
        <w:t>摘要：外债是全球南方的显著政治议题，常引发抗议和政治行动。对IMF和世界银行等传统多边贷方长期广泛的批评，是否意味着全球南方公众欢迎中国作为贷方崛起？还是对中国贷款做法的不满导致公众偏好传统多边贷方？作者提出公众对外债的主权含义尤其敏感，因而被认为更可能侵犯主权的贷款与贷方对全球南方公众吸引力更低。作者在南美、东南亚和撒哈拉以南非洲三地区九个中等收入民主国家开展预注册、人口代表性调查实验（n=8762），发现这些国家公众高度关注债务问题，担忧债务对主权和本地经济的影响。因此公众倾向于偏好传统多边贷方IMF和世界银行以及私人贷方；对美国贷款的好感较低，对中国贷款则更低。</w:t>
      </w:r>
    </w:p>
    <w:p>
      <w:r>
        <w:rPr>
          <w:rFonts w:ascii="Times New Roman" w:hAnsi="Times New Roman" w:eastAsia="宋体"/>
          <w:b w:val="0"/>
          <w:i w:val="0"/>
          <w:sz w:val="20"/>
        </w:rPr>
        <w:t>Foreign debt is a salient political issue across the Global South, sparking protests and political action. Do widespread and longstanding critiques of traditional multilateral lenders such as the IMF and the World Bank imply that China’s rise as a lender is welcomed by publics in the Global South? Or does dissatisfaction with Chinese lending practices lead to preferences for traditional multilateral lenders? We propose that the public is particularly sensitive to the sovereignty implications of foreign debt. Therefore, loans and lenders perceived as more likely to infringe on sovereignty will be less attractive to Global South publics. We test these contentions through a pre-registered, population representative survey experiment (n = 8,762) in nine middle-income democracies across three regions: South America, Southeast Asia, and Sub-Saharan Africa. We find that publics in these nine countries are highly engaged in the issue of debt and concerned about the implications of debt for both sovereignty and the local economy. As a result, the public tends to prefer the traditional multilateral lenders, the IMF and World Bank, as well as private lenders. The public is less favorable towards US lending, but even less so towards that of China. As the first multi-country study of public opinion of debt and its intrinsic sovereignty concerns in middle-income democracies, this research provides lessons for international financial institutions as well as insights regarding the durability of the liberal international order.</w:t>
      </w:r>
    </w:p>
    <w:p/>
    <w:p>
      <w:r>
        <w:rPr>
          <w:rFonts w:ascii="Times New Roman" w:hAnsi="Times New Roman" w:eastAsia="黑体"/>
          <w:b/>
          <w:i w:val="0"/>
          <w:sz w:val="24"/>
        </w:rPr>
        <w:t>完美替罪羊？对国际货币基金组织的指责与辩护</w:t>
      </w:r>
    </w:p>
    <w:p>
      <w:r>
        <w:rPr>
          <w:rFonts w:ascii="Times New Roman" w:hAnsi="Times New Roman" w:eastAsia="宋体"/>
          <w:b w:val="0"/>
          <w:i/>
          <w:color w:val="404040"/>
          <w:sz w:val="20"/>
        </w:rPr>
        <w:t>Perfect scapegoats? Blaming and defending the International Monetary Fund</w:t>
      </w:r>
    </w:p>
    <w:p>
      <w:r>
        <w:rPr>
          <w:rFonts w:ascii="Times New Roman" w:hAnsi="Times New Roman" w:eastAsia="宋体"/>
          <w:b w:val="0"/>
          <w:i w:val="0"/>
          <w:color w:val="595959"/>
          <w:sz w:val="18"/>
        </w:rPr>
        <w:t>Tim Heinkelmann-Wild；Tom Hunter；Sujeong Shim</w:t>
      </w:r>
    </w:p>
    <w:p>
      <w:r>
        <w:rPr>
          <w:rFonts w:ascii="Times New Roman" w:hAnsi="Times New Roman" w:eastAsia="宋体"/>
          <w:b w:val="0"/>
          <w:i w:val="0"/>
          <w:sz w:val="22"/>
        </w:rPr>
        <w:t>摘要：国际组织被视为投机性成员国政府的理想替罪羊，但我们对政府是否以及何时将责任推给国际组织知之甚少。作者认为国际组织替罪羊现象并不如通常假设的普遍，因为指责国际组织代价高昂：它会损害政府可信度并威胁合作收益。为获得合作收益，政府可以转而为国际组织辩护并承受公众不满。作者提出“合作—争议权衡”理论：高度依赖国际合作的政府更可能为国际组织辩护，预期国内争议代价高昂的政府更可能指责它。作者以IMF（一个通常被认为是完美替罪羊的组织）为例，利用主要IMF借款国政府首脑提及IMF的800多条陈述原创数据集进行检验，发现政府虽常指责IMF，但实际上为其辩护多于指责。</w:t>
      </w:r>
    </w:p>
    <w:p>
      <w:r>
        <w:rPr>
          <w:rFonts w:ascii="Times New Roman" w:hAnsi="Times New Roman" w:eastAsia="宋体"/>
          <w:b w:val="0"/>
          <w:i w:val="0"/>
          <w:sz w:val="20"/>
        </w:rPr>
        <w:t>International organizations (IOs) are considered ideal scapegoats for opportunistic member state governments. Yet we know surprisingly little about whether and when governments indeed shift blame onto IOs. We argue that IO scapegoating is not as pervasive as commonly assumed because blaming IOs is costly. Blaming IOs undermines governments’ credibility and threatens their cooperation gains. To reap cooperation gains, governments can instead defend the IO and bear public discontent. We theorize a Cooperation-Contestation Trade-Off that explains when governments blame or defend IOs: governments that rely heavily on international cooperation are more likely to defend IOs while governments that expect costly domestic contestation are more likely to blame them. We assess our theory by examining governments’ communication about the International Monetary Fund (IMF) – an IO commonly assumed to be a perfect scapegoat. With an originally collected dataset of more than 800 statements referring to the IMF made by heads of governments in major IMF borrower countries, we find supportive evidence for our expectations. Crucially, we observe that whilst governments do frequently blame the IMF, they in fact defend the Fund more than they blame it. Our findings yield important implications for international cooperation in times of heightened politicization of IOs.</w:t>
      </w:r>
    </w:p>
    <w:p/>
    <w:p>
      <w:r>
        <w:rPr>
          <w:rFonts w:ascii="Times New Roman" w:hAnsi="Times New Roman" w:eastAsia="黑体"/>
          <w:b/>
          <w:i w:val="0"/>
          <w:sz w:val="24"/>
        </w:rPr>
        <w:t>同侪意见与国际组织的合法性</w:t>
      </w:r>
    </w:p>
    <w:p>
      <w:r>
        <w:rPr>
          <w:rFonts w:ascii="Times New Roman" w:hAnsi="Times New Roman" w:eastAsia="宋体"/>
          <w:b w:val="0"/>
          <w:i/>
          <w:color w:val="404040"/>
          <w:sz w:val="20"/>
        </w:rPr>
        <w:t>Peer opinion and the legitimacy of international organizations</w:t>
      </w:r>
    </w:p>
    <w:p>
      <w:r>
        <w:rPr>
          <w:rFonts w:ascii="Times New Roman" w:hAnsi="Times New Roman" w:eastAsia="宋体"/>
          <w:b w:val="0"/>
          <w:i w:val="0"/>
          <w:color w:val="595959"/>
          <w:sz w:val="18"/>
        </w:rPr>
        <w:t>Matthias Ecker-Ehrhardt；Lisa Dellmuth；Jonas Tallberg</w:t>
      </w:r>
    </w:p>
    <w:p>
      <w:r>
        <w:rPr>
          <w:rFonts w:ascii="Times New Roman" w:hAnsi="Times New Roman" w:eastAsia="宋体"/>
          <w:b w:val="0"/>
          <w:i w:val="0"/>
          <w:sz w:val="22"/>
        </w:rPr>
        <w:t>摘要：关于他人态度的信息（同侪意见）对国际组织合法性信念有何影响？既有研究识别了多种合法性信念来源，但忽视了同侪意见的潜在作用。本文首次系统分析同侪意见对国际组织合法性信念的影响，提出理论预期及效应特别强的条件，并在巴西、德国和美国全国代表性样本中开展三项调查实验，分别检验同侪意见的三种来源：其他调查参与者、全国民调和社交媒体讨论串。研究发现同侪意见在各实验中都塑造了国际组织合法性信念，且当同侪意见为负面且共识度高时效应尤其强；在政治意识较高或精英线索方向相反的条件下，效应依然出人意料地稳定。</w:t>
      </w:r>
    </w:p>
    <w:p>
      <w:r>
        <w:rPr>
          <w:rFonts w:ascii="Times New Roman" w:hAnsi="Times New Roman" w:eastAsia="宋体"/>
          <w:b w:val="0"/>
          <w:i w:val="0"/>
          <w:sz w:val="20"/>
        </w:rPr>
        <w:t>What effect, if any, does information about other people’s attitudes (peer opinion) have on legitimacy beliefs toward international organizations (IOs)? While previous research has identified multiple sources of IO legitimacy beliefs, it has so far overlooked the potential role of peer opinion. This article provides the first systematic analysis of peer opinion effects on people’s legitimacy beliefs toward IOs. To this end, it develops theoretical expectations about the effects of peer opinion and the conditions under which these effects are likely to be particularly strong. It tests these hypotheses through three survey experiments administered to nationally representative samples in Brazil, Germany, and the United States, each experiment evaluating one potential source of peer opinion: other survey participants, national polls, and social media threads. The article finds that peer opinion shapes legitimacy beliefs toward IOs across experiments and that this effect tends to be particularly strong when peer opinion is negative and reflects a high level of consensus. We also find peer opinion effects to be surprisingly stable under conditions of higher political awareness and elite cues working in the opposite direction. These findings suggest that people form legitimacy beliefs toward IOs through a process that is more social and horizontal than previously understood.</w:t>
      </w:r>
    </w:p>
    <w:p/>
    <w:p>
      <w:r>
        <w:rPr>
          <w:rFonts w:ascii="Times New Roman" w:hAnsi="Times New Roman" w:eastAsia="黑体"/>
          <w:b/>
          <w:i w:val="0"/>
          <w:sz w:val="24"/>
        </w:rPr>
        <w:t>本地思考，全球行动：美联储作为全球治理者的国内合法性</w:t>
      </w:r>
    </w:p>
    <w:p>
      <w:r>
        <w:rPr>
          <w:rFonts w:ascii="Times New Roman" w:hAnsi="Times New Roman" w:eastAsia="宋体"/>
          <w:b w:val="0"/>
          <w:i/>
          <w:color w:val="404040"/>
          <w:sz w:val="20"/>
        </w:rPr>
        <w:t>Thinking locally, acting globally: the domestic legitimacy of the US Federal Reserve as a global governor</w:t>
      </w:r>
    </w:p>
    <w:p>
      <w:r>
        <w:rPr>
          <w:rFonts w:ascii="Times New Roman" w:hAnsi="Times New Roman" w:eastAsia="宋体"/>
          <w:b w:val="0"/>
          <w:i w:val="0"/>
          <w:color w:val="595959"/>
          <w:sz w:val="18"/>
        </w:rPr>
        <w:t>Michael O. Allen；Aditi Sahasrabuddhe</w:t>
      </w:r>
    </w:p>
    <w:p>
      <w:r>
        <w:rPr>
          <w:rFonts w:ascii="Times New Roman" w:hAnsi="Times New Roman" w:eastAsia="宋体"/>
          <w:b w:val="0"/>
          <w:i w:val="0"/>
          <w:sz w:val="22"/>
        </w:rPr>
        <w:t>摘要：美联储经常充当国际最后贷款人。美联储的全球行动主义如何影响美国公众对其作为独立机构的信任？作者通过两项预注册调查实验，评估有关美联储国际贷款的信息线索对受访者政策支持和信任的影响。研究发现绩效线索与程序线索对政策支持和信任的影响不同：政策支持受有关其有效性和地缘政治含义的绩效线索影响；机构信任不受绩效线索影响，但受表达对美联储民主问责担忧的线索影响。</w:t>
      </w:r>
    </w:p>
    <w:p>
      <w:r>
        <w:rPr>
          <w:rFonts w:ascii="Times New Roman" w:hAnsi="Times New Roman" w:eastAsia="宋体"/>
          <w:b w:val="0"/>
          <w:i w:val="0"/>
          <w:sz w:val="20"/>
        </w:rPr>
        <w:t>The US Federal Reserve regularly acts as the international lender of last resort. What effect does the Fed’s global activism have on the US public’s trust in it as an independent agency? Using two pre-registered survey experiments, we evaluate the effect of informational cues about the Fed’s international lending on respondents’ level of policy support and trust in the Fed. We find that performance- and procedural-cues affect attitudes towards policy support and trust differently. Policy support is influenced by performance cues concerning its effectiveness and geopolitical implications. Institutional trust is unaffected by performance cues but is influenced by cues expressing concern for the Fed’s democratic accountability. Our findings contribute to debates on the popular support for central bank independence and the legitimacy of domestic institutions engaging in global governance.</w:t>
      </w:r>
    </w:p>
    <w:p/>
    <w:p>
      <w:r>
        <w:rPr>
          <w:rFonts w:ascii="Times New Roman" w:hAnsi="Times New Roman" w:eastAsia="黑体"/>
          <w:b/>
          <w:i w:val="0"/>
          <w:sz w:val="24"/>
        </w:rPr>
        <w:t>透明度下的国际官僚：以WTO TRIPS理事会为例</w:t>
      </w:r>
    </w:p>
    <w:p>
      <w:r>
        <w:rPr>
          <w:rFonts w:ascii="Times New Roman" w:hAnsi="Times New Roman" w:eastAsia="宋体"/>
          <w:b w:val="0"/>
          <w:i/>
          <w:color w:val="404040"/>
          <w:sz w:val="20"/>
        </w:rPr>
        <w:t>International bureaucrats under transparency: The case of the WTO TRIPS Council</w:t>
      </w:r>
    </w:p>
    <w:p>
      <w:r>
        <w:rPr>
          <w:rFonts w:ascii="Times New Roman" w:hAnsi="Times New Roman" w:eastAsia="宋体"/>
          <w:b w:val="0"/>
          <w:i w:val="0"/>
          <w:color w:val="595959"/>
          <w:sz w:val="18"/>
        </w:rPr>
        <w:t>Sojun Park；Minju Kim</w:t>
      </w:r>
    </w:p>
    <w:p>
      <w:r>
        <w:rPr>
          <w:rFonts w:ascii="Times New Roman" w:hAnsi="Times New Roman" w:eastAsia="宋体"/>
          <w:b w:val="0"/>
          <w:i w:val="0"/>
          <w:sz w:val="22"/>
        </w:rPr>
        <w:t>摘要：透明度如何影响负责促进谈判的国际官僚行为？既有理论有相反预期：更高透明度可能促使国际官僚更多处理公众关注的争议议题，也可能使其尽量回避。作者分析WTO 2002年文件解密改革（提升对公众透明度），考察文件迅速公开如何影响WTO秘书处撰写《与贸易有关的知识产权协定》（TRIPS）报告的方式。利用网络统计估计关键议题上的国家偏好分布，作者发现改革后WTO秘书处更可能就谈判中的极化议题发布报告并使用增强问责的措辞；国家—年份层面分析显示改革增加了全国性报纸对WTO TRIPS的报道，进而提高公众意识。结果表明透明度可能赋权国际官僚在成员国僵持时处理分歧议题。</w:t>
      </w:r>
    </w:p>
    <w:p>
      <w:r>
        <w:rPr>
          <w:rFonts w:ascii="Times New Roman" w:hAnsi="Times New Roman" w:eastAsia="宋体"/>
          <w:b w:val="0"/>
          <w:i w:val="0"/>
          <w:sz w:val="20"/>
        </w:rPr>
        <w:t>How does transparency affect the behavior of international bureaucrats tasked with facilitating negotiations? Existing theories offer opposing expectations—greater transparency might induce international bureaucrats to engage more with contentious issues that matter to the public or lead them to avoid those issues whenever possible. We assess these competing perspectives by analyzing the World Trade Organization (WTO)’s 2002 document de-restriction reform that enhanced transparency to the public. Specifically, we examine how prompt public disclosure of documents shapes the way the WTO Secretariat writes reports about the Agreement on Trade-Related Aspects of Intellectual Property Rights (TRIPS). Using network statistics to estimate the state preference distributions on key topics, we find that, after the reform, the WTO Secretariat is more likely to issue reports on polarized topics in negotiations, using accountability-enhancing words. Our analysis at the country-year level shows that the reform led to greater national newspaper coverage of the WTO TRIPS, which in turn raised public awareness. The results suggest that transparency could empower international bureaucrats to tackle divisive issues in times of member-state gridlock.</w:t>
      </w:r>
    </w:p>
    <w:p/>
    <w:p>
      <w:r>
        <w:rPr>
          <w:rFonts w:ascii="Times New Roman" w:hAnsi="Times New Roman" w:eastAsia="黑体"/>
          <w:b/>
          <w:i w:val="0"/>
          <w:sz w:val="24"/>
        </w:rPr>
        <w:t>关于国际组织合法性金融后果的实验证据</w:t>
      </w:r>
    </w:p>
    <w:p>
      <w:r>
        <w:rPr>
          <w:rFonts w:ascii="Times New Roman" w:hAnsi="Times New Roman" w:eastAsia="宋体"/>
          <w:b w:val="0"/>
          <w:i/>
          <w:color w:val="404040"/>
          <w:sz w:val="20"/>
        </w:rPr>
        <w:t>Experimental evidence on the financial consequences of international organization legitimacy</w:t>
      </w:r>
    </w:p>
    <w:p>
      <w:r>
        <w:rPr>
          <w:rFonts w:ascii="Times New Roman" w:hAnsi="Times New Roman" w:eastAsia="宋体"/>
          <w:b w:val="0"/>
          <w:i w:val="0"/>
          <w:color w:val="595959"/>
          <w:sz w:val="18"/>
        </w:rPr>
        <w:t>Jiseon Chang；Mirko Heinzel；Daniel Nielson</w:t>
      </w:r>
    </w:p>
    <w:p>
      <w:r>
        <w:rPr>
          <w:rFonts w:ascii="Times New Roman" w:hAnsi="Times New Roman" w:eastAsia="宋体"/>
          <w:b w:val="0"/>
          <w:i w:val="0"/>
          <w:sz w:val="22"/>
        </w:rPr>
        <w:t>摘要：在成员国日益审视和合法性挑战下，国际组织面临越来越大的资源约束，许多组织试图向包括个人捐赠者在内的非国家行为体拓展资金来源。但公众为何向国际组织捐款知之甚少。本研究考察国际组织的自我合法化努力是否影响捐赠行为，区分三种合法性：程序合法性、绩效合法性和使命合法性。作者通过一系列预注册调查、田野及基于调查的田野实验，涉及巴西、埃及、印度、沙特阿拉伯和英国五国逾2200万脸书用户，考察合法性信息对向联合国儿童基金会捐款的影响。结果表明合法性诉求对个人捐款意愿或实际捐款决定影响有限。</w:t>
      </w:r>
    </w:p>
    <w:p>
      <w:r>
        <w:rPr>
          <w:rFonts w:ascii="Times New Roman" w:hAnsi="Times New Roman" w:eastAsia="宋体"/>
          <w:b w:val="0"/>
          <w:i w:val="0"/>
          <w:sz w:val="20"/>
        </w:rPr>
        <w:t>International organizations (IOs) face growing resource constraints amid increasing scrutiny and legitimacy challenges from member states. In response, many IOs are seeking to diversify their funding sources by appealing to non-state actors, including individual donors. Yet, little is known about what motivates the public to contribute financially to IOs. This study investigates whether IOs’ efforts at self-legitimation influence donation behavior, distinguishing among three forms of legitimacy: (a) procedural, (b) performance-based, and (c) mandate-based. We examine the effects of legitimacy messaging on public donations to UNICEF through a series of pre-registered survey, field, and survey-based field experiments involving over 22 million Facebook users across five countries—Brazil, Egypt, India, Saudi Arabia, and the United Kingdom. Our findings indicate that legitimacy appeals have limited impact on individuals’ willingness or actual decisions to donate. These results suggest a need for further research into the practical implications of legitimacy in global governance.</w:t>
      </w:r>
    </w:p>
    <w:p/>
    <w:p>
      <w:r>
        <w:rPr>
          <w:rFonts w:ascii="Times New Roman" w:hAnsi="Times New Roman" w:eastAsia="宋体"/>
          <w:b/>
          <w:i w:val="0"/>
          <w:sz w:val="22"/>
        </w:rPr>
        <w:t>RIO： Vol. 21, No. 2, 2026</w:t>
      </w:r>
    </w:p>
    <w:p/>
    <w:p>
      <w:r>
        <w:rPr>
          <w:rFonts w:ascii="Times New Roman" w:hAnsi="Times New Roman" w:eastAsia="黑体"/>
          <w:b/>
          <w:i w:val="0"/>
          <w:sz w:val="24"/>
        </w:rPr>
        <w:t>少即是多：产权与独裁者对外国直接投资的需求</w:t>
      </w:r>
    </w:p>
    <w:p>
      <w:r>
        <w:rPr>
          <w:rFonts w:ascii="Times New Roman" w:hAnsi="Times New Roman" w:eastAsia="宋体"/>
          <w:b w:val="0"/>
          <w:i/>
          <w:color w:val="404040"/>
          <w:sz w:val="20"/>
        </w:rPr>
        <w:t>Less is more: Property rights and dictators’ demand for foreign direct investment</w:t>
      </w:r>
    </w:p>
    <w:p>
      <w:r>
        <w:rPr>
          <w:rFonts w:ascii="Times New Roman" w:hAnsi="Times New Roman" w:eastAsia="宋体"/>
          <w:b w:val="0"/>
          <w:i w:val="0"/>
          <w:color w:val="595959"/>
          <w:sz w:val="18"/>
        </w:rPr>
        <w:t>Jacque Gao；Frederick R. Chen</w:t>
      </w:r>
    </w:p>
    <w:p>
      <w:r>
        <w:rPr>
          <w:rFonts w:ascii="Times New Roman" w:hAnsi="Times New Roman" w:eastAsia="宋体"/>
          <w:b w:val="0"/>
          <w:i w:val="0"/>
          <w:sz w:val="22"/>
        </w:rPr>
        <w:t>摘要：政治经济学研究已确立国内产权保护与外国直接投资流入之间的联系，但其机制尚不明确，因为外国投资者常通过投资协定下的国际仲裁或母国政府的潜在干预享有更强的产权保护。本文提出一个国内产权如何影响威权政体FDI流入的需求侧理论：产权较弱的独裁者因更有能力征收国内企业而非外国企业，能通过限制性FDI政策攫取更多租金。由于外国投资者的竞争降低国内企业利润，这些独裁者倾向实施更严格的FDI监管以最大化租金攫取，尽管FDI可能通过提高工资而有利于政权稳定。因此，即使外国投资者供给不变，国内产权与FDI的关系也由独裁者需求驱动。</w:t>
      </w:r>
    </w:p>
    <w:p>
      <w:r>
        <w:rPr>
          <w:rFonts w:ascii="Times New Roman" w:hAnsi="Times New Roman" w:eastAsia="宋体"/>
          <w:b w:val="0"/>
          <w:i w:val="0"/>
          <w:sz w:val="20"/>
        </w:rPr>
        <w:t>Past studies in political economy have established a link between domestic property rights protection and foreign direct investment (FDI) inflows. However, the underlying mechanism remains unclear, given that foreign investors often enjoy more robust property rights protection through international arbitration under investment treaties or potential intervention by their home governments. In this article, we develop a demand-side theory of how domestic property rights affect the flow of FDI into authoritarian regimes. Specifically, dictators with weaker property rights can extract more rents through restrictive FDI policies due to their greater ability to expropriate domestic enterprises than foreign ones. As competition from foreign investors decreases domestic firms’ profits, these dictators tend to impose stricter FDI regulations to maximize rent extraction, despite the potential benefits of FDI for regime stability through wage increases. Therefore, the relationship between domestic property rights and FDI is driven by dictators’ demand, even if foreign investors’ supply remains constant. This article advances our understanding of the determinants of economic liberalization and the effects of FDI in authoritarian regimes.</w:t>
      </w:r>
    </w:p>
    <w:p/>
    <w:p>
      <w:r>
        <w:rPr>
          <w:rFonts w:ascii="Times New Roman" w:hAnsi="Times New Roman" w:eastAsia="黑体"/>
          <w:b/>
          <w:i w:val="0"/>
          <w:sz w:val="24"/>
        </w:rPr>
        <w:t>锁定民主？转型、威权精英回归与人权条约承诺</w:t>
      </w:r>
    </w:p>
    <w:p>
      <w:r>
        <w:rPr>
          <w:rFonts w:ascii="Times New Roman" w:hAnsi="Times New Roman" w:eastAsia="宋体"/>
          <w:b w:val="0"/>
          <w:i/>
          <w:color w:val="404040"/>
          <w:sz w:val="20"/>
        </w:rPr>
        <w:t>Locking in democracy? Transitions, returning autocratic elites, and human rights treaty commitment</w:t>
      </w:r>
    </w:p>
    <w:p>
      <w:r>
        <w:rPr>
          <w:rFonts w:ascii="Times New Roman" w:hAnsi="Times New Roman" w:eastAsia="宋体"/>
          <w:b w:val="0"/>
          <w:i w:val="0"/>
          <w:color w:val="595959"/>
          <w:sz w:val="18"/>
        </w:rPr>
        <w:t>Roman-Gabriel Olar</w:t>
      </w:r>
    </w:p>
    <w:p>
      <w:r>
        <w:rPr>
          <w:rFonts w:ascii="Times New Roman" w:hAnsi="Times New Roman" w:eastAsia="宋体"/>
          <w:b w:val="0"/>
          <w:i w:val="0"/>
          <w:sz w:val="22"/>
        </w:rPr>
        <w:t>摘要：新兴民主国家在什么条件下更致力于人权？现有解释聚焦“民主锁定”逻辑：新民主国家精英使国家加入国际人权条约和组织以防范未来的非民主威胁。但该命题在文献中实证支持不一，且存在内生性问题，因为它将所有民主化事件视为等同。本文借鉴民主化文献，提出更直接解释新民主国家精英何时更可能承诺人权条约的理论框架。利用威权精英回归的新测量和工具变量设计，结果显示威权精英占比更高的民主内阁对国际人权机制的承诺更低。</w:t>
      </w:r>
    </w:p>
    <w:p>
      <w:r>
        <w:rPr>
          <w:rFonts w:ascii="Times New Roman" w:hAnsi="Times New Roman" w:eastAsia="宋体"/>
          <w:b w:val="0"/>
          <w:i w:val="0"/>
          <w:sz w:val="20"/>
        </w:rPr>
        <w:t>Under what conditions are new democracies more committed to human rights? Existing explanations focus on the logic of the democratic lock-in as elites in new democracies commit their countries to international human rights treaties and organizations to safeguard against future nondemocratic threats. However, this proposition receives mixed empirical support within the literature, and suffers of endogeneity as it treats all democratization episodes as equivalent. Building on insights from the democratization literature, this paper develops a novel theoretical framework that provides a more direct explanation on the conditions under which political elites in new democracies are more likely to commit to human rights treaties. Using a new measure of returning autocratic elites and an instrumental variable design, the results show that democratic cabinets with a higher share of former autocratic elites are less committed to the international human rights regime. These results have implications for democratic consolidation and human rights compliance.</w:t>
      </w:r>
    </w:p>
    <w:p/>
    <w:p>
      <w:r>
        <w:rPr>
          <w:rFonts w:ascii="Times New Roman" w:hAnsi="Times New Roman" w:eastAsia="黑体"/>
          <w:b/>
          <w:i w:val="0"/>
          <w:sz w:val="24"/>
        </w:rPr>
        <w:t>领导人教育背景与中国官方融资</w:t>
      </w:r>
    </w:p>
    <w:p>
      <w:r>
        <w:rPr>
          <w:rFonts w:ascii="Times New Roman" w:hAnsi="Times New Roman" w:eastAsia="宋体"/>
          <w:b w:val="0"/>
          <w:i/>
          <w:color w:val="404040"/>
          <w:sz w:val="20"/>
        </w:rPr>
        <w:t>Leaders’ educational backgrounds and Chinese official finance</w:t>
      </w:r>
    </w:p>
    <w:p>
      <w:r>
        <w:rPr>
          <w:rFonts w:ascii="Times New Roman" w:hAnsi="Times New Roman" w:eastAsia="宋体"/>
          <w:b w:val="0"/>
          <w:i w:val="0"/>
          <w:color w:val="595959"/>
          <w:sz w:val="18"/>
        </w:rPr>
        <w:t>Ruixing Cao；Shane Hsuan-Yu Lin</w:t>
      </w:r>
    </w:p>
    <w:p>
      <w:r>
        <w:rPr>
          <w:rFonts w:ascii="Times New Roman" w:hAnsi="Times New Roman" w:eastAsia="宋体"/>
          <w:b w:val="0"/>
          <w:i w:val="0"/>
          <w:sz w:val="22"/>
        </w:rPr>
        <w:t>摘要：本研究探讨国家领导人的教育背景，特别是西方教育，如何影响发展中国家与中国官方融资的接触。随着中国金融外展不断扩大，理解塑造受援国领导人融资偏好的因素愈加重要。作者认为受过西方教育的领导人更不可能接受中国官方融资，这源于接触西方价值观与制度实践的社会化效应。分析2000—2020年领导人教育与中国官方融资数据，作者发现由受西方教育领导人执政的国家平均获得更少的中国资金。研究揭示教育经历如何影响治理偏好及与不同国际金融来源的契合，为大国战略竞争背景下全球金融关系中的软实力机制提供新视角。</w:t>
      </w:r>
    </w:p>
    <w:p>
      <w:r>
        <w:rPr>
          <w:rFonts w:ascii="Times New Roman" w:hAnsi="Times New Roman" w:eastAsia="宋体"/>
          <w:b w:val="0"/>
          <w:i w:val="0"/>
          <w:sz w:val="20"/>
        </w:rPr>
        <w:t>This study explores the influence of national leaders’ educational backgrounds, particularly Western education, on their engagement with Chinese official finance (OF) in developing nations. As China’s financial outreach continues to expand, understanding the factors that shape recipient leaders’ financial preferences is increasingly important. We argue that Western-educated leaders are less likely to accept Chinese OF, a tendency rooted in the socialization effects of exposure to Western values and institutional practices. By analyzing data from 2000 to 2020 on leaders’ education and Chinese OF, we find that countries led by Western-educated leaders receive less Chinese funding on average compared to those led by leaders with other educational backgrounds. This finding highlights how educational experiences influence governance preferences and alignment with different international financial sources. These insights contribute to our understanding of how leader-specific characteristics shape international finance dynamics, offering fresh perspectives on the soft power mechanisms underlying global financial relations amid strategic competition among major powers.</w:t>
      </w:r>
    </w:p>
    <w:p/>
    <w:p>
      <w:r>
        <w:rPr>
          <w:rFonts w:ascii="Times New Roman" w:hAnsi="Times New Roman" w:eastAsia="黑体"/>
          <w:b/>
          <w:i w:val="0"/>
          <w:sz w:val="24"/>
        </w:rPr>
        <w:t>平衡正义：美洲人权法院判给的赔偿</w:t>
      </w:r>
    </w:p>
    <w:p>
      <w:r>
        <w:rPr>
          <w:rFonts w:ascii="Times New Roman" w:hAnsi="Times New Roman" w:eastAsia="宋体"/>
          <w:b w:val="0"/>
          <w:i/>
          <w:color w:val="404040"/>
          <w:sz w:val="20"/>
        </w:rPr>
        <w:t>Balancing justice: Damages awarded by the Inter-American Court of Human Rights</w:t>
      </w:r>
    </w:p>
    <w:p>
      <w:r>
        <w:rPr>
          <w:rFonts w:ascii="Times New Roman" w:hAnsi="Times New Roman" w:eastAsia="宋体"/>
          <w:b w:val="0"/>
          <w:i w:val="0"/>
          <w:color w:val="595959"/>
          <w:sz w:val="18"/>
        </w:rPr>
        <w:t>Jillienne Haglund；Francesca Parente</w:t>
      </w:r>
    </w:p>
    <w:p>
      <w:r>
        <w:rPr>
          <w:rFonts w:ascii="Times New Roman" w:hAnsi="Times New Roman" w:eastAsia="宋体"/>
          <w:b w:val="0"/>
          <w:i w:val="0"/>
          <w:sz w:val="22"/>
        </w:rPr>
        <w:t>摘要：国际法赔偿遵循“恢复原状”原则——使受害者完全复原。但当受害者不是国家而是生命可能已受到不可挽回伤害的个人时，人权法官如何在实践中适用这一原则？作者在美洲人权法院的情境中考察这一问题，该法院法官经常处理强迫失踪、法外处决及其他严重人身完整性侵犯案件，并在确定赔偿额方面有很大自由裁量权。作者认为判赔最好理解为法官试图量化并补偿苦难，但法官必须在补偿苦难与经济和政治考量之间权衡。利用截至2019年美洲人权法院案件的赔偿金额与受害者原创数据集，作者发现侵权严重程度、受害者人数及受害者身份与赔偿金额相关。</w:t>
      </w:r>
    </w:p>
    <w:p>
      <w:r>
        <w:rPr>
          <w:rFonts w:ascii="Times New Roman" w:hAnsi="Times New Roman" w:eastAsia="宋体"/>
          <w:b w:val="0"/>
          <w:i w:val="0"/>
          <w:sz w:val="20"/>
        </w:rPr>
        <w:t>International law reparations follow the principle of restitutio in integrum — to make the victim whole. But how do human rights judges apply this principle in practice when the victims are not states, but people whose lives may have been irreparably damaged? We examine this question in the context of the Inter-American Court of Human Rights, where judges have frequently dealt with cases of forced disappearance, extrajudicial execution, and other severe physical integrity violations. Inter-American Court judges have substantial discretion in determining the value of awards, which provides the opportunity to create and apply their own criteria for justness. We argue that the awarding of damages is best understood as judges attempting to quantify, and, therefore, compensate suffering. However, judges must balance the goal of compensating suffering with economic and political considerations. We test these implications using an original dataset of monetary damages and victims in Inter-American Court of Human Rights cases through 2019 and find that the severity of rights violations, the number of victims involved in a case, and the identity of victims are associated with the value of monetary damages awarded by the IACtHR.</w:t>
      </w:r>
    </w:p>
    <w:p/>
    <w:p>
      <w:r>
        <w:rPr>
          <w:rFonts w:ascii="Times New Roman" w:hAnsi="Times New Roman" w:eastAsia="黑体"/>
          <w:b/>
          <w:i w:val="0"/>
          <w:sz w:val="24"/>
        </w:rPr>
        <w:t>高阶惩罚制度如何塑造合作与规范执行？</w:t>
      </w:r>
    </w:p>
    <w:p>
      <w:r>
        <w:rPr>
          <w:rFonts w:ascii="Times New Roman" w:hAnsi="Times New Roman" w:eastAsia="宋体"/>
          <w:b w:val="0"/>
          <w:i/>
          <w:color w:val="404040"/>
          <w:sz w:val="20"/>
        </w:rPr>
        <w:t>How do higher-order punishment institutions shape cooperation and norm-enforcement?</w:t>
      </w:r>
    </w:p>
    <w:p>
      <w:r>
        <w:rPr>
          <w:rFonts w:ascii="Times New Roman" w:hAnsi="Times New Roman" w:eastAsia="宋体"/>
          <w:b w:val="0"/>
          <w:i w:val="0"/>
          <w:color w:val="595959"/>
          <w:sz w:val="18"/>
        </w:rPr>
        <w:t>Jan Philipp Krügel；Nicola Maaser</w:t>
      </w:r>
    </w:p>
    <w:p>
      <w:r>
        <w:rPr>
          <w:rFonts w:ascii="Times New Roman" w:hAnsi="Times New Roman" w:eastAsia="宋体"/>
          <w:b w:val="0"/>
          <w:i w:val="0"/>
          <w:sz w:val="22"/>
        </w:rPr>
        <w:t>摘要：作者从理论与实验室实验两方面，探讨公共物品博弈中不同形式的高阶惩罚对第三方行为与合作水平的影响。这一研究可揭示规范如何影响受国际组织监督或受选举竞争约束的国家政府，以及这些规范随后如何对国内行为体（如企业）执行并被遵守。作者比较两种以程式化形式代表选举竞争和外部监督效应的主要处理组，并与缺乏额外规范执行层的对照组对比。两种高阶惩罚制度都比对照组提升了合作，但存在差异：由无关方评估第三方会加强惩罚并减少搭便车，而两名第三方候选人之间的竞争则导致更具策略性和选择性的惩罚。</w:t>
      </w:r>
    </w:p>
    <w:p>
      <w:r>
        <w:rPr>
          <w:rFonts w:ascii="Times New Roman" w:hAnsi="Times New Roman" w:eastAsia="宋体"/>
          <w:b w:val="0"/>
          <w:i w:val="0"/>
          <w:sz w:val="20"/>
        </w:rPr>
        <w:t>We explore, both theoretically and through a laboratory experiment, the impact of different forms of higher-order punishment on third-party behavior and cooperation levels within a public goods game. This investigation may shed light on how norms influence national governments, as monitored by international organizations or disciplined by electoral competition, and how these norms are subsequently enforced on and followed by domestic agents, e.g., businesses. Specifically, we compare two main treatments that represent the effects of competitive elections and external monitors in a stylized form. These treatments are contrasted with a control condition that lacks an additional layer of norm enforcement. While both higher-order punishment institutions enhance cooperation compared to the control, our findings reveal differences between the two scenarios: Evaluation of the third party by an uninvolved agent leads to heightened punishment and reduced free-riding, whereas competition between two third-party candidates results in more strategic and selective punitive actions.</w:t>
      </w:r>
    </w:p>
    <w:p/>
    <w:p>
      <w:r>
        <w:rPr>
          <w:rFonts w:ascii="Times New Roman" w:hAnsi="Times New Roman" w:eastAsia="黑体"/>
          <w:b/>
          <w:i w:val="0"/>
          <w:sz w:val="24"/>
        </w:rPr>
        <w:t>有可用的盟友进口选项吗？在与中国脱钩中寻找友好贸易伙伴</w:t>
      </w:r>
    </w:p>
    <w:p>
      <w:r>
        <w:rPr>
          <w:rFonts w:ascii="Times New Roman" w:hAnsi="Times New Roman" w:eastAsia="宋体"/>
          <w:b w:val="0"/>
          <w:i/>
          <w:color w:val="404040"/>
          <w:sz w:val="20"/>
        </w:rPr>
        <w:t>Allied import options available? Finding friendly trade partners amidst decoupling from China</w:t>
      </w:r>
    </w:p>
    <w:p>
      <w:r>
        <w:rPr>
          <w:rFonts w:ascii="Times New Roman" w:hAnsi="Times New Roman" w:eastAsia="宋体"/>
          <w:b w:val="0"/>
          <w:i w:val="0"/>
          <w:color w:val="595959"/>
          <w:sz w:val="18"/>
        </w:rPr>
        <w:t>Ayse Eldes；Jieun Lee；Iain Osgood</w:t>
      </w:r>
    </w:p>
    <w:p>
      <w:r>
        <w:rPr>
          <w:rFonts w:ascii="Times New Roman" w:hAnsi="Times New Roman" w:eastAsia="宋体"/>
          <w:b w:val="0"/>
          <w:i w:val="0"/>
          <w:sz w:val="22"/>
        </w:rPr>
        <w:t>摘要：中美贸易战以及中国经济、政治及与西方关系的更广泛变化，使依赖中国的企业成本与风险急剧上升。企业在什么条件下愿意且能够与中国脱钩？作者认为，只有在可行的替代采购与生产市场充足时脱钩才可能；在全球紧张加剧之际，地缘政治上结盟的市场尤具吸引力。作者以产品层面进口检验该理论，表明此前从多个市场采购的产品，其美国自华进口下降幅度更大；而缺乏替代市场的产品更常申请暂停贸易战关税。这两种效应完全由盟友与友好替代市场中的产品可得性驱动，凸显企业在全球经济重组时代的地缘政治考量。作者得出结论：脱钩空间因行业而差异巨大，且强烈取决于政治因素；广泛脱钩面临诸多障碍，需要构建联盟与国际经济秩序。</w:t>
      </w:r>
    </w:p>
    <w:p>
      <w:r>
        <w:rPr>
          <w:rFonts w:ascii="Times New Roman" w:hAnsi="Times New Roman" w:eastAsia="宋体"/>
          <w:b w:val="0"/>
          <w:i w:val="0"/>
          <w:sz w:val="20"/>
        </w:rPr>
        <w:t>The US-China trade war – and broader changes in China’s economy, politics, and relations with the West – have created sharp increases in cost and risk for firms dependent on China. Under what conditions are firms willing and able to decouple from China? We argue that decoupling is only possible where viable alternative markets for sourcing and production are abundant. Geopolitically-aligned markets are particularly appealing amidst rising global tensions. We test this theory looking at product-level imports and show that declines in US imports from China were much larger for products previously sourced from many markets. Requests for suspensions of trade war tariffs are much more common for products that lack alternative markets. Both of these effects are entirely driven by product availability in allied and friendly alternative markets, highlighting firms’ geopolitical concerns in an era of global economic reordering. We conclude that the scope for decoupling is highly variable across industries and depends strongly on political factors: broad decoupling faces many obstacles and will require building alliances and international economic order.</w:t>
      </w:r>
    </w:p>
    <w:p/>
    <w:p>
      <w:r>
        <w:rPr>
          <w:rFonts w:ascii="Times New Roman" w:hAnsi="Times New Roman" w:eastAsia="黑体"/>
          <w:b/>
          <w:i w:val="0"/>
          <w:sz w:val="24"/>
        </w:rPr>
        <w:t>对常设仲裁法院裁决的遵从</w:t>
      </w:r>
    </w:p>
    <w:p>
      <w:r>
        <w:rPr>
          <w:rFonts w:ascii="Times New Roman" w:hAnsi="Times New Roman" w:eastAsia="宋体"/>
          <w:b w:val="0"/>
          <w:i/>
          <w:color w:val="404040"/>
          <w:sz w:val="20"/>
        </w:rPr>
        <w:t>Compliance with decisions of the Permanent Court of Arbitration</w:t>
      </w:r>
    </w:p>
    <w:p>
      <w:r>
        <w:rPr>
          <w:rFonts w:ascii="Times New Roman" w:hAnsi="Times New Roman" w:eastAsia="宋体"/>
          <w:b w:val="0"/>
          <w:i w:val="0"/>
          <w:color w:val="595959"/>
          <w:sz w:val="18"/>
        </w:rPr>
        <w:t>Emilia Justyna Powell；Aníbal Pérez-Liñán</w:t>
      </w:r>
    </w:p>
    <w:p>
      <w:r>
        <w:rPr>
          <w:rFonts w:ascii="Times New Roman" w:hAnsi="Times New Roman" w:eastAsia="宋体"/>
          <w:b w:val="0"/>
          <w:i w:val="0"/>
          <w:sz w:val="22"/>
        </w:rPr>
        <w:t>摘要：国家是否愿意像对待其他国家那样履行对私人当事方的国际义务？作者分析1902—2020年常设仲裁法院主持下的仲裁裁决。常设仲裁法院最初是处理国家间争端的机构，在20世纪大部分时间处于休眠，并在21世纪作为投资者—国家仲裁的主要场所复兴。作者认为三个机制——同意的性质、当事方选择场所/塑造程序的能力、程序合法性——使国家在面对其他国家时更可能遵守国际义务。实证证据表明，即使政府可能履行对私人当事方的义务，面对其他国家时遵从也明显更快。</w:t>
      </w:r>
    </w:p>
    <w:p>
      <w:r>
        <w:rPr>
          <w:rFonts w:ascii="Times New Roman" w:hAnsi="Times New Roman" w:eastAsia="宋体"/>
          <w:b w:val="0"/>
          <w:i w:val="0"/>
          <w:sz w:val="20"/>
        </w:rPr>
        <w:t>Are states willing to honor their international obligations with private parties as much as they do with other states? We explore this question by analyzing arbitral awards administered under the auspices of the Permanent Court of Arbitration (PCA) between 1902 and 2020. The PCA began as an institution to address inter-state disputes, went dormant during much of the twentieth century, and resurged as a major forum for investor-state arbitrations in the twenty-first century. We argue that three mechanisms—the nature of consent, the parties’ ability to forum-shop/shape the procedures, and the legitimacy of proceedings—make states more likely to comply with international obligations when dealing with other states. The empirical evidence suggests that, even when governments are likely to honor obligations towards private parties, they comply significantly faster when dealing with other states.</w:t>
      </w:r>
    </w:p>
    <w:p/>
    <w:p>
      <w:r>
        <w:rPr>
          <w:rFonts w:ascii="Times New Roman" w:hAnsi="Times New Roman" w:eastAsia="黑体"/>
          <w:b/>
          <w:i w:val="0"/>
          <w:sz w:val="24"/>
        </w:rPr>
        <w:t>联合国大会决策：决议相关决定的综合数据库</w:t>
      </w:r>
    </w:p>
    <w:p>
      <w:r>
        <w:rPr>
          <w:rFonts w:ascii="Times New Roman" w:hAnsi="Times New Roman" w:eastAsia="宋体"/>
          <w:b w:val="0"/>
          <w:i/>
          <w:color w:val="404040"/>
          <w:sz w:val="20"/>
        </w:rPr>
        <w:t>Decision-making in the United Nations General Assembly: A comprehensive database of resolution-related decisions</w:t>
      </w:r>
    </w:p>
    <w:p>
      <w:r>
        <w:rPr>
          <w:rFonts w:ascii="Times New Roman" w:hAnsi="Times New Roman" w:eastAsia="宋体"/>
          <w:b w:val="0"/>
          <w:i w:val="0"/>
          <w:color w:val="595959"/>
          <w:sz w:val="18"/>
        </w:rPr>
        <w:t>Joshua Fjelstul；Simon Hug；Christopher Kilby</w:t>
      </w:r>
    </w:p>
    <w:p>
      <w:r>
        <w:rPr>
          <w:rFonts w:ascii="Times New Roman" w:hAnsi="Times New Roman" w:eastAsia="宋体"/>
          <w:b w:val="0"/>
          <w:i w:val="0"/>
          <w:sz w:val="22"/>
        </w:rPr>
        <w:t>摘要：现有联合国大会投票数据库对唱名表决通过决议的投票覆盖很好，但存在已知局限：联合国数字图书馆只涵盖通过决议的最终决定，不包括此前的决议相关决定或未通过决议的决定；Bailey、Strezhnev和Voeten广泛使用的数据库覆盖更广，但受其所依赖的历史数据集局限，投票覆盖和报告内容随时间变化。本文提出一个扩展并提升联大决定覆盖一致性的新数据集，将其与其他联大数据集比较，并探讨更完整数据对现有和未来研究的意义。</w:t>
      </w:r>
    </w:p>
    <w:p>
      <w:r>
        <w:rPr>
          <w:rFonts w:ascii="Times New Roman" w:hAnsi="Times New Roman" w:eastAsia="宋体"/>
          <w:b w:val="0"/>
          <w:i w:val="0"/>
          <w:sz w:val="20"/>
        </w:rPr>
        <w:t>Existing United Nations General Assembly (UNGA) voting databases provide excellent coverage of UNGA voting on resolutions adopted by roll-call vote. These databases, however, have known limitations: The United Nations Digital Library only covers final decisions on adopted resolutions, not prior resolution-related decisions nor decisions on failed resolutions. Coverage of roll-call votes in the widely-used database provided by Bailey, Strezhnev and Voeten is broader but reflects limitations in the historical datasets on which the database is built (e.g., the Inter-university Consortium for Political and Social Research dataset). As a result, voting coverage and what is reported vary over time. In this paper, we present a new dataset that expands and improves the consistency of the UNGA decisions covered. We provide comparisons of our database with other UNGA datasets and explore the implications of more complete data for existing and future research.</w:t>
      </w:r>
    </w:p>
    <w:p/>
    <w:p>
      <w:r>
        <w:rPr>
          <w:rFonts w:ascii="Times New Roman" w:hAnsi="Times New Roman" w:eastAsia="黑体"/>
          <w:b/>
          <w:i w:val="0"/>
          <w:sz w:val="24"/>
        </w:rPr>
        <w:t>卡拉马佐夫兄弟出国记：俄罗斯领导人出访数据集</w:t>
      </w:r>
    </w:p>
    <w:p>
      <w:r>
        <w:rPr>
          <w:rFonts w:ascii="Times New Roman" w:hAnsi="Times New Roman" w:eastAsia="宋体"/>
          <w:b w:val="0"/>
          <w:i/>
          <w:color w:val="404040"/>
          <w:sz w:val="20"/>
        </w:rPr>
        <w:t>The brothers Karamazov go abroad: A dataset of Russian leaders’ foreign visits</w:t>
      </w:r>
    </w:p>
    <w:p>
      <w:r>
        <w:rPr>
          <w:rFonts w:ascii="Times New Roman" w:hAnsi="Times New Roman" w:eastAsia="宋体"/>
          <w:b w:val="0"/>
          <w:i w:val="0"/>
          <w:color w:val="595959"/>
          <w:sz w:val="18"/>
        </w:rPr>
        <w:t>Bulent Aras；Burcu Fazlioglu</w:t>
      </w:r>
    </w:p>
    <w:p>
      <w:r>
        <w:rPr>
          <w:rFonts w:ascii="Times New Roman" w:hAnsi="Times New Roman" w:eastAsia="宋体"/>
          <w:b w:val="0"/>
          <w:i w:val="0"/>
          <w:sz w:val="22"/>
        </w:rPr>
        <w:t>摘要：本研究介绍“俄罗斯出访数据集”，记录1991—2023年俄罗斯总统、总理和外长对外国的高层访问。概率回归分析显示，政治、经济和军事等战略利益主要塑造俄罗斯领导人出访分布，国内因素作用有限。分析还强调国际组织尤其是欧亚经济联盟是俄罗斯国事访问的重要驱动因素。结果表明不同领导人的先前访问影响后续访问，显示俄罗斯外交具有协调与顺序性。</w:t>
      </w:r>
    </w:p>
    <w:p>
      <w:r>
        <w:rPr>
          <w:rFonts w:ascii="Times New Roman" w:hAnsi="Times New Roman" w:eastAsia="宋体"/>
          <w:b w:val="0"/>
          <w:i w:val="0"/>
          <w:sz w:val="20"/>
        </w:rPr>
        <w:t>This study presents the “Russia Visits Dataset,” which records high-level visits by Russian leaders to foreign countries from 1991 to 2023, including official trips by presidents, prime ministers, and foreign ministers. Using probit regression analysis, the study reveals that strategic interests—such as political, economic, and military factors—predominantly shape the distribution of Russian leader visits, while domestic influences are found to have a limited role. The analysis also emphasizes the importance of international organizations, particularly the Eurasian Economic Union (EEU), as a key driver of Russian state visits. The results suggest that previous visits by different leaders influence subsequent visits, indicating a coordinated and sequential approach to Russian diplomacy. The “Russia Visits Dataset” serves as a valuable resource for understanding the dynamics of Russian foreign policy and provides a foundation for future research into the motivations, impacts, and diplomatic strategies of Russian leader visits.</w:t>
      </w:r>
    </w:p>
    <w:p/>
    <w:p>
      <w:r>
        <w:rPr>
          <w:rFonts w:ascii="Times New Roman" w:hAnsi="Times New Roman" w:eastAsia="宋体"/>
          <w:b/>
          <w:i w:val="0"/>
          <w:sz w:val="22"/>
        </w:rPr>
        <w:t>RIO： Vol. 21, No. 1, 2026</w:t>
      </w:r>
    </w:p>
    <w:p/>
    <w:p>
      <w:r>
        <w:rPr>
          <w:rFonts w:ascii="Times New Roman" w:hAnsi="Times New Roman" w:eastAsia="黑体"/>
          <w:b/>
          <w:i w:val="0"/>
          <w:sz w:val="24"/>
        </w:rPr>
        <w:t>国内政治与国际组织</w:t>
      </w:r>
    </w:p>
    <w:p>
      <w:r>
        <w:rPr>
          <w:rFonts w:ascii="Times New Roman" w:hAnsi="Times New Roman" w:eastAsia="宋体"/>
          <w:b w:val="0"/>
          <w:i/>
          <w:color w:val="404040"/>
          <w:sz w:val="20"/>
        </w:rPr>
        <w:t>Domestic politics and international organizations</w:t>
      </w:r>
    </w:p>
    <w:p>
      <w:r>
        <w:rPr>
          <w:rFonts w:ascii="Times New Roman" w:hAnsi="Times New Roman" w:eastAsia="宋体"/>
          <w:b w:val="0"/>
          <w:i w:val="0"/>
          <w:color w:val="595959"/>
          <w:sz w:val="18"/>
        </w:rPr>
        <w:t>T. Renee Bowen；J. Lawrence Broz；Christina J. Schneider</w:t>
      </w:r>
    </w:p>
    <w:p>
      <w:r>
        <w:rPr>
          <w:rFonts w:ascii="Times New Roman" w:hAnsi="Times New Roman" w:eastAsia="宋体"/>
          <w:b w:val="0"/>
          <w:i w:val="0"/>
          <w:sz w:val="22"/>
        </w:rPr>
        <w:t>摘要：本特刊导言回顾国际组织国内政治的现有文献，将其置于统一的理论框架中。作者强调国内力量在国际组织研究中的核心作用：个人偏好如何通过国内政治制度传导，并最终影响政府对国际组织及在国际组织内的外交政策决定。这些力量可归纳为公民之间选择分配给全球公民的福利权重的博弈，作者称之为“公民国际组织博弈”。在该框架下讨论本期文章与以往研究，可为国内宪制、政治、资源分配与国际组织成员资格及政策的交叉提供新见解。作者以贸易政策为例说明该框架，表明在主权被优先考虑时，全球外部性永远无法通过国际组织完全内部化。</w:t>
      </w:r>
    </w:p>
    <w:p>
      <w:r>
        <w:rPr>
          <w:rFonts w:ascii="Times New Roman" w:hAnsi="Times New Roman" w:eastAsia="宋体"/>
          <w:b w:val="0"/>
          <w:i w:val="0"/>
          <w:sz w:val="20"/>
        </w:rPr>
        <w:t>This introduction to the Special Issue reviews the existing literature on the domestic politics of international organizations (IOs), presenting them within a unified theoretical framework. We emphasize the central role of domestic forces in the study of IOs: how individual preferences are channeled through domestic political institutions, and ultimately inform a government’s foreign policy decisions toward and within IOs. We show that these forces can be distilled into a game between citizens in which they select welfare weights to be assigned to citizens across the globe. We refer to this as the Citizens’ IO Game. The contributions in this Special Issue and previous studies are discussed in the framework of the Citizens’ IO Game, which offers fresh insights into the intersection of domestic constitutions, politics, resource distribution, and IO membership and policy. We construct a specific application to trade policy to further clarify the role of the framework. Using this example, we show that global externalities can never be fully internalized through IOs when sovereignty is prioritized. We conclude by suggesting directions for future research on the domestic politics of IOs.</w:t>
      </w:r>
    </w:p>
    <w:p/>
    <w:p>
      <w:r>
        <w:rPr>
          <w:rFonts w:ascii="Times New Roman" w:hAnsi="Times New Roman" w:eastAsia="黑体"/>
          <w:b/>
          <w:i w:val="0"/>
          <w:sz w:val="24"/>
        </w:rPr>
        <w:t>国家议会辩论中的国际组织</w:t>
      </w:r>
    </w:p>
    <w:p>
      <w:r>
        <w:rPr>
          <w:rFonts w:ascii="Times New Roman" w:hAnsi="Times New Roman" w:eastAsia="宋体"/>
          <w:b w:val="0"/>
          <w:i/>
          <w:color w:val="404040"/>
          <w:sz w:val="20"/>
        </w:rPr>
        <w:t>International organizations in national parliamentary debates</w:t>
      </w:r>
    </w:p>
    <w:p>
      <w:r>
        <w:rPr>
          <w:rFonts w:ascii="Times New Roman" w:hAnsi="Times New Roman" w:eastAsia="宋体"/>
          <w:b w:val="0"/>
          <w:i w:val="0"/>
          <w:color w:val="595959"/>
          <w:sz w:val="18"/>
        </w:rPr>
        <w:t>Tom Hunter；Stefanie Walter</w:t>
      </w:r>
    </w:p>
    <w:p>
      <w:r>
        <w:rPr>
          <w:rFonts w:ascii="Times New Roman" w:hAnsi="Times New Roman" w:eastAsia="宋体"/>
          <w:b w:val="0"/>
          <w:i w:val="0"/>
          <w:sz w:val="22"/>
        </w:rPr>
        <w:t>摘要：本数据文章介绍IOParlspeech，一个涵盖1990—2018年六国议会辩论中关于国际组织的60多万条陈述的原创数据集。作者解释数据集构建过程，并通过两项探索性研究展示其价值：第一，考察哪些行为体在议会话语中对国际组织表达更积极或更消极的情感，发现激进右翼与左翼议员以及反对党议员在涉及国际组织的沟通中使用更消极语言；第二，探讨国际组织在国家议会中的显著性，发现权威更高、拥有国际议会机构的国际组织更可能在议会中被讨论。</w:t>
      </w:r>
    </w:p>
    <w:p>
      <w:r>
        <w:rPr>
          <w:rFonts w:ascii="Times New Roman" w:hAnsi="Times New Roman" w:eastAsia="宋体"/>
          <w:b w:val="0"/>
          <w:i w:val="0"/>
          <w:sz w:val="20"/>
        </w:rPr>
        <w:t>This data article introduces IOParlspeech, an original dataset of over 600,000 statements on international organizations (IOs) in parliamentary debates in six countries between 1990 and 2018. We explain the creation of the dataset and demonstrate the value of IOParlspeech through two exploratory studies. First, we examine which actors convey more positive and more negative sentiment regarding IOs in parliamentary discourse. Contributing to research on IO contestation, we demonstrate that parliamentarians from the radical right and left, as well as parliamentarians in opposition, use more negative language in their IO-related communication. Second, we explore the salience of IOs in national parliaments. Speaking to debates about the democratic deficit of IOs, we show that IOs with higher authority and those with an international parliamentary institution are more likely to be discussed in parliament. We conclude by suggesting further uses for IOParlspeech.</w:t>
      </w:r>
    </w:p>
    <w:p/>
    <w:p>
      <w:r>
        <w:rPr>
          <w:rFonts w:ascii="Times New Roman" w:hAnsi="Times New Roman" w:eastAsia="黑体"/>
          <w:b/>
          <w:i w:val="0"/>
          <w:sz w:val="24"/>
        </w:rPr>
        <w:t>世界主义认同、权威与国际组织的国内支持</w:t>
      </w:r>
    </w:p>
    <w:p>
      <w:r>
        <w:rPr>
          <w:rFonts w:ascii="Times New Roman" w:hAnsi="Times New Roman" w:eastAsia="宋体"/>
          <w:b w:val="0"/>
          <w:i/>
          <w:color w:val="404040"/>
          <w:sz w:val="20"/>
        </w:rPr>
        <w:t>Cosmopolitan identity, authority, and domestic support of international organizations</w:t>
      </w:r>
    </w:p>
    <w:p>
      <w:r>
        <w:rPr>
          <w:rFonts w:ascii="Times New Roman" w:hAnsi="Times New Roman" w:eastAsia="宋体"/>
          <w:b w:val="0"/>
          <w:i w:val="0"/>
          <w:color w:val="595959"/>
          <w:sz w:val="18"/>
        </w:rPr>
        <w:t>Bernd Schlipphak；Constantin Schäfer；Oliver Treib</w:t>
      </w:r>
    </w:p>
    <w:p>
      <w:r>
        <w:rPr>
          <w:rFonts w:ascii="Times New Roman" w:hAnsi="Times New Roman" w:eastAsia="宋体"/>
          <w:b w:val="0"/>
          <w:i w:val="0"/>
          <w:sz w:val="22"/>
        </w:rPr>
        <w:t>摘要：国际组织的制度设计如何影响其国内支持？作者聚焦公民社会身份与可能使公民对国际组织态度极化的制度特征之间的互动，认为公民的世界主义认同使其对国际组织权威维度的设置作出截然相反的反应：向国际组织转移更多权威可能使世界主义认同较高的公民更支持，而使认同较低者更加怀疑。作者在六国开展因子调查实验检验预期，结果支持论点。由于世界主义认同与围绕国际合作与全球治理新兴的国内分野紧密相关，国际组织权威设置的改革可能进一步加剧国内对国际组织态度的极化。</w:t>
      </w:r>
    </w:p>
    <w:p>
      <w:r>
        <w:rPr>
          <w:rFonts w:ascii="Times New Roman" w:hAnsi="Times New Roman" w:eastAsia="宋体"/>
          <w:b w:val="0"/>
          <w:i w:val="0"/>
          <w:sz w:val="20"/>
        </w:rPr>
        <w:t>What effect does the institutional design of international organizations (IOs) have on their domestic support? In this article, we focus on interactions between citizens’ social identity and institutional characteristics that may have the potential to polarize citizens’ IO attitudes. We argue that citizens’ cosmopolitan identity makes them react in diametrically opposed ways to IO settings on the authority dimension. Transferring more authority to an IO may make citizens with higher levels of cosmopolitan identity more supportive of the IO, while citizens with lower levels of cosmopolitan identity should become even more skeptical. We test our expectations by conducting a factorial survey experiment in six different countries. The empirical results support our argument. As cosmopolitan identity is strongly connected to the newly evolving domestic cleavage regarding international cooperation and global governance, reforms to IO authority settings thus have the potential to further increase the polarization of domestic attitudes toward IOs.</w:t>
      </w:r>
    </w:p>
    <w:p/>
    <w:p>
      <w:r>
        <w:rPr>
          <w:rFonts w:ascii="Times New Roman" w:hAnsi="Times New Roman" w:eastAsia="黑体"/>
          <w:b/>
          <w:i w:val="0"/>
          <w:sz w:val="24"/>
        </w:rPr>
        <w:t>为何和解？投资者—国家争端结果的党派解释</w:t>
      </w:r>
    </w:p>
    <w:p>
      <w:r>
        <w:rPr>
          <w:rFonts w:ascii="Times New Roman" w:hAnsi="Times New Roman" w:eastAsia="宋体"/>
          <w:b w:val="0"/>
          <w:i/>
          <w:color w:val="404040"/>
          <w:sz w:val="20"/>
        </w:rPr>
        <w:t>Why settle?: Partisan-based explanation of investor-state dispute outcomes</w:t>
      </w:r>
    </w:p>
    <w:p>
      <w:r>
        <w:rPr>
          <w:rFonts w:ascii="Times New Roman" w:hAnsi="Times New Roman" w:eastAsia="宋体"/>
          <w:b w:val="0"/>
          <w:i w:val="0"/>
          <w:color w:val="595959"/>
          <w:sz w:val="18"/>
        </w:rPr>
        <w:t>Haillie Na-Kyung Lee；Jong Hyun Lee</w:t>
      </w:r>
    </w:p>
    <w:p>
      <w:r>
        <w:rPr>
          <w:rFonts w:ascii="Times New Roman" w:hAnsi="Times New Roman" w:eastAsia="宋体"/>
          <w:b w:val="0"/>
          <w:i w:val="0"/>
          <w:sz w:val="22"/>
        </w:rPr>
        <w:t>摘要：本文试图解释为何民主国家中一些投资者—国家争端在进入裁决阶段前和解，聚焦由东道国政府监管变化引发的争端。论点基于被申请国的国内政治，特别是执政党的党派倾向：面对监管类投资者索赔，被申请国政府需在保护国内社会福利与促进投资之间权衡。右倾政府更可能和解，因为它们更愿作出监管让步以安抚外国投资者和吸引投资；左倾政府则偏好仲裁裁决而非和解，视和解为以公共福利为代价向外国投资者屈服。利用1994—2020年涉及民主东道国的335起投资者—国家争端原创数据，作者找到支持证据，并以加拿大TC能源公司诉美国案及阿根廷2002年紧急措施引发的争端提供定性证据。</w:t>
      </w:r>
    </w:p>
    <w:p>
      <w:r>
        <w:rPr>
          <w:rFonts w:ascii="Times New Roman" w:hAnsi="Times New Roman" w:eastAsia="宋体"/>
          <w:b w:val="0"/>
          <w:i w:val="0"/>
          <w:sz w:val="20"/>
        </w:rPr>
        <w:t>This paper seeks to explain why some investor-state dispute cases are settled before reaching the ruling stage in democracies, focusing on disputes triggered by regulatory changes made by host government. Our argument is grounded in the domestic politics of the respondent country, specifically the partisan orientation of the incumbent government. When faced with regulatory investor claims, respondent governments must balance protecting domestic social welfare with promoting investment. Our theory is that right-leaning governments are more likely to settle because they are more willing to make regulatory concessions to appease foreign investors and attract investment. In contrast, left-leaning governments prefer arbitral rulings over settlements, as they view settlements as a capitulation to foreign investors’ demands at the expense of public welfare. Using original data from 335 investor-state disputes involving democratic host countries between 1994 and 2020, we find support for this claim. Moreover, we provide qualitative evidence from the investor-state dispute between TC Energy Corporation, a Canadian energy company, and the United States, as well as the investor-state disputes triggered by Argentina’s 2002 emergency measures, to confirm our hypothesized causal pathway linking government partisanship to the likelihood of settlement.</w:t>
      </w:r>
    </w:p>
    <w:p/>
    <w:p>
      <w:r>
        <w:rPr>
          <w:rFonts w:ascii="Times New Roman" w:hAnsi="Times New Roman" w:eastAsia="黑体"/>
          <w:b/>
          <w:i w:val="0"/>
          <w:sz w:val="24"/>
        </w:rPr>
        <w:t>超越投资流量：产权认知如何驱动国际投资协定的影响</w:t>
      </w:r>
    </w:p>
    <w:p>
      <w:r>
        <w:rPr>
          <w:rFonts w:ascii="Times New Roman" w:hAnsi="Times New Roman" w:eastAsia="宋体"/>
          <w:b w:val="0"/>
          <w:i/>
          <w:color w:val="404040"/>
          <w:sz w:val="20"/>
        </w:rPr>
        <w:t>Beyond investment flows: How perceptions of property rights drive the impact of IIAs</w:t>
      </w:r>
    </w:p>
    <w:p>
      <w:r>
        <w:rPr>
          <w:rFonts w:ascii="Times New Roman" w:hAnsi="Times New Roman" w:eastAsia="宋体"/>
          <w:b w:val="0"/>
          <w:i w:val="0"/>
          <w:color w:val="595959"/>
          <w:sz w:val="18"/>
        </w:rPr>
        <w:t>Jennifer L. Tobin</w:t>
      </w:r>
    </w:p>
    <w:p>
      <w:r>
        <w:rPr>
          <w:rFonts w:ascii="Times New Roman" w:hAnsi="Times New Roman" w:eastAsia="宋体"/>
          <w:b w:val="0"/>
          <w:i w:val="0"/>
          <w:sz w:val="22"/>
        </w:rPr>
        <w:t>摘要：大量研究考察国际投资协定对外国直接投资的影响。双边投资协定、自由贸易协定的投资章节以及投资者—国家合同是最广泛使用的政策工具，旨在通过为外国投资者提供法律保护吸引投资。现有研究评估其对FDI流量的影响，但鲜有研究直接考察国际投资协定是否改善外国投资者对东道国产权执行的认知——这被假定为这些协定发挥作用的主要机制。本文利用世界商业环境调查中54国36000多家企业的企业层面数据，表明国际投资协定与外国投资者对产权执行更强的信心相关。</w:t>
      </w:r>
    </w:p>
    <w:p>
      <w:r>
        <w:rPr>
          <w:rFonts w:ascii="Times New Roman" w:hAnsi="Times New Roman" w:eastAsia="宋体"/>
          <w:b w:val="0"/>
          <w:i w:val="0"/>
          <w:sz w:val="20"/>
        </w:rPr>
        <w:t>A vast body of research examines the impact of international investment agreements (IIAs) on foreign direct investment (FDI). Bilateral Investment Treaties (BITs), the investment chapters of free trade agreements, and investor-state contracts are among the most widely used policy instruments intended to attract investment by providing legal protections for foreign investors. While existing studies assess their influence on FDI flows, little research directly examines whether IIAs improve foreign investors’ perceptions of property rights enforcement in host countries—the primary mechanism through which these agreements are assumed to function. This manuscript addresses this gap by providing empirical evidence on the relationship between IIAs and foreign investors’ perceptions of property rights. Using firm-level data from the World Business Environment Survey, which includes over 36,000 firms across 54 countries, the study demonstrates that IIAs are associated with greater foreign investor confidence in property rights enforcement. By directly measuring investor perceptions rather than inferring them from aggregate investment trends, this analysis offers new insight into how IIAs function in practice and their role in shaping investment environments in developing economies.</w:t>
      </w:r>
    </w:p>
    <w:p/>
    <w:p>
      <w:r>
        <w:rPr>
          <w:rFonts w:ascii="Times New Roman" w:hAnsi="Times New Roman" w:eastAsia="黑体"/>
          <w:b/>
          <w:i w:val="0"/>
          <w:sz w:val="24"/>
        </w:rPr>
        <w:t>贸易条件性有多有效？普惠制中的经济胁迫</w:t>
      </w:r>
    </w:p>
    <w:p>
      <w:r>
        <w:rPr>
          <w:rFonts w:ascii="Times New Roman" w:hAnsi="Times New Roman" w:eastAsia="宋体"/>
          <w:b w:val="0"/>
          <w:i/>
          <w:color w:val="404040"/>
          <w:sz w:val="20"/>
        </w:rPr>
        <w:t>How effective is trade conditionality? Economic coercion in the Generalized System of Preferences</w:t>
      </w:r>
    </w:p>
    <w:p>
      <w:r>
        <w:rPr>
          <w:rFonts w:ascii="Times New Roman" w:hAnsi="Times New Roman" w:eastAsia="宋体"/>
          <w:b w:val="0"/>
          <w:i w:val="0"/>
          <w:color w:val="595959"/>
          <w:sz w:val="18"/>
        </w:rPr>
        <w:t>Michael-David Mangini</w:t>
      </w:r>
    </w:p>
    <w:p>
      <w:r>
        <w:rPr>
          <w:rFonts w:ascii="Times New Roman" w:hAnsi="Times New Roman" w:eastAsia="宋体"/>
          <w:b w:val="0"/>
          <w:i w:val="0"/>
          <w:sz w:val="22"/>
        </w:rPr>
        <w:t>摘要：国家通常在有某种违规行为后才受到经济胁迫威胁。学界已关注制裁实施中的策略性选择（制裁只在威胁未能促成遵从后才实施），但选择也发生在威胁阶段。经济胁迫的可能性是否促使国家在被直接威胁前就规矩行事？本文有两点贡献：第一，提出理论表明不同类型威胁的互动可改变经济胁迫的战略情境，可能逆转实证分析结果——当制裁有效性未知或不遵约者身份难以预测时，国家更可能发出针对一组国家行为的一般性威胁；第二，利用准实验技术表明国家会通过调整政策积极管理失去贸易优惠项目准入的风险。研究表明经济联系的政治后果可能比以往认为的更广泛。</w:t>
      </w:r>
    </w:p>
    <w:p>
      <w:r>
        <w:rPr>
          <w:rFonts w:ascii="Times New Roman" w:hAnsi="Times New Roman" w:eastAsia="宋体"/>
          <w:b w:val="0"/>
          <w:i w:val="0"/>
          <w:sz w:val="20"/>
        </w:rPr>
        <w:t>States often receive threats of economic coercion only after committing some transgression. While attention has been given to strategic selection in the imposition of sanctions – the notion that sanctions are imposed only after the threat of sanctions has failed to elicit compliance – selection also occurs at the threat stage. Does the possibility of economic coercion incentivize states to stay in line before they are directly threatened? This article makes two contributions. First, it presents a theory showing how the interaction between different types of threats can alter the strategic context of economic coercion in ways that potentially reverse the results of empirical analysis. It explains that states are likely to issue general threats, or threats targeting the behavior of a group of countries, when sanctions effectiveness is unknown or the identity of noncompliers is difficult to predict. Second, using quasi-experimental techniques, this article demonstrates that states actively manage the risk of losing access to a trade preference program by altering their policies. The article indicates the political consequences of economic linkages may be more extensive than previously believed.</w:t>
      </w:r>
    </w:p>
    <w:p/>
    <w:p>
      <w:r>
        <w:rPr>
          <w:rFonts w:ascii="Times New Roman" w:hAnsi="Times New Roman" w:eastAsia="黑体"/>
          <w:b/>
          <w:i w:val="0"/>
          <w:sz w:val="24"/>
        </w:rPr>
        <w:t>联合国条约机构中的点名羞辱：个人申诉对人权的影响</w:t>
      </w:r>
    </w:p>
    <w:p>
      <w:r>
        <w:rPr>
          <w:rFonts w:ascii="Times New Roman" w:hAnsi="Times New Roman" w:eastAsia="宋体"/>
          <w:b w:val="0"/>
          <w:i/>
          <w:color w:val="404040"/>
          <w:sz w:val="20"/>
        </w:rPr>
        <w:t>Naming and shaming in UN treaty bodies: Individual petitions’ effect on human rights</w:t>
      </w:r>
    </w:p>
    <w:p>
      <w:r>
        <w:rPr>
          <w:rFonts w:ascii="Times New Roman" w:hAnsi="Times New Roman" w:eastAsia="宋体"/>
          <w:b w:val="0"/>
          <w:i w:val="0"/>
          <w:color w:val="595959"/>
          <w:sz w:val="18"/>
        </w:rPr>
        <w:t>Rachel J. Schoner</w:t>
      </w:r>
    </w:p>
    <w:p>
      <w:r>
        <w:rPr>
          <w:rFonts w:ascii="Times New Roman" w:hAnsi="Times New Roman" w:eastAsia="宋体"/>
          <w:b w:val="0"/>
          <w:i w:val="0"/>
          <w:sz w:val="22"/>
        </w:rPr>
        <w:t>摘要：个人参与国际法律机构能否影响国家行为？现有文献多认为国际法在最需要它的国家影响有限，尤其在缺乏执行机制时。本文聚焦压制性政权，分析人权侵害受害者向联合国人权条约机构提交的申诉。作为一种点名羞辱，作者认为违约决定——监督机构确认条约违约——在公民社会组织公开这些决定时可能改善人权。利用新数据集，作者发现政府在违约决定后立即改善对涉及身体伤害的最严重侵害的尊重；这些短暂效应由公民社会行为体作为代理人的申诉驱动。</w:t>
      </w:r>
    </w:p>
    <w:p>
      <w:r>
        <w:rPr>
          <w:rFonts w:ascii="Times New Roman" w:hAnsi="Times New Roman" w:eastAsia="宋体"/>
          <w:b w:val="0"/>
          <w:i w:val="0"/>
          <w:sz w:val="20"/>
        </w:rPr>
        <w:t>Can individual participation in international legal institutions affect state behavior? Much of the existing literature believes that international law has a limited effect in the countries where it’s needed the most, especially in the absence of enforcement mechanisms. Focused on repressive regimes, this paper analyzes petitions (complaints) filed by victims of human rights abuse in United Nations human rights treaty bodies. As a form of naming and shaming, I theorize that violation decisions– in which a monitoring body confirms a treaty violation– may improve human rights when paired with civil society organizations that publicize the decisions. Leveraging a new dataset, I find that governments improve respect for the most severe abuses involving bodily harm immediately after violation decisions. In support of the theory, these short-lived effects are driven by petitions where civil society actors are listed as representation. This work improves our understanding of the role of non-state actors in global politics and compliance with international institutions. International organizations can, under certain conditions, provide information on non-compliance that sufficiently pressures governments to change domestic practices and decrease repression.</w:t>
      </w:r>
    </w:p>
    <w:p/>
    <w:p>
      <w:r>
        <w:rPr>
          <w:rFonts w:ascii="Times New Roman" w:hAnsi="Times New Roman" w:eastAsia="黑体"/>
          <w:b/>
          <w:i w:val="0"/>
          <w:sz w:val="24"/>
        </w:rPr>
        <w:t>全球价值链与贸易协定设计</w:t>
      </w:r>
    </w:p>
    <w:p>
      <w:r>
        <w:rPr>
          <w:rFonts w:ascii="Times New Roman" w:hAnsi="Times New Roman" w:eastAsia="宋体"/>
          <w:b w:val="0"/>
          <w:i/>
          <w:color w:val="404040"/>
          <w:sz w:val="20"/>
        </w:rPr>
        <w:t>Global value chains and the design of trade agreements</w:t>
      </w:r>
    </w:p>
    <w:p>
      <w:r>
        <w:rPr>
          <w:rFonts w:ascii="Times New Roman" w:hAnsi="Times New Roman" w:eastAsia="宋体"/>
          <w:b w:val="0"/>
          <w:i w:val="0"/>
          <w:color w:val="595959"/>
          <w:sz w:val="18"/>
        </w:rPr>
        <w:t>Arianna Bondi；Leonardo Baccini；Matteo Fiorini；Bernard Hoekman；Carlo Altomonte；Italo Colantone</w:t>
      </w:r>
    </w:p>
    <w:p>
      <w:r>
        <w:rPr>
          <w:rFonts w:ascii="Times New Roman" w:hAnsi="Times New Roman" w:eastAsia="宋体"/>
          <w:b w:val="0"/>
          <w:i w:val="0"/>
          <w:sz w:val="22"/>
        </w:rPr>
        <w:t>摘要：作者探讨全球价值链在优惠贸易协定设计中的作用，提出聚焦参与全球价值链活动企业的理论，以识别推动深度贸易一体化的主要行为体。为应对全球价值链贸易流对贸易政策的内生性，识别策略利用一项运输冲击：集装箱船最大尺寸在1995—2017年间增长了三倍多，且只有深水港能容纳这些新型大船。借助这一工具变量，作者发现全球价值链贸易提高了形成同时规范贸易相关政策与国内监管体制的深度优惠贸易协定的概率。全球价值链贸易是深度优惠贸易自由化的驱动力。</w:t>
      </w:r>
    </w:p>
    <w:p>
      <w:r>
        <w:rPr>
          <w:rFonts w:ascii="Times New Roman" w:hAnsi="Times New Roman" w:eastAsia="宋体"/>
          <w:b w:val="0"/>
          <w:i w:val="0"/>
          <w:sz w:val="20"/>
        </w:rPr>
        <w:t>We explore the role of global value chains (GVCs) in the design of preferential trade agreements (PTAs). We propose a theory that focuses on firms involved in GVC activities to identify the main actors pushing for deep trade integration. To address the critical issue of endogeneity of GVC trade flows for trade policy, our identification strategy exploits a transportation shock: the sharp increase in the maximum size of container ships, which more than quadrupled between 1995 and 2017. The key variation in our instrument hinges on the fact that only deep-water ports can accommodate these new larger ships. Armed with this instrument, we find that GVC trade increases the probability of forming deep PTAs that include provisions regulating both trade-related policies and domestic regulatory regimes. GVC trade is a driver of deep preferential trade liberalization.</w:t>
      </w:r>
    </w:p>
    <w:p/>
    <w:p>
      <w:r>
        <w:rPr>
          <w:rFonts w:ascii="Times New Roman" w:hAnsi="Times New Roman" w:eastAsia="宋体"/>
          <w:b/>
          <w:i w:val="0"/>
          <w:sz w:val="22"/>
        </w:rPr>
        <w:t>RIO： Vol. 20, No. 4, 2025</w:t>
      </w:r>
    </w:p>
    <w:p/>
    <w:p>
      <w:r>
        <w:rPr>
          <w:rFonts w:ascii="Times New Roman" w:hAnsi="Times New Roman" w:eastAsia="黑体"/>
          <w:b/>
          <w:i w:val="0"/>
          <w:sz w:val="24"/>
        </w:rPr>
        <w:t>国际地位的可能与局限：来自对外援助与公众舆论的证据</w:t>
      </w:r>
    </w:p>
    <w:p>
      <w:r>
        <w:rPr>
          <w:rFonts w:ascii="Times New Roman" w:hAnsi="Times New Roman" w:eastAsia="宋体"/>
          <w:b w:val="0"/>
          <w:i/>
          <w:color w:val="404040"/>
          <w:sz w:val="20"/>
        </w:rPr>
        <w:t>The possibilities and limits of international status: Evidence from foreign aid and public opinion</w:t>
      </w:r>
    </w:p>
    <w:p>
      <w:r>
        <w:rPr>
          <w:rFonts w:ascii="Times New Roman" w:hAnsi="Times New Roman" w:eastAsia="宋体"/>
          <w:b w:val="0"/>
          <w:i w:val="0"/>
          <w:color w:val="595959"/>
          <w:sz w:val="18"/>
        </w:rPr>
        <w:t>Lauren Ferry；Cleo O’Brien-Udry</w:t>
      </w:r>
    </w:p>
    <w:p>
      <w:r>
        <w:rPr>
          <w:rFonts w:ascii="Times New Roman" w:hAnsi="Times New Roman" w:eastAsia="宋体"/>
          <w:b w:val="0"/>
          <w:i w:val="0"/>
          <w:sz w:val="22"/>
        </w:rPr>
        <w:t>摘要：国家利用象征性举动提升其国际地位，即在国际社会中的相对位置。但一国的地位追求行动如何影响他国地位？通常假设一国地位提升会通过比较导致他国地位相对下降。作者关注地位的社会属性，勾勒一国地位相对另一国变化（或不变）的多种理论路径：地位并非在真空中授予，地位改变活动的后果可能外溢至第三方。作者开展原创调查并再分析若干现有研究，以理解相对地位在对外援助案例中如何运作，揭示一国地位相对他国更新的新经验模式，并进一步考察谁更新认知、什么行动改变地位、地位为谁而变。结果表明提升地位的行动可能在同侪中成功提高地位，但最终无法改变全球等级。</w:t>
      </w:r>
    </w:p>
    <w:p>
      <w:r>
        <w:rPr>
          <w:rFonts w:ascii="Times New Roman" w:hAnsi="Times New Roman" w:eastAsia="宋体"/>
          <w:b w:val="0"/>
          <w:i w:val="0"/>
          <w:sz w:val="20"/>
        </w:rPr>
        <w:t>States use symbolic gestures to increase their international status, or relative po- sition, within the international community. But how do the status-seeking actions of one state affect the status of others? The common assumption is that improvements in one state’s status lead to the relative deterioration of other states’ status by compari- son. In this paper, we focus on status’ social qualities to delineate multiple theoretical pathways through which one state’s status can change – or not – relative to another. Status is not conferred in a vacuum and the consequences of status-altering activities may spill over to third parties. We field an original survey and reanalyze several exist- ing studies to understand how relative status operates in the case of foreign aid; these surveys reveal novel empirical patterns about the circumstances under which a state’s status will update relative to other states. We extend the analysis to examine who updates perceptions, what actions change status, and for whom status changes. Our findings suggest that status-enhancing actions may be successful at augmenting status amongst peers, but ultimately unsuccessful at changing global hierarchies.</w:t>
      </w:r>
    </w:p>
    <w:p/>
    <w:p>
      <w:r>
        <w:rPr>
          <w:rFonts w:ascii="Times New Roman" w:hAnsi="Times New Roman" w:eastAsia="黑体"/>
          <w:b/>
          <w:i w:val="0"/>
          <w:sz w:val="24"/>
        </w:rPr>
        <w:t>IMF项目的意外后果：被劳动力市场抛下的女性</w:t>
      </w:r>
    </w:p>
    <w:p>
      <w:r>
        <w:rPr>
          <w:rFonts w:ascii="Times New Roman" w:hAnsi="Times New Roman" w:eastAsia="宋体"/>
          <w:b w:val="0"/>
          <w:i/>
          <w:color w:val="404040"/>
          <w:sz w:val="20"/>
        </w:rPr>
        <w:t>The unintended consequences of IMF programs: Women left behind in the labor market</w:t>
      </w:r>
    </w:p>
    <w:p>
      <w:r>
        <w:rPr>
          <w:rFonts w:ascii="Times New Roman" w:hAnsi="Times New Roman" w:eastAsia="宋体"/>
          <w:b w:val="0"/>
          <w:i w:val="0"/>
          <w:color w:val="595959"/>
          <w:sz w:val="18"/>
        </w:rPr>
        <w:t>Andreas Kern；Bernhard Reinsberg；Claire Lee</w:t>
      </w:r>
    </w:p>
    <w:p>
      <w:r>
        <w:rPr>
          <w:rFonts w:ascii="Times New Roman" w:hAnsi="Times New Roman" w:eastAsia="宋体"/>
          <w:b w:val="0"/>
          <w:i w:val="0"/>
          <w:sz w:val="22"/>
        </w:rPr>
        <w:t>摘要：尽管社会在实现性别平等方面取得进展，女性在各方面仍处于不利地位。作者考察IMF紧缩与自由化政策压力如何影响发展中国家女性经济赋权。聚焦劳动力市场结果，作者预期IMF项目会扩大性别失业差距，且无论社会性别规范如何均成立，因为女性从事的工作不那么“抗危机”；而现行社会性别规范会不利地影响女性留在劳动力市场的能力，导致劳动参与率性别差距扩大。基于1992—2018年128个发展中国家的数据，作者证实了这些预期。</w:t>
      </w:r>
    </w:p>
    <w:p>
      <w:r>
        <w:rPr>
          <w:rFonts w:ascii="Times New Roman" w:hAnsi="Times New Roman" w:eastAsia="宋体"/>
          <w:b w:val="0"/>
          <w:i w:val="0"/>
          <w:sz w:val="20"/>
        </w:rPr>
        <w:t>Despite societal progress toward achieving gender equality, women remain disadvantaged across all walks of life. We examine how pressures by the International Monetary Fund (IMF) for austerity and liberalization policies affect women’s economic empowerment in developing countries. Focusing on labor market outcomes, we expect that IMF programs increase the gender unemployment gap. This effect will hold regardless of existing societal gender norms, reflecting that women work in less ‘crisis-proof’ jobs. In contrast, we believe that prevailing societal gender norms will adversely impact women’s ability to remain in the labor force, resulting in widening gender labor force participation gaps. Relying on a dataset covering 128 developing countries between 1992 and 2018, we confirm these expectations. Our findings underscore how, during economically turbulent times, policy demands of the Fund can amplify existing gender inequalities.</w:t>
      </w:r>
    </w:p>
    <w:p/>
    <w:p>
      <w:r>
        <w:rPr>
          <w:rFonts w:ascii="Times New Roman" w:hAnsi="Times New Roman" w:eastAsia="黑体"/>
          <w:b/>
          <w:i w:val="0"/>
          <w:sz w:val="24"/>
        </w:rPr>
        <w:t>外国跨国公司如何从收购具有政治经验的本土企业中获益</w:t>
      </w:r>
    </w:p>
    <w:p>
      <w:r>
        <w:rPr>
          <w:rFonts w:ascii="Times New Roman" w:hAnsi="Times New Roman" w:eastAsia="宋体"/>
          <w:b w:val="0"/>
          <w:i/>
          <w:color w:val="404040"/>
          <w:sz w:val="20"/>
        </w:rPr>
        <w:t>How foreign multinationals benefit from acquiring domestic firms with political experience</w:t>
      </w:r>
    </w:p>
    <w:p>
      <w:r>
        <w:rPr>
          <w:rFonts w:ascii="Times New Roman" w:hAnsi="Times New Roman" w:eastAsia="宋体"/>
          <w:b w:val="0"/>
          <w:i w:val="0"/>
          <w:color w:val="595959"/>
          <w:sz w:val="18"/>
        </w:rPr>
        <w:t>Jieun Lee</w:t>
      </w:r>
    </w:p>
    <w:p>
      <w:r>
        <w:rPr>
          <w:rFonts w:ascii="Times New Roman" w:hAnsi="Times New Roman" w:eastAsia="宋体"/>
          <w:b w:val="0"/>
          <w:i w:val="0"/>
          <w:sz w:val="22"/>
        </w:rPr>
        <w:t>摘要：外国跨国公司是否会利用其收购的本土企业的政治经验？若是，为何？我们对外国跨国公司如何在母国之外获取政治影响力知之甚少，而收购或合并政治活跃本土企业的外国跨国公司可能在进入首日就继承东道国及企业特有的政治影响机制。为验证这一观点，作者汇编1997—2018年在与活跃政治行动委员会关联或向美国政府报告游说的情况下完成并购的所有美国企业的新面板数据，表明并购后关联政治行动委员会和游说关系的存续率在新外国所有者企业中显著高于新美国所有者企业；新外资企业倾向维持甚至提高政治活动强度；跨境并购后游说重点更多转向贸易、知识产权、电信等外国跨国公司关心的领域。</w:t>
      </w:r>
    </w:p>
    <w:p>
      <w:r>
        <w:rPr>
          <w:rFonts w:ascii="Times New Roman" w:hAnsi="Times New Roman" w:eastAsia="宋体"/>
          <w:b w:val="0"/>
          <w:i w:val="0"/>
          <w:sz w:val="20"/>
        </w:rPr>
        <w:t>Do foreign multinational corporations (MNCs) utilize the political experience of domestic firms that they have acquired? If so, why? Little is known about the ways in which foreign MNCs gain political influence outside their home countries. And yet, foreign MNCs that acquire or merge with politically active domestic firms may inherit host country- and firm-specific political influence mechanisms on day-one of entry. To test this idea, I assemble novel panel datasets of all American firms that completed mergers and acquisitions (M &amp;A) while connected to an active Political Action Committee (PAC) or reported to lobby the U.S. government between 1997 and 2018. With these data, I show that the survival rates of connected PACs and lobbying relationships post-M &amp;A are significantly higher for firms with a new foreign owner, compared with those with a new American owner. In addition, newly foreign-owned firms tend to maintain – or even increase – the intensity of political activities post-M &amp;A. Finally, following cross-border M &amp;A, I observe a greater lobbying emphasis on issue areas of interest to foreign MNCs such as trade, intellectual property rights, and telecommunications. One implication of this study is that MNCs may gain political leverage in other countries by acquiring politically active domestic firms.</w:t>
      </w:r>
    </w:p>
    <w:p/>
    <w:p>
      <w:r>
        <w:rPr>
          <w:rFonts w:ascii="Times New Roman" w:hAnsi="Times New Roman" w:eastAsia="黑体"/>
          <w:b/>
          <w:i w:val="0"/>
          <w:sz w:val="24"/>
        </w:rPr>
        <w:t>西方更少：国际组织的有形性及其在全球的媒体能见度</w:t>
      </w:r>
    </w:p>
    <w:p>
      <w:r>
        <w:rPr>
          <w:rFonts w:ascii="Times New Roman" w:hAnsi="Times New Roman" w:eastAsia="宋体"/>
          <w:b w:val="0"/>
          <w:i/>
          <w:color w:val="404040"/>
          <w:sz w:val="20"/>
        </w:rPr>
        <w:t>Less in the West: The tangibility of international organizations and their media visibility around the world</w:t>
      </w:r>
    </w:p>
    <w:p>
      <w:r>
        <w:rPr>
          <w:rFonts w:ascii="Times New Roman" w:hAnsi="Times New Roman" w:eastAsia="宋体"/>
          <w:b w:val="0"/>
          <w:i w:val="0"/>
          <w:color w:val="595959"/>
          <w:sz w:val="18"/>
        </w:rPr>
        <w:t>Michal Parizek</w:t>
      </w:r>
    </w:p>
    <w:p>
      <w:r>
        <w:rPr>
          <w:rFonts w:ascii="Times New Roman" w:hAnsi="Times New Roman" w:eastAsia="宋体"/>
          <w:b w:val="0"/>
          <w:i w:val="0"/>
          <w:sz w:val="22"/>
        </w:rPr>
        <w:t>摘要：本文首次从理论与大规模实证角度说明主要全球性国际组织在世界各地新闻媒体中的能见度，聚焦日常、持续的国际组织报道——公众对国际组织的认知与支持正是借此逐步形成。综合媒介研究与国际关系的见解，作者提出以国际组织工作的“有形性”（具体性及与受众的接近性）为核心的理论框架，作为各国间国际组织媒体能见度差异的关键驱动因素。实证上研究广义联合国系统的40个国际组织及机构，发现这些组织在其开展有形的发展导向业务活动的国家系统性地更为可见，差异相当大：人类发展水平最低国家的国际组织媒体能见度比最高水平国家（通常为西方国家）高约75%。分析基于2018—2021年覆盖135国、63种语言、逾340万篇新闻的新数据集（涵盖世界人口96%），自然语言处理分析辅以样本文章内容的人工编码。</w:t>
      </w:r>
    </w:p>
    <w:p>
      <w:r>
        <w:rPr>
          <w:rFonts w:ascii="Times New Roman" w:hAnsi="Times New Roman" w:eastAsia="宋体"/>
          <w:b w:val="0"/>
          <w:i w:val="0"/>
          <w:sz w:val="20"/>
        </w:rPr>
        <w:t>This paper presents the first theoretical and large-scale empirical account of the visibility of major global international organizations (IOs) in news media around the world. It focuses on the everyday, continuous coverage of IOs, through which knowledge and support of IOs can be built over time. Synthesizing insights from Media Studies and International Relations (IR), I develop a theoretical framework centered on the tangibility of IOs’ work—its concreteness and proximity to audiences—as the key driver of variation in IOs’ media visibility across states. Empirically, I study the media visibility of the 40 IOs and IO bodies that form the UN System broadly defined, including virtually all the major formal global IOs. I find that the IOs are systematically more visible in states where they conduct tangible development-focused operational activity. The differences are sizeable: IO media visibility in states with the lowest levels of human development is approximately 75% higher than in highest-development level states, typically Western. The empirical analysis is based on a novel dataset of more than 3.4 million news articles in 63 languages and 135 states, accounting for 96% of the world population, spanning 2018–2021. Natural language processing-based analysis is complemented with human coding of the content of a sample of articles, further highlighting the importance of the development-focused operational activity of IOs for their media visibility. The findings have important implications for our understanding of the public image of IOs in Western states and beyond.</w:t>
      </w:r>
    </w:p>
    <w:p/>
    <w:p>
      <w:r>
        <w:rPr>
          <w:rFonts w:ascii="Times New Roman" w:hAnsi="Times New Roman" w:eastAsia="黑体"/>
          <w:b/>
          <w:i w:val="0"/>
          <w:sz w:val="24"/>
        </w:rPr>
        <w:t>国际法院的去焦点效应：来自海洋划界实践的证据</w:t>
      </w:r>
    </w:p>
    <w:p>
      <w:r>
        <w:rPr>
          <w:rFonts w:ascii="Times New Roman" w:hAnsi="Times New Roman" w:eastAsia="宋体"/>
          <w:b w:val="0"/>
          <w:i/>
          <w:color w:val="404040"/>
          <w:sz w:val="20"/>
        </w:rPr>
        <w:t>The defocalizing effect of international courts: Evidence from maritime delimitation practices</w:t>
      </w:r>
    </w:p>
    <w:p>
      <w:r>
        <w:rPr>
          <w:rFonts w:ascii="Times New Roman" w:hAnsi="Times New Roman" w:eastAsia="宋体"/>
          <w:b w:val="0"/>
          <w:i w:val="0"/>
          <w:color w:val="595959"/>
          <w:sz w:val="18"/>
        </w:rPr>
        <w:t>Ezgi Yildiz；Umut Yüksel</w:t>
      </w:r>
    </w:p>
    <w:p>
      <w:r>
        <w:rPr>
          <w:rFonts w:ascii="Times New Roman" w:hAnsi="Times New Roman" w:eastAsia="宋体"/>
          <w:b w:val="0"/>
          <w:i w:val="0"/>
          <w:sz w:val="22"/>
        </w:rPr>
        <w:t>摘要：国际法院能否影响国家政策、促进国家间合作？现有文献认为可以：法院可通过制定或认可规则，使国家预期和实践围绕其趋同，从而便利合作。虽然普遍假设法院裁决可成为焦点、协调国家实践，但我们对其在何种条件下产生这种效应知之甚少。作者认为法院裁决常产生相反的“去焦点效应”，可能长期损害围绕法律要求趋同的前景。作者将去焦点化作为一个过程提出，讨论其类型与含义，认为去焦点化可能由裁决与既有条约法和国家实践不一致以及裁决随时间不一致所驱动。作者利用原创数据集考察关键司法裁决对海洋划界规则国家观点趋同的影响，结果显示与既有国家实践或条约法不一致的裁决会随时间累积复杂性，并因裁决不一致而维持。</w:t>
      </w:r>
    </w:p>
    <w:p>
      <w:r>
        <w:rPr>
          <w:rFonts w:ascii="Times New Roman" w:hAnsi="Times New Roman" w:eastAsia="宋体"/>
          <w:b w:val="0"/>
          <w:i w:val="0"/>
          <w:sz w:val="20"/>
        </w:rPr>
        <w:t>Can international courts influence state policies and facilitate interstate cooperation? Existing literature argues that they can. Courts can make cooperative outcomes easier for states by formulating or endorsing rules around which state expectations and practice can converge. While it is widely assumed that court rulings may become focal points and play a role in harmonizing state practices, we know little about the conditions under which they have such an effect. We suggest that court rulings can often have an opposite, defocalizing effect , which may durably harm the prospects of convergence around what the law requires. We introduce defocalization as a process and discuss its possible types and implications. We argue that defocalization may be driven by incongruence of court rulings with existing treaty law and state practice and inconsistency of rulings over time. We illustrate our argument by examining the effect of key judicial rulings on the convergence of state views about the appropriate maritime delimitation rules by relying on an original dataset. Our findings show how defocalization unfolds and suggest that complexity can accumulate over time through legal rulings that are incongruent with existing state practice or treaty law, and can be maintained through inconsistent court decisions.</w:t>
      </w:r>
    </w:p>
    <w:p/>
    <w:p>
      <w:r>
        <w:rPr>
          <w:rFonts w:ascii="Times New Roman" w:hAnsi="Times New Roman" w:eastAsia="黑体"/>
          <w:b/>
          <w:i w:val="0"/>
          <w:sz w:val="24"/>
        </w:rPr>
        <w:t>难以实现的协作？国际发展中牵头捐助方的决定因素</w:t>
      </w:r>
    </w:p>
    <w:p>
      <w:r>
        <w:rPr>
          <w:rFonts w:ascii="Times New Roman" w:hAnsi="Times New Roman" w:eastAsia="宋体"/>
          <w:b w:val="0"/>
          <w:i/>
          <w:color w:val="404040"/>
          <w:sz w:val="20"/>
        </w:rPr>
        <w:t>Elusive collaboration? The determinants of lead donorship in international development</w:t>
      </w:r>
    </w:p>
    <w:p>
      <w:r>
        <w:rPr>
          <w:rFonts w:ascii="Times New Roman" w:hAnsi="Times New Roman" w:eastAsia="宋体"/>
          <w:b w:val="0"/>
          <w:i w:val="0"/>
          <w:color w:val="595959"/>
          <w:sz w:val="18"/>
        </w:rPr>
        <w:t>Miles D. Williams</w:t>
      </w:r>
    </w:p>
    <w:p>
      <w:r>
        <w:rPr>
          <w:rFonts w:ascii="Times New Roman" w:hAnsi="Times New Roman" w:eastAsia="宋体"/>
          <w:b w:val="0"/>
          <w:i w:val="0"/>
          <w:sz w:val="22"/>
        </w:rPr>
        <w:t>摘要：牵头捐助是指某一援助国在向某发展中国家提供援助方面长期承担超大比例责任的状况。既有研究认为牵头捐助要么是捐助方协作划分势力范围以最大化非发展的外交政策目标的产物，要么是捐助方相互推卸满足受援国需求责任的结果。究竟是哪种？本研究根据捐助方合作或系统性合作失败时牵头捐助应在何时何地出现的理论预期回答这一问题，并构建对外援助公共物品特征和捐助方援助边际回报的新测量。灵活的半参数模型估计显示，牵头捐助最可能出现的时间和地点与援助分配中的系统性合作失败相一致。</w:t>
      </w:r>
    </w:p>
    <w:p>
      <w:r>
        <w:rPr>
          <w:rFonts w:ascii="Times New Roman" w:hAnsi="Times New Roman" w:eastAsia="宋体"/>
          <w:b w:val="0"/>
          <w:i w:val="0"/>
          <w:sz w:val="20"/>
        </w:rPr>
        <w:t>Lead donorship is a condition of sustained outsized responsibility by one foreign aid donor country for giving aid to a developing country. Prior research argues that lead donorship can either be a product of donors collaborating to carve out spheres of influence to maximize non-development foreign policy goals or else of donors buck-passing responsibility for addressing recipient needs. Which is it? This study seeks to answer this question using theory-driven expectations about when and where lead donorship should arise if donors cooperate or systematically fail to do so. It further develops novel measures of foreign aid’s public goods characteristics and donors’ marginal returns from giving aid that should help triangulate conditions under which we can expect lead donorship to arise due to cooperation or else its absence. Estimates from a flexible semi-parametric modeling strategy show that when and where lead donorship has the highest probability of occurring is consistent with systematic cooperation failure in the allocation of foreign aid. Various robustness checks are done and alternative explanations are also discussed. These findings provide insight into ongoing policy debates about donor cooperation and aid effectiveness and raise questions about what deeper strategic logics preclude donor cooperation.</w:t>
      </w:r>
    </w:p>
    <w:p/>
    <w:p>
      <w:r>
        <w:rPr>
          <w:rFonts w:ascii="Times New Roman" w:hAnsi="Times New Roman" w:eastAsia="黑体"/>
          <w:b/>
          <w:i w:val="0"/>
          <w:sz w:val="24"/>
        </w:rPr>
        <w:t>权威更大的国际组织更易受挑战吗？成员国批评与退出的复发事件分析</w:t>
      </w:r>
    </w:p>
    <w:p>
      <w:r>
        <w:rPr>
          <w:rFonts w:ascii="Times New Roman" w:hAnsi="Times New Roman" w:eastAsia="宋体"/>
          <w:b w:val="0"/>
          <w:i/>
          <w:color w:val="404040"/>
          <w:sz w:val="20"/>
        </w:rPr>
        <w:t>Are authoritative international organizations challenged more? A recurrent event analysis of member state criticisms and withdrawals</w:t>
      </w:r>
    </w:p>
    <w:p>
      <w:r>
        <w:rPr>
          <w:rFonts w:ascii="Times New Roman" w:hAnsi="Times New Roman" w:eastAsia="宋体"/>
          <w:b w:val="0"/>
          <w:i w:val="0"/>
          <w:color w:val="595959"/>
          <w:sz w:val="18"/>
        </w:rPr>
        <w:t>Hylke Dijkstra；Farsan Ghassim</w:t>
      </w:r>
    </w:p>
    <w:p>
      <w:r>
        <w:rPr>
          <w:rFonts w:ascii="Times New Roman" w:hAnsi="Times New Roman" w:eastAsia="宋体"/>
          <w:b w:val="0"/>
          <w:i w:val="0"/>
          <w:sz w:val="22"/>
        </w:rPr>
        <w:t>摘要：成员国对国际组织的挑战是所谓多边秩序危机的核心——从围绕国际刑事法院的“非洲偏见”争论、英国脱欧到特朗普在新冠期间攻击世卫组织。国际组织经常以从口头批评到退出等不同方式受到成员国挑战，但为何有些组织受到的挑战更多？一个重要但大多停留在理论层面的争论涉及国际组织权威：权威更大的组织可能招致更多挑战（如因国内争议），也可能更少（因成员国投入更多、内部化解冲突能力更强）。作者用Andersen-Gill复发事件模型分析成员国公开批评与退出，未发现权威更大的组织更常受到成员国挑战的强有力一致证据；有证据表明权威组织遭遇的退出更少，但成员间偏好异质性、替代性组织的存在、成员民主构成等替代因素的证据更强。</w:t>
      </w:r>
    </w:p>
    <w:p>
      <w:r>
        <w:rPr>
          <w:rFonts w:ascii="Times New Roman" w:hAnsi="Times New Roman" w:eastAsia="宋体"/>
          <w:b w:val="0"/>
          <w:i w:val="0"/>
          <w:sz w:val="20"/>
        </w:rPr>
        <w:t>Member states’ challenges to international organizations (IOs) are at the heart of the supposed crisis of our multilateral order – from the “African bias” debate surrounding the International Criminal Court, to the United Kingdom’s “Brexit” from the European Union, to Trump’s attacks on the World Health Organization during the COVID-19 pandemic. IOs are regularly challenged by their member states in different ways, ranging from verbal criticisms to withdrawals. But why are some IOs challenged more than others? An important – but so far largely theoretical – academic debate relates to the authority of IOs as an explanatory factor for why some face more challenges: Authoritative IOs may invite more challenges (for example, due to domestic contestation) or fewer challenges (due, in part, to the investment of member states and their greater capacity to resolve conflicts internally). Our article assesses these explanations using the Andersen-Gill approach for analyzing recurrent events of member states’ public criticisms and withdrawals. We do not find strong and consistent evidence that more authoritative IOs are more regularly challenged by their own member states. There is some evidence that authoritative IOs experience fewer withdrawals, but we find stronger evidence for alternative factors such as preference heterogeneity between members, the existence of alternative IOs, and the democratic composition of an IO’s membership. Our study is significant for scholarly debates and real-world politics, as it implies that granting IOs more authority does not make them more prone to member state challenges.</w:t>
      </w:r>
    </w:p>
    <w:p/>
    <w:p>
      <w:r>
        <w:rPr>
          <w:rFonts w:ascii="Times New Roman" w:hAnsi="Times New Roman" w:eastAsia="黑体"/>
          <w:b/>
          <w:i w:val="0"/>
          <w:sz w:val="24"/>
        </w:rPr>
        <w:t>情境是借口吗？制度化承诺与对外经济政策的情境政治</w:t>
      </w:r>
    </w:p>
    <w:p>
      <w:r>
        <w:rPr>
          <w:rFonts w:ascii="Times New Roman" w:hAnsi="Times New Roman" w:eastAsia="宋体"/>
          <w:b w:val="0"/>
          <w:i/>
          <w:color w:val="404040"/>
          <w:sz w:val="20"/>
        </w:rPr>
        <w:t>Is context pretext? Institutionalized commitments and the situational politics of foreign economic policy</w:t>
      </w:r>
    </w:p>
    <w:p>
      <w:r>
        <w:rPr>
          <w:rFonts w:ascii="Times New Roman" w:hAnsi="Times New Roman" w:eastAsia="宋体"/>
          <w:b w:val="0"/>
          <w:i w:val="0"/>
          <w:color w:val="595959"/>
          <w:sz w:val="18"/>
        </w:rPr>
        <w:t>Ryan Powers</w:t>
      </w:r>
    </w:p>
    <w:p>
      <w:r>
        <w:rPr>
          <w:rFonts w:ascii="Times New Roman" w:hAnsi="Times New Roman" w:eastAsia="宋体"/>
          <w:b w:val="0"/>
          <w:i w:val="0"/>
          <w:sz w:val="22"/>
        </w:rPr>
        <w:t>摘要：公众是否在意领导人未能维护或遵守国家的既有国际承诺？若是，在什么条件下？作者在对制度化贸易合作态度的情境中研究这一问题。调查实验发现公众对遵约有明显偏好，且基本独立于潜在的政治经济情境：当实施贸易限制会违反既有贸易协定时，公众更不愿支持；即使在公众原本会支持保护主义的情境中——失业率高、大量就业岗位受影响、贸易伙伴最近未履行其承诺——仍是如此。作者几乎未发现同党派动态，但记录了强烈的倾向性效应：那些不倾向正面看待国际合作的人对违约领导人施加的惩罚系统性地更小。</w:t>
      </w:r>
    </w:p>
    <w:p>
      <w:r>
        <w:rPr>
          <w:rFonts w:ascii="Times New Roman" w:hAnsi="Times New Roman" w:eastAsia="宋体"/>
          <w:b w:val="0"/>
          <w:i w:val="0"/>
          <w:sz w:val="20"/>
        </w:rPr>
        <w:t>Does the public care if their leaders fail to uphold or comply with their country’s standing international commitments? If so, under what conditions? I study this question in the context of attitudes toward institutionalized trade cooperation. Using survey experiments, I find that the public has a pronounced taste for compliance that is largely independent of the underlying political and economic context. The public is less willing to endorse the imposition of trade restrictions when doing so would violate standing trade agreements. This is the case even in contexts where the public would otherwise support protectionist policy: when the unemployment rate is high, when there are a large number of jobs at stake, and when the trade partner has recently failed to honor their own trade commitments. I find little in the way of copartisanship dynamics, but document strong dispositional effects in which those not predisposed to view international cooperation in a positive light impose systematically smaller punishments on leaders who violate treaty commitments.</w:t>
      </w:r>
    </w:p>
    <w:p/>
    <w:p>
      <w:r>
        <w:rPr>
          <w:rFonts w:ascii="Times New Roman" w:hAnsi="Times New Roman" w:eastAsia="黑体"/>
          <w:b/>
          <w:i w:val="0"/>
          <w:sz w:val="24"/>
        </w:rPr>
        <w:t>重新考量承诺成本：学习与国家对联合国人权条约个人申诉程序的接受</w:t>
      </w:r>
    </w:p>
    <w:p>
      <w:r>
        <w:rPr>
          <w:rFonts w:ascii="Times New Roman" w:hAnsi="Times New Roman" w:eastAsia="宋体"/>
          <w:b w:val="0"/>
          <w:i/>
          <w:color w:val="404040"/>
          <w:sz w:val="20"/>
        </w:rPr>
        <w:t>Reconsidering the costs of commitment: Learning and state acceptance of the UN human rights treaties’ individual complaint procedures</w:t>
      </w:r>
    </w:p>
    <w:p>
      <w:r>
        <w:rPr>
          <w:rFonts w:ascii="Times New Roman" w:hAnsi="Times New Roman" w:eastAsia="宋体"/>
          <w:b w:val="0"/>
          <w:i w:val="0"/>
          <w:color w:val="595959"/>
          <w:sz w:val="18"/>
        </w:rPr>
        <w:t>Andreas Johannes Ullmann</w:t>
      </w:r>
    </w:p>
    <w:p>
      <w:r>
        <w:rPr>
          <w:rFonts w:ascii="Times New Roman" w:hAnsi="Times New Roman" w:eastAsia="宋体"/>
          <w:b w:val="0"/>
          <w:i w:val="0"/>
          <w:sz w:val="22"/>
        </w:rPr>
        <w:t>摘要：国家如何回应人权条约个人申诉程序产生的不利决定？近期研究对国家回应国际法院判决尤感兴趣，但针对条约机构日益增多产出的国家行为研究仍然稀少。作者认为国家通常希望避免不利决定（“意见”）带来的成本，不断增加的批评使其以贝叶斯方式更新对接受申诉程序成本的信念，因而更不倾向接受其他人权条约下的申诉机制。作者以1965—2018年169个国家接受个人申诉程序及1320项意见分布的原创数据集检验这些假设。Cox比例风险回归结果表明，针对邻国和针对本国的意见数量都会降低接受六项个人申诉程序中多数程序的可能性；当国家更可能实际承担执行成本时效应更强。</w:t>
      </w:r>
    </w:p>
    <w:p>
      <w:r>
        <w:rPr>
          <w:rFonts w:ascii="Times New Roman" w:hAnsi="Times New Roman" w:eastAsia="宋体"/>
          <w:b w:val="0"/>
          <w:i w:val="0"/>
          <w:sz w:val="20"/>
        </w:rPr>
        <w:t>How do states react to adverse decisions resulting from human rights treaties’ individual complaint procedures? While recent scholarship has shown particular interest in states’ reactions to international court judgments, research on state behavior vis-à-vis an increasing treaty body output remains scarce. I argue that states generally want to avoid the costs implied by adverse decisions, or ‘views’. Rising numbers of rebukes lead them to update their beliefs about the costliness of complaint procedure acceptance in a Bayesian manner. As a result, states become less inclined to accept further petition mechanisms under different human rights treaties. I test these assumptions on an original dataset containing information on individual complaint procedure acceptance and the distribution of 1320 views for a total number of 169 countries ranging from the year 1965 to 2018. Results from Cox proportional hazards regressions suggest that both the number of views against neighboring states and against the examined state itself decrease the likelihood of acceptance of most of the six individual complaint procedures under observation. I also find evidence that this effect is exacerbated if states are more likely to actually bear the costs of implementation. Findings indicate that the omission of further commitment can be a negative spillover of the treaty bodies’ quasi-judicial output.</w:t>
      </w:r>
    </w:p>
    <w:p/>
    <w:p>
      <w:r>
        <w:rPr>
          <w:rFonts w:ascii="Times New Roman" w:hAnsi="Times New Roman" w:eastAsia="黑体"/>
          <w:b/>
          <w:i w:val="0"/>
          <w:sz w:val="24"/>
        </w:rPr>
        <w:t>全球公域的国际谈判</w:t>
      </w:r>
    </w:p>
    <w:p>
      <w:r>
        <w:rPr>
          <w:rFonts w:ascii="Times New Roman" w:hAnsi="Times New Roman" w:eastAsia="宋体"/>
          <w:b w:val="0"/>
          <w:i/>
          <w:color w:val="404040"/>
          <w:sz w:val="20"/>
        </w:rPr>
        <w:t>International negotiations over the global commons</w:t>
      </w:r>
    </w:p>
    <w:p>
      <w:r>
        <w:rPr>
          <w:rFonts w:ascii="Times New Roman" w:hAnsi="Times New Roman" w:eastAsia="宋体"/>
          <w:b w:val="0"/>
          <w:i w:val="0"/>
          <w:color w:val="595959"/>
          <w:sz w:val="18"/>
        </w:rPr>
        <w:t>Stephanie J. Rickard</w:t>
      </w:r>
    </w:p>
    <w:p>
      <w:r>
        <w:rPr>
          <w:rFonts w:ascii="Times New Roman" w:hAnsi="Times New Roman" w:eastAsia="宋体"/>
          <w:b w:val="0"/>
          <w:i w:val="0"/>
          <w:sz w:val="22"/>
        </w:rPr>
        <w:t>摘要：当今各国在由大国紧张关系界定的多极世界中周旋。中等强国、小国和全球南方国家在这一地缘政治格局中表现如何？它们能否塑造关于新兴争议议题（如贸易与环境议题）的新国际协定？为此作者考察历时二十年谈判形成的一项旨在保护全球公域的新条约——世界贸易组织《渔业补贴协定》。利用文本即数据分析和丰富的WTO文件，作者考察条约文本的来源，发现中等强国、小国和全球南方国家对协定有所贡献，且是通过与志同道合国家组建联盟实现的。研究表明能有效参与国际谈判的国家范围比传统认为的更广。</w:t>
      </w:r>
    </w:p>
    <w:p>
      <w:r>
        <w:rPr>
          <w:rFonts w:ascii="Times New Roman" w:hAnsi="Times New Roman" w:eastAsia="宋体"/>
          <w:b w:val="0"/>
          <w:i w:val="0"/>
          <w:sz w:val="20"/>
        </w:rPr>
        <w:t>Countries today navigate a multipolar world defined by tensions between great powers. How do middle powers, small states, and Global South countries fare in this geopolitical landscape? Can they shape new international agreements on emerging, divisive topics, like trade-and-environment issues? To explore this question, I investigate the twenty years of negotiations that led to a new treaty seeking to preserve the global commons: the World Trade Organization’s (WTO) Agreement on Fisheries Subsidies (AFS). Using text-as-data analyses and a rich trove of WTO documents, I investigate the sources of the treaty text. I find that middle powers, small states, and countries from the Global South contributed to the agreement; they did so by forming coalitions with like-minded countries. The findings demonstrate that a wider range of states can effectively participate in international negotiations than traditionally assumed.</w:t>
      </w:r>
    </w:p>
    <w:p/>
    <w:p>
      <w:r>
        <w:rPr>
          <w:rFonts w:ascii="Times New Roman" w:hAnsi="Times New Roman" w:eastAsia="黑体"/>
          <w:b/>
          <w:i w:val="0"/>
          <w:sz w:val="24"/>
        </w:rPr>
        <w:t>领导人意识形态与国家对多边条约的承诺</w:t>
      </w:r>
    </w:p>
    <w:p>
      <w:r>
        <w:rPr>
          <w:rFonts w:ascii="Times New Roman" w:hAnsi="Times New Roman" w:eastAsia="宋体"/>
          <w:b w:val="0"/>
          <w:i/>
          <w:color w:val="404040"/>
          <w:sz w:val="20"/>
        </w:rPr>
        <w:t>Leader ideology and state commitment to multilateral treaties</w:t>
      </w:r>
    </w:p>
    <w:p>
      <w:r>
        <w:rPr>
          <w:rFonts w:ascii="Times New Roman" w:hAnsi="Times New Roman" w:eastAsia="宋体"/>
          <w:b w:val="0"/>
          <w:i w:val="0"/>
          <w:color w:val="595959"/>
          <w:sz w:val="18"/>
        </w:rPr>
        <w:t>Valerio Vignoli；Michal Onderco</w:t>
      </w:r>
    </w:p>
    <w:p>
      <w:r>
        <w:rPr>
          <w:rFonts w:ascii="Times New Roman" w:hAnsi="Times New Roman" w:eastAsia="宋体"/>
          <w:b w:val="0"/>
          <w:i w:val="0"/>
          <w:sz w:val="22"/>
        </w:rPr>
        <w:t>摘要：现有文献认为左翼在外交政策上通常比右翼更支持多边主义，但意识形态对国家多边合作承诺的影响尚未得到充分实证检验。作者利用包含1945年以来交存联合国秘书长的所有多边条约批准信息的原创数据集，评估国家对多边条约承诺上是否存在左右分野。结果显示左翼领导人领导的国家通常比右翼领导的国家更快批准条约，但领导人意识形态与多边条约承诺的关联在很大程度上受政体类型和国际环境制约：在民主国家中左右翼领导国家间批准时长差距显著，其他政体中则不显著；冷战期间显著，冷战后不显著。</w:t>
      </w:r>
    </w:p>
    <w:p>
      <w:r>
        <w:rPr>
          <w:rFonts w:ascii="Times New Roman" w:hAnsi="Times New Roman" w:eastAsia="宋体"/>
          <w:b w:val="0"/>
          <w:i w:val="0"/>
          <w:sz w:val="20"/>
        </w:rPr>
        <w:t>The existing literature argues that the left is generally more supportive of multilateralism in foreign policy than the right. However, the impact of ideology on state commitment to multilateral cooperation have not yet been empirically tested adequately. We assess the presence of such a left–right divide on state commitment to multilateral treaties employing an original dataset, containing all the available information about the ratification of the multilateral treaties deposited with the UN Secretary General since 1945. Our results indicate that indeed countries led by left-wing leaders are generally faster at ratifying treaties than those led by right-wing leaders. However, the association between leader ideology and commitment to multilateral treaties is substantially conditioned by regime type and the international context. In fact, we find robust evidence of a significant gap in ratification duration between states led by left-wing and right-wing leaders in democracies but not in other regime types, and during the Cold War but not after. Through such findings, this article provides a contribution to the debate on the impact of ideology on international relations and the drivers of global support for multilateralism.</w:t>
      </w:r>
    </w:p>
    <w:p/>
    <w:p>
      <w:r>
        <w:rPr>
          <w:rFonts w:ascii="Times New Roman" w:hAnsi="Times New Roman" w:eastAsia="黑体"/>
          <w:b/>
          <w:i w:val="0"/>
          <w:sz w:val="24"/>
        </w:rPr>
        <w:t>民粹主义与自由国际秩序：联合国投票模式分析</w:t>
      </w:r>
    </w:p>
    <w:p>
      <w:r>
        <w:rPr>
          <w:rFonts w:ascii="Times New Roman" w:hAnsi="Times New Roman" w:eastAsia="宋体"/>
          <w:b w:val="0"/>
          <w:i/>
          <w:color w:val="404040"/>
          <w:sz w:val="20"/>
        </w:rPr>
        <w:t>Populism and the liberal international order: An analysis of UN voting patterns</w:t>
      </w:r>
    </w:p>
    <w:p>
      <w:r>
        <w:rPr>
          <w:rFonts w:ascii="Times New Roman" w:hAnsi="Times New Roman" w:eastAsia="宋体"/>
          <w:b w:val="0"/>
          <w:i w:val="0"/>
          <w:color w:val="595959"/>
          <w:sz w:val="18"/>
        </w:rPr>
        <w:t>Sandra Destradi；Johannes Vüllers</w:t>
      </w:r>
    </w:p>
    <w:p>
      <w:r>
        <w:rPr>
          <w:rFonts w:ascii="Times New Roman" w:hAnsi="Times New Roman" w:eastAsia="宋体"/>
          <w:b w:val="0"/>
          <w:i w:val="0"/>
          <w:sz w:val="22"/>
        </w:rPr>
        <w:t>摘要：民粹主义常被认为会破坏自由世界秩序，但这一说法从未被系统检验，本研究首次进行检验。基于将民粹主义理解为包含反精英主义和以人民为中心的“薄意识形态”，作者预期民粹政府的外交政策偏好与美国主导的自由国际秩序核心特征相对立。实证分析通过联合国大会投票评估政府对自由国际秩序的偏好，结果支持预期：民粹主义对与自由国际秩序核心规范相关的外交政策偏好有强烈且统计显著的负面影响；左翼民粹政府及民主程度较低国家的民粹政府更反对美国主导的自由国际秩序。但民粹政府并不拒绝联大本身，它们缺席联大投票的可能性并不高于其他国家。</w:t>
      </w:r>
    </w:p>
    <w:p>
      <w:r>
        <w:rPr>
          <w:rFonts w:ascii="Times New Roman" w:hAnsi="Times New Roman" w:eastAsia="宋体"/>
          <w:b w:val="0"/>
          <w:i w:val="0"/>
          <w:sz w:val="20"/>
        </w:rPr>
        <w:t>Populism is often assumed to undermine the liberal world order, but this claim has never been tested systematically. In this study, we do so for the first time. Based on an understanding of populism as a “thin-centered ideology” entailing anti-elitism and people-centrism, we expect populist governments to have foreign policy preferences opposed to the core features of the US-led liberal international order. Our empirical analysis assesses government preferences on the liberal international order as expressed through UN General Assembly votes. Our findings support the expectation that populism has a strong and statistically significant negative impact on foreign policy preferences related to the core norms of the liberal international order. Moreover, we find that populists with a left-wing ideology and those in less democratic countries tend to be more opposed to the US-led liberal international order. However, populist governments do not reject the UNGA as such, as they are not more likely to be absent from UNGA votes than other states. Thereby, this study makes a contribution both to the burgeoning literature on the international implications of populism and to debates on the crisis of the liberal order.</w:t>
      </w:r>
    </w:p>
    <w:p/>
    <w:p>
      <w:r>
        <w:rPr>
          <w:rFonts w:ascii="Times New Roman" w:hAnsi="Times New Roman" w:eastAsia="黑体"/>
          <w:b/>
          <w:i w:val="0"/>
          <w:sz w:val="24"/>
        </w:rPr>
        <w:t>消极制度权力如何调节争夺：解释不满大国对国际制度的策略</w:t>
      </w:r>
    </w:p>
    <w:p>
      <w:r>
        <w:rPr>
          <w:rFonts w:ascii="Times New Roman" w:hAnsi="Times New Roman" w:eastAsia="宋体"/>
          <w:b w:val="0"/>
          <w:i/>
          <w:color w:val="404040"/>
          <w:sz w:val="20"/>
        </w:rPr>
        <w:t>How negative institutional power moderates contestation: Explaining dissatisfied powers’ strategies towards international institutions</w:t>
      </w:r>
    </w:p>
    <w:p>
      <w:r>
        <w:rPr>
          <w:rFonts w:ascii="Times New Roman" w:hAnsi="Times New Roman" w:eastAsia="宋体"/>
          <w:b w:val="0"/>
          <w:i w:val="0"/>
          <w:color w:val="595959"/>
          <w:sz w:val="18"/>
        </w:rPr>
        <w:t>Benjamin Daßler；Tim Heinkelmann-Wild；Andreas Kruck</w:t>
      </w:r>
    </w:p>
    <w:p>
      <w:r>
        <w:rPr>
          <w:rFonts w:ascii="Times New Roman" w:hAnsi="Times New Roman" w:eastAsia="宋体"/>
          <w:b w:val="0"/>
          <w:i w:val="0"/>
          <w:sz w:val="22"/>
        </w:rPr>
        <w:t>摘要：国际制度日益受到成员国攻击，后者采取多样且有时逐步升级的争夺方式。与此同时，国家的“消极制度权力”——在国际制度中避免不希望结果的机会——一段时间以来不断下降。本文认为不满国家的消极制度权力禀赋是理解其不同争夺方式的关键：不满国家在某一制度中的消极制度权力越有限，其选择的制度争夺方式就越激进。在其他条件相同时，国家（1）在制度内防止不良结果的内部选项与（2）通过离开制度规避不良结果的外部选项，共同决定其选择发声、颠覆、退出还是回滚策略。作者以特朗普政府对世界银行、WTO、《巴黎协定》和伊核协议的争夺四个详细案例评估“消极制度权力理论”，并通过其他不满大国争夺不同国际制度的八个案例展示其普适性。</w:t>
      </w:r>
    </w:p>
    <w:p>
      <w:r>
        <w:rPr>
          <w:rFonts w:ascii="Times New Roman" w:hAnsi="Times New Roman" w:eastAsia="宋体"/>
          <w:b w:val="0"/>
          <w:i w:val="0"/>
          <w:sz w:val="20"/>
        </w:rPr>
        <w:t>International institutions are increasingly under attack from their member states, who embark on varying and sometimes escalating modes of contestation. At the same time, states’ negative institutional power, i.e. their opportunities to avoid undesired outcomes in international institutions, has been declining for some time. This paper claims that dissatisfied states’ negative institutional power endowments are key to understanding their varying contestation modes: the more limited (extensive) the negative institutional power of dissatisfied states in an institution, the more radical (moderate) modes of institutional contestation they will choose. We argue that, all else equal, states’ (1) inside options to prevent undesired outcomes within the institution and (2) their outside options to evade undesired outcomes by leaving the institution jointly condition whether they choose a strategy of voice , subversion , exit , or rollback to contest the dissatisfying institution. We assess the plausibility of our Negative Institutional Power Theory (NIPT) by means of four detailed case studies of the Trump Administration’s contestation of the World Bank, the World Trade Organization, the Paris Agreement, and the Iran Nuclear Deal. We demonstrate the generalizability of our arguments by assessing our claims across eight additional instances of other dissatisfied powers’ contesting different international institutions. The twelve case studies demonstrate that negative power matters for states’ choice of institutional contestation modes. Our findings suggest that whether, in the future, international institutions will be increasingly challenged from within and outside, can be influenced by reforms that grant (or deny) states negative institutional power.</w:t>
      </w:r>
    </w:p>
    <w:p/>
    <w:p>
      <w:r>
        <w:rPr>
          <w:rFonts w:ascii="Times New Roman" w:hAnsi="Times New Roman" w:eastAsia="黑体"/>
          <w:b/>
          <w:i w:val="0"/>
          <w:sz w:val="24"/>
        </w:rPr>
        <w:t>满嘴食物地谈判：透明与保密之间的政府间谈判</w:t>
      </w:r>
    </w:p>
    <w:p>
      <w:r>
        <w:rPr>
          <w:rFonts w:ascii="Times New Roman" w:hAnsi="Times New Roman" w:eastAsia="宋体"/>
          <w:b w:val="0"/>
          <w:i/>
          <w:color w:val="404040"/>
          <w:sz w:val="20"/>
        </w:rPr>
        <w:t>Negotiating with your mouth full: Intergovernmental negotiations between transparency and confidentiality</w:t>
      </w:r>
    </w:p>
    <w:p>
      <w:r>
        <w:rPr>
          <w:rFonts w:ascii="Times New Roman" w:hAnsi="Times New Roman" w:eastAsia="宋体"/>
          <w:b w:val="0"/>
          <w:i w:val="0"/>
          <w:color w:val="595959"/>
          <w:sz w:val="18"/>
        </w:rPr>
        <w:t>Mareike Kleine；Samuel Huntington</w:t>
      </w:r>
    </w:p>
    <w:p>
      <w:r>
        <w:rPr>
          <w:rFonts w:ascii="Times New Roman" w:hAnsi="Times New Roman" w:eastAsia="宋体"/>
          <w:b w:val="0"/>
          <w:i w:val="0"/>
          <w:sz w:val="22"/>
        </w:rPr>
        <w:t>摘要：透明度是国际谈判与制度经典理论的核心，却很少被直接测量或解释。本文探讨政府间谈判与制度中透明度改革的潜在弊端。作者认为，随着正式国际会议向公众开放，谈判者有动机将审议转移到更非正式、更不透明的场所，尤其针对敏感和国内有争议的议题。为检验何时及为何发生这种情况，作者提出欧盟理事会三十年政府间谈判（1990—2019）的新数据，特别是不作记录的非正式休会的使用。研究发现诉诸此类休会——尤其在午餐时间——大幅增加，部长们常借此讨论争议话题。定量与定性分析显示非正式休会的变化与制度透明度提升以及对国内对抗性政治动员（尤其是疑欧主义）的特定担忧相关。</w:t>
      </w:r>
    </w:p>
    <w:p>
      <w:r>
        <w:rPr>
          <w:rFonts w:ascii="Times New Roman" w:hAnsi="Times New Roman" w:eastAsia="宋体"/>
          <w:b w:val="0"/>
          <w:i w:val="0"/>
          <w:sz w:val="20"/>
        </w:rPr>
        <w:t>Transparency lies at the heart of canonical theories of international negotiations and institutions—yet it is rarely directly measured or explained. This paper explores the potential downsides of transparency reforms in intergovernmental negotiations and institutions. We argue that as formal international meetings open up to the public, negotiators face incentives to shift deliberations to more informal and opaque venues, especially for sensitive and domestically contested issues. To test when and why this occurs, we present new data on three decades of intergovernmental negotiations in the Council of the European Union (1990–2019), and in particular the use of informal breaks where no minutes are taken. We find that recourse to such breaks—especially at lunch time—has increased substantially, and that ministers often take these opportunities to discuss controversial topics. We deploy quantitative and qualitative analyses to show that variations in informal breaks correlate both with institutional enhancements to transparency and with specific concerns over antagonistic political mobilization at home, notably in the form of Euroscepticism. These findings challenge received positive and normative theories about transparency in international institutions, and contribute to the literature on informal governance, negotiation studies, EU politics, and the transnational democratic deficit.</w:t>
      </w:r>
    </w:p>
    <w:p/>
    <w:p>
      <w:r>
        <w:rPr>
          <w:rFonts w:ascii="Times New Roman" w:hAnsi="Times New Roman" w:eastAsia="黑体"/>
          <w:b/>
          <w:i w:val="0"/>
          <w:sz w:val="24"/>
        </w:rPr>
        <w:t>描绘中国在联合国的影响力</w:t>
      </w:r>
    </w:p>
    <w:p>
      <w:r>
        <w:rPr>
          <w:rFonts w:ascii="Times New Roman" w:hAnsi="Times New Roman" w:eastAsia="宋体"/>
          <w:b w:val="0"/>
          <w:i/>
          <w:color w:val="404040"/>
          <w:sz w:val="20"/>
        </w:rPr>
        <w:t>Mapping China’s influence at the United Nations</w:t>
      </w:r>
    </w:p>
    <w:p>
      <w:r>
        <w:rPr>
          <w:rFonts w:ascii="Times New Roman" w:hAnsi="Times New Roman" w:eastAsia="宋体"/>
          <w:b w:val="0"/>
          <w:i w:val="0"/>
          <w:color w:val="595959"/>
          <w:sz w:val="18"/>
        </w:rPr>
        <w:t>Shing-hon Lam；Courtney J. Fung</w:t>
      </w:r>
    </w:p>
    <w:p>
      <w:r>
        <w:rPr>
          <w:rFonts w:ascii="Times New Roman" w:hAnsi="Times New Roman" w:eastAsia="宋体"/>
          <w:b w:val="0"/>
          <w:i w:val="0"/>
          <w:sz w:val="22"/>
        </w:rPr>
        <w:t>摘要：新兴大国如何获得国际领导职位？这些国际公务员职位如何增强新兴大国在多边机构中的影响力？以中国作为联合国系统中的新兴大国为焦点，作者发现中国与其他较弱国家结成联盟以控制领导层人事任命。作者将联合国投票亲近度数据与联合国六大主要机构下属部门和机构利用不足的国籍—领导层数据结合，发现与中国在联大投票亲近度更高的国家获得的联合国领导职位增加更多。作者进而考察这些官僚领导职位对中国影响力的作用，将分析范围限定在话语层面（即自由主义外交话语与中国话语的趋同）。对54个联合国部门文件与中国产出文件应用文本分析方法，结果显示亲华领导层与其报告中中国特有术语和经中国重新诠释的词语出现频率正相关。研究表明中国在联合国系统中具有影响力，即国际官僚的世界观向其感知的委托人中国趋同。</w:t>
      </w:r>
    </w:p>
    <w:p>
      <w:r>
        <w:rPr>
          <w:rFonts w:ascii="Times New Roman" w:hAnsi="Times New Roman" w:eastAsia="宋体"/>
          <w:b w:val="0"/>
          <w:i w:val="0"/>
          <w:sz w:val="20"/>
        </w:rPr>
        <w:t>How do emerging powers secure international leadership posts? How do these international civil service positions contribute to an emerging power’s influence in multilateral institutions? Focusing on China as an emerging power in the UN system, we find that China forms coalitions with other weaker states to control leadership personnel appointments. We couple UN voting affinity data with under-utilized nationality-leadership data of the UN’s six principal organs’ departments and agencies. States with higher UN General Assembly voting affinity with China in turn secure a greater increase in UN leadership positions. We then investigate the effect of these bureaucratic leadership positions for China’s influence, scoping analysis to discourse (i.e. aligning liberal diplomatic discourse with PRC discourse). Applying text analysis methods to 54 UN departments against PRC-produced documentation, we show that China-friendly leadership positively correlates with the frequency of PRC-specific terms and PRC-reinterpreted words in its reports. Our findings illustrate that China wields influence in the UN system, i.e. the worldview of the international bureaucrats converges with their perceived principal, China. Our project advances research largely focused on United States and its allies’ influence in the multilateral system, and speaks to a limited literature on emerging power’s attempts to influence multilateral institutions.</w:t>
      </w:r>
    </w:p>
    <w:p/>
    <w:p>
      <w:r>
        <w:rPr>
          <w:rFonts w:ascii="Times New Roman" w:hAnsi="Times New Roman" w:eastAsia="黑体"/>
          <w:b/>
          <w:i w:val="0"/>
          <w:sz w:val="24"/>
        </w:rPr>
        <w:t>气候承诺中的承诺模糊性与雄心</w:t>
      </w:r>
    </w:p>
    <w:p>
      <w:r>
        <w:rPr>
          <w:rFonts w:ascii="Times New Roman" w:hAnsi="Times New Roman" w:eastAsia="宋体"/>
          <w:b w:val="0"/>
          <w:i/>
          <w:color w:val="404040"/>
          <w:sz w:val="20"/>
        </w:rPr>
        <w:t>Commitment ambiguity and ambition in climate pledges</w:t>
      </w:r>
    </w:p>
    <w:p>
      <w:r>
        <w:rPr>
          <w:rFonts w:ascii="Times New Roman" w:hAnsi="Times New Roman" w:eastAsia="宋体"/>
          <w:b w:val="0"/>
          <w:i w:val="0"/>
          <w:color w:val="595959"/>
          <w:sz w:val="18"/>
        </w:rPr>
        <w:t>Vegard Tørstad；Vegard Wiborg</w:t>
      </w:r>
    </w:p>
    <w:p>
      <w:r>
        <w:rPr>
          <w:rFonts w:ascii="Times New Roman" w:hAnsi="Times New Roman" w:eastAsia="宋体"/>
          <w:b w:val="0"/>
          <w:i w:val="0"/>
          <w:sz w:val="22"/>
        </w:rPr>
        <w:t>摘要：《巴黎协定》围绕“承诺与审评”体系构建，各国提交国家自主决定的减缓承诺。协定的灵活设计吸引了广泛参与，但对承诺宽松的信息要求也导致各国承诺相当模糊。承诺模糊性对遵约可信度及条约整体有效性意味着什么？本文通过评估各国巴黎承诺中承诺模糊性与雄心的关系回答这些问题。作者提出一个将承诺模糊性分为结构性与策略性两种形式的模型，认为结构性模糊——源于政府准确评估其承诺潜力所需信息的约束——会抑制承诺的雄心水平。这种“审慎效应”由遵约担忧驱动：预期不遵约时的受众成本促使决策者下调雄心。对各国NDC的实证分析表明模糊承诺的雄心低于精确承诺，且这一审慎效应主要体现在民主国家。</w:t>
      </w:r>
    </w:p>
    <w:p>
      <w:r>
        <w:rPr>
          <w:rFonts w:ascii="Times New Roman" w:hAnsi="Times New Roman" w:eastAsia="宋体"/>
          <w:b w:val="0"/>
          <w:i w:val="0"/>
          <w:sz w:val="20"/>
        </w:rPr>
        <w:t>The Paris Agreement on climate change is built around a pledge-and-review system, wherein countries submit nationally determined pledges of mitigation commitments. While the agreement’s flexible design has attracted broad participation, its lenient informational requirements for pledges have also engendered considerable ambiguity in countries’ commitments. What are the implications of commitment ambiguity on the credibility of compliance and treaty effectiveness more broadly? This article sheds light on these questions by evaluating the relationship between commitment ambiguity and ambition in countries’ Paris pledges. We introduce a model that disentangles commitment ambiguity into two distinct forms: structural and strategic. We argue that structural ambiguity, which arises from constraints on the information necessary for governments to accurately assess their commitment potential, dampens the ambition levels of pledges. This prudence effect is driven by compliance concern: the anticipation of audience costs in case of non-compliance induces policymakers to adjust ambition downwards. Our empirical analysis of countries’ Nationally Determined Contributions demonstrates that ambiguous pledges exhibit lower ambition than precise ones. In line with our theory, this prudence effect of ambiguity is mainly pronounced among democracies, which face higher domestic audience costs in case of non-compliance with pledges than autocracies. This article contributes a novel theory of ambiguity and ambition in international institutions, which shows how audience-based compliance concerns can discipline cheap talk. Moreover, the article’s empirical findings provide insight into the credibility of countries’ climate pledges under the Paris Agreement, with implications for the treaty’s overall effectiveness prospects.</w:t>
      </w:r>
    </w:p>
    <w:p/>
    <w:p>
      <w:r>
        <w:rPr>
          <w:rFonts w:ascii="Times New Roman" w:hAnsi="Times New Roman" w:eastAsia="黑体"/>
          <w:b/>
          <w:i w:val="0"/>
          <w:sz w:val="24"/>
        </w:rPr>
        <w:t>应对反弹的制度创新：成员如何绕开WTO僵局</w:t>
      </w:r>
    </w:p>
    <w:p>
      <w:r>
        <w:rPr>
          <w:rFonts w:ascii="Times New Roman" w:hAnsi="Times New Roman" w:eastAsia="宋体"/>
          <w:b w:val="0"/>
          <w:i/>
          <w:color w:val="404040"/>
          <w:sz w:val="20"/>
        </w:rPr>
        <w:t>Institutional innovation in response to backlash: How members are circumventing the WTO impasse</w:t>
      </w:r>
    </w:p>
    <w:p>
      <w:r>
        <w:rPr>
          <w:rFonts w:ascii="Times New Roman" w:hAnsi="Times New Roman" w:eastAsia="宋体"/>
          <w:b w:val="0"/>
          <w:i w:val="0"/>
          <w:color w:val="595959"/>
          <w:sz w:val="18"/>
        </w:rPr>
        <w:t>Krzysztof Pelc</w:t>
      </w:r>
    </w:p>
    <w:p>
      <w:r>
        <w:rPr>
          <w:rFonts w:ascii="Times New Roman" w:hAnsi="Times New Roman" w:eastAsia="宋体"/>
          <w:b w:val="0"/>
          <w:i w:val="0"/>
          <w:sz w:val="22"/>
        </w:rPr>
        <w:t>摘要：为应对美国阻挠WTO争端解决机构造成的僵局，52个成员汇聚于一项创新的变通方案：多方临时上诉仲裁安排（MPIA）。本文提出与这一独特却被忽视的全球治理倡议相关的两个问题：第一，在全球反贸易自由化“反弹”中，什么决定谁加入新的执行机制？第二，MPIA是否有效？考察MPIA设立前各国贸易政策发现，参与的主要动机是可以挑战贸易伙伴的措施，而易受他国挑战并不阻碍加入；同一分析可预测后续加入者，与轶事证据相符。推论是若美国与他国推理相似，其贸易结构表明它从更可信的执行中获益不多，这或可解释其在WTO改革谈判中缺乏热情。其次，利用随时间变化的双边贸易措施，作者提供证据表明即使在早期阶段MPIA已在成员间产生威慑，且效应在增强。</w:t>
      </w:r>
    </w:p>
    <w:p>
      <w:r>
        <w:rPr>
          <w:rFonts w:ascii="Times New Roman" w:hAnsi="Times New Roman" w:eastAsia="宋体"/>
          <w:b w:val="0"/>
          <w:i w:val="0"/>
          <w:sz w:val="20"/>
        </w:rPr>
        <w:t>In response to the impasse caused by the US blockade of the World Trade Organization’s dispute settlement body, 52 Member-states have converged on a innovative workaround: the Multi-Party Interim Appeal Arbitration Arrangement (MPIA). This article asks two questions related to this singular, yet overlooked initiative in global governance: first, what determines who joins a novel enforcement mechanism in the midst of a global “backlash” against trade liberalization? Secondly, does the MPIA work? Examining countries’ trade policy in the run-up to the MPIA’s creation suggests that the main motivation for MPIA participation is the possibility to challenge trade partners’ measures; vulnerability to others’ challenges, conversely, does not deter joining. The same analysis can be used to predict subsequent MPIA entrants, in ways that match anecdotal evidence. A corollary finding is that insofar as the US reasons similarly to other countries, its trade profile suggests it does not stand to gain much from more credible enforcement, which may explain its lack of zeal during WTO reform negotiations. Secondly, looking at dyadic trade measures over time, we offer evidence that even at this early stage, the MPIA generates deterrence among its members, and this effect is growing. From an institutional standpoint, the experiment appears to be working: the MPIA is not only an interim solution, but also a prototype for institutional innovation in the face of backlash.</w:t>
      </w:r>
    </w:p>
    <w:p/>
    <w:p>
      <w:r>
        <w:rPr>
          <w:rFonts w:ascii="Times New Roman" w:hAnsi="Times New Roman" w:eastAsia="宋体"/>
          <w:b/>
          <w:i w:val="0"/>
          <w:sz w:val="22"/>
        </w:rPr>
        <w:t>RIO： Vol. 20, No. 3, 2025</w:t>
      </w:r>
    </w:p>
    <w:p/>
    <w:p>
      <w:r>
        <w:rPr>
          <w:rFonts w:ascii="Times New Roman" w:hAnsi="Times New Roman" w:eastAsia="黑体"/>
          <w:b/>
          <w:i w:val="0"/>
          <w:sz w:val="24"/>
        </w:rPr>
        <w:t>企业监管阻碍还是刺激投资？OECD反贿赂公约对外国直接投资的影响</w:t>
      </w:r>
    </w:p>
    <w:p>
      <w:r>
        <w:rPr>
          <w:rFonts w:ascii="Times New Roman" w:hAnsi="Times New Roman" w:eastAsia="宋体"/>
          <w:b w:val="0"/>
          <w:i/>
          <w:color w:val="404040"/>
          <w:sz w:val="20"/>
        </w:rPr>
        <w:t>Do corporate regulations deter or stimulate investment? The effect of the OECD anti-bribery convention on FDI</w:t>
      </w:r>
    </w:p>
    <w:p>
      <w:r>
        <w:rPr>
          <w:rFonts w:ascii="Times New Roman" w:hAnsi="Times New Roman" w:eastAsia="宋体"/>
          <w:b w:val="0"/>
          <w:i w:val="0"/>
          <w:color w:val="595959"/>
          <w:sz w:val="18"/>
        </w:rPr>
        <w:t>Lorenzo Crippa</w:t>
      </w:r>
    </w:p>
    <w:p>
      <w:r>
        <w:rPr>
          <w:rFonts w:ascii="Times New Roman" w:hAnsi="Times New Roman" w:eastAsia="宋体"/>
          <w:b w:val="0"/>
          <w:i w:val="0"/>
          <w:sz w:val="22"/>
        </w:rPr>
        <w:t>摘要：各国通过在国际组织下协调监管来禁止企业的跨国金融犯罪：在这些国际组织下，国家威胁在国内起诉企业的海外不当行为，这有助于促使企业向海外扩散可持续商业模式。本文研究企业刑事监管对企业外国直接投资的影响。批评者认为这类政策会使企业投资远离金融犯罪更可能发生的东道国，但监管也应降低犯罪的非正式成本、有利于投资。作者调和这两种相反预期，认为多边反贿赂政策对FDI的影响取决于东道国腐败程度：在非腐败国家为零；在中度腐败国家为正，因法律为拒绝行贿提供了法律杠杆并降低腐败成本；在腐败泛滥国家为负，因反贿赂法使企业承担额外监管成本。2006—2011年3871家企业的投资数据显示，受监管企业在中度腐败经济体投资的概率比未受监管企业高27%，在极度腐败国家则骤降52%。</w:t>
      </w:r>
    </w:p>
    <w:p>
      <w:r>
        <w:rPr>
          <w:rFonts w:ascii="Times New Roman" w:hAnsi="Times New Roman" w:eastAsia="宋体"/>
          <w:b w:val="0"/>
          <w:i w:val="0"/>
          <w:sz w:val="20"/>
        </w:rPr>
        <w:t>Countries prohibit firms’ transnational financial crime by coordinating their regulations under international organizations (IOs). Under these IOs, states threaten to prosecute firms’ foreign misconduct at home. Such threats can help conscript companies to diffuse sustainable business models abroad. This paper studies the effect of corporate criminal regulations on firms’ foreign direct investment (FDI). Critics of these policies claim they push firms’ investment away from host economies where financial crime is more likely to happen. Yet, regulations should also cut informal costs of crime and favor investment. I reconcile these opposed expectations and show they are special cases of the same argument. I claim that the effect of multilateral anti-bribery policies on FDI depends on the level of corruption of the host economy. It is null in non-corrupt countries. It is positive where corruption is moderate: here, laws provide legal leverage to refuse paying bribes and cut corruption costs. The effect is negative where corruption is endemic: here, anti-bribery laws expose firms to additional regulatory costs. I support the argument with multiple evidence. Company-level data on investment by 3871 firms between 2006 and 2011 show that regulated corporations have a $$27\%$$ 27 % higher probability of investing in moderately corrupt economies than unregulated firms, which plummets to $$-52\%$$ - 52 % in extremely corrupt countries. A synthetic counterfactual design using country-dyadic FDI flows corroborates this finding. Results show that regulatory policies harmonized by IOs change international competition for FDI in ways that do not necessarily harm regulated firms.</w:t>
      </w:r>
    </w:p>
    <w:p/>
    <w:p>
      <w:r>
        <w:rPr>
          <w:rFonts w:ascii="Times New Roman" w:hAnsi="Times New Roman" w:eastAsia="黑体"/>
          <w:b/>
          <w:i w:val="0"/>
          <w:sz w:val="24"/>
        </w:rPr>
        <w:t>影响力与对外援助支持：来自美国和中国的证据</w:t>
      </w:r>
    </w:p>
    <w:p>
      <w:r>
        <w:rPr>
          <w:rFonts w:ascii="Times New Roman" w:hAnsi="Times New Roman" w:eastAsia="宋体"/>
          <w:b w:val="0"/>
          <w:i/>
          <w:color w:val="404040"/>
          <w:sz w:val="20"/>
        </w:rPr>
        <w:t>Influence and support for foreign aid: Evidence from the United States and China</w:t>
      </w:r>
    </w:p>
    <w:p>
      <w:r>
        <w:rPr>
          <w:rFonts w:ascii="Times New Roman" w:hAnsi="Times New Roman" w:eastAsia="宋体"/>
          <w:b w:val="0"/>
          <w:i w:val="0"/>
          <w:color w:val="595959"/>
          <w:sz w:val="18"/>
        </w:rPr>
        <w:t>Austin Strange</w:t>
      </w:r>
    </w:p>
    <w:p>
      <w:r>
        <w:rPr>
          <w:rFonts w:ascii="Times New Roman" w:hAnsi="Times New Roman" w:eastAsia="宋体"/>
          <w:b w:val="0"/>
          <w:i w:val="0"/>
          <w:sz w:val="22"/>
        </w:rPr>
        <w:t>摘要：公众何时支持对外援助？现有研究多聚焦基于经济、意识形态和情感考量的个人与社会性支持来源。本文考察一个可能被低估的对外援助态度来源：为本国带来的外交政策影响力。作者认为观察者能直觉地将不同类型援助与不同影响力结果联系起来，影响力前景通常会增加对对外援助的支持。为检验这些主张，作者在两个最大的援助与贷款国——美国和中国——开展平行调查实验，发现援助项目的交付方式和可见程度影响其被感知的影响力价值，受访者理解并普遍支持将援助用于获取影响力。直接援助政府似乎并不增加支持，但项目可见度会增加支持，而对直接提供给东道国政府的可见援助支持尤其高。</w:t>
      </w:r>
    </w:p>
    <w:p>
      <w:r>
        <w:rPr>
          <w:rFonts w:ascii="Times New Roman" w:hAnsi="Times New Roman" w:eastAsia="宋体"/>
          <w:b w:val="0"/>
          <w:i w:val="0"/>
          <w:sz w:val="20"/>
        </w:rPr>
        <w:t>When do members of the public support outgoing foreign aid? Existing research often focuses on individual and sociotropic sources of support based on economic, ideological, and emotional considerations. This article examines a potentially under-appreciated source of attitudes toward outgoing aid: foreign policy influence for one’s country. I argue that observers can make intuitive associations between different types of aid and different influence outcomes, and that the prospect of influence will generally increase support for outgoing aid. To test these claims, I conduct parallel survey experiments in the two largest donor and lender countries, the United States and China. I find that an aid project’s mode of delivery and degree of visibility affect its perceived value for influence-seeking, and that respondents understand and generally support the use of aid for influence. While direct aid to governments does not appear to increase support, project visibility does, and support is particularly high for visible aid provided directly to host country governments. The findings contribute to existing international relations and political economy research on aid and public opinion, international influence, and Chinese development finance.</w:t>
      </w:r>
    </w:p>
    <w:p/>
    <w:p>
      <w:r>
        <w:rPr>
          <w:rFonts w:ascii="Times New Roman" w:hAnsi="Times New Roman" w:eastAsia="黑体"/>
          <w:b/>
          <w:i w:val="0"/>
          <w:sz w:val="24"/>
        </w:rPr>
        <w:t>超越民族国家的意识形态分野：国际议会中跨国政治团体的出现</w:t>
      </w:r>
    </w:p>
    <w:p>
      <w:r>
        <w:rPr>
          <w:rFonts w:ascii="Times New Roman" w:hAnsi="Times New Roman" w:eastAsia="宋体"/>
          <w:b w:val="0"/>
          <w:i/>
          <w:color w:val="404040"/>
          <w:sz w:val="20"/>
        </w:rPr>
        <w:t>Ideological cleavages beyond the nation-state: The emergence of transnational political groups in international parliaments</w:t>
      </w:r>
    </w:p>
    <w:p>
      <w:r>
        <w:rPr>
          <w:rFonts w:ascii="Times New Roman" w:hAnsi="Times New Roman" w:eastAsia="宋体"/>
          <w:b w:val="0"/>
          <w:i w:val="0"/>
          <w:color w:val="595959"/>
          <w:sz w:val="18"/>
        </w:rPr>
        <w:t>Siyana Gurova</w:t>
      </w:r>
    </w:p>
    <w:p>
      <w:r>
        <w:rPr>
          <w:rFonts w:ascii="Times New Roman" w:hAnsi="Times New Roman" w:eastAsia="宋体"/>
          <w:b w:val="0"/>
          <w:i w:val="0"/>
          <w:sz w:val="22"/>
        </w:rPr>
        <w:t>摘要：人们普遍认为领土分野主导国际领域，意识形态区分没有空间。然而13个国际议会中50多个跨国政治团体的形成挑战了这一假设，质疑了意识形态在民族国家边界之外无足轻重的传统看法。本文首次从比较视角研究跨国政治团体令人困惑的存在，并界定其在国际议会中出现的条件。理论论点是：国际议会成员国在政治体制、经济发展水平和地理邻近三个维度上的同质性促进跨国政治团体的产生。时序截面数据回归分析支持该理论。</w:t>
      </w:r>
    </w:p>
    <w:p>
      <w:r>
        <w:rPr>
          <w:rFonts w:ascii="Times New Roman" w:hAnsi="Times New Roman" w:eastAsia="宋体"/>
          <w:b w:val="0"/>
          <w:i w:val="0"/>
          <w:sz w:val="20"/>
        </w:rPr>
        <w:t>Territorial divisions are commonly believed to dominate the international realm, supposedly leaving no room for ideological distinctions to take shape. However, the formation of over fifty transnational political groups (TPGs) across thirteen international parliaments challenges this assumption, calling into question the previously accepted insignificance of ideology beyond the boundaries of the nation-state. Previously unexplored in comparative perspective, this paper investigates TPGs’ puzzling existence and delineates the conditions for their emergence within international parliaments. The theoretical argument is that homogeneity across the member states of the international parliament along three dimensions – political systems, economic development levels and geographical proximity – fosters the creation of transnational political groups. Results from regression analysis on time series cross-sectional data lend support to the theory. With the rise of international parliamentary institutions and their increased involvement in supranational decision-making over time, it becomes highly important to understand how they organize as well as the implications of their institutional designs.</w:t>
      </w:r>
    </w:p>
    <w:p/>
    <w:p>
      <w:r>
        <w:rPr>
          <w:rFonts w:ascii="Times New Roman" w:hAnsi="Times New Roman" w:eastAsia="黑体"/>
          <w:b/>
          <w:i w:val="0"/>
          <w:sz w:val="24"/>
        </w:rPr>
        <w:t>民粹主义与公众对国际组织的态度：投票、传播与教育</w:t>
      </w:r>
    </w:p>
    <w:p>
      <w:r>
        <w:rPr>
          <w:rFonts w:ascii="Times New Roman" w:hAnsi="Times New Roman" w:eastAsia="宋体"/>
          <w:b w:val="0"/>
          <w:i/>
          <w:color w:val="404040"/>
          <w:sz w:val="20"/>
        </w:rPr>
        <w:t>Populism and public attitudes toward international organizations: Voting, communication, and education</w:t>
      </w:r>
    </w:p>
    <w:p>
      <w:r>
        <w:rPr>
          <w:rFonts w:ascii="Times New Roman" w:hAnsi="Times New Roman" w:eastAsia="宋体"/>
          <w:b w:val="0"/>
          <w:i w:val="0"/>
          <w:color w:val="595959"/>
          <w:sz w:val="18"/>
        </w:rPr>
        <w:t>Osman Sabri Kiratli；Bernd Schlipphak</w:t>
      </w:r>
    </w:p>
    <w:p>
      <w:r>
        <w:rPr>
          <w:rFonts w:ascii="Times New Roman" w:hAnsi="Times New Roman" w:eastAsia="宋体"/>
          <w:b w:val="0"/>
          <w:i w:val="0"/>
          <w:sz w:val="22"/>
        </w:rPr>
        <w:t>摘要：民粹主义对公众的国际组织态度有何影响？本文首次区分民粹传播（与民粹核心观念一致的国际组织批评）和作为公民政治行为的民粹投票。作者认为：第一，民粹选民（投票给民粹政党的公民）对国际组织更具批判性；第二，民粹政党常采用的、基于全球治理民主赤字和国家主权丧失的国际组织批评性传播，对公众的国际组织态度有显著破坏性影响；第三，这种负面效应在民粹选民中更强；第四，在不同教育水平群体间显著不同。利用世界价值观调查第七波数据，作者表明民粹选民显著更怀疑国际组织，且民粹投票效应在受过更多教育的公民中最强；预注册调查实验显示国际组织批评性传播大幅降低对国际组织的信心，民粹与非民粹选民的易感性无差异，但对高学历者影响最大。</w:t>
      </w:r>
    </w:p>
    <w:p>
      <w:r>
        <w:rPr>
          <w:rFonts w:ascii="Times New Roman" w:hAnsi="Times New Roman" w:eastAsia="宋体"/>
          <w:b w:val="0"/>
          <w:i w:val="0"/>
          <w:sz w:val="20"/>
        </w:rPr>
        <w:t>What effect does populism have on public attitudes toward International Organizations (IOs)? In this article, we differentiate for the first time between populist communication – understood as IO criticism in line with populist core ideas – and populist voting as political behavior among citizens. We argue, first, that populist voters – that is, citizens voting for a populist party – are more critical of IOs. Second, IO-critical communication based on the democratic deficit of global governance and the loss of national sovereignty that populist parties often adopt have a substantially damaging impact on public IO attitudes. Third, we propose that the negative effect of IO-critical communication should be stronger among populist voters, and, fourth, considerably vary among groups of different educational levels. To test our theoretical expectations, we first turn to World Values Survey data (7th wave) and demonstrate that populist voters are significantly more skeptical of IOs than non-populist voters, while the effect of populist voting is strongest for more educated citizens. Second, we use a preregistered survey experiment to explore the effect of IO-critical communication on IO favorability and determine if populist voting and educational levels moderate these communication effects. Our findings reveal that IO-critical communication substantially decreases confidence in IOs. Populist and non-populist voters do not differ in their susceptibility, yet IO-critical communication exerts its greatest effects among the higher educated.</w:t>
      </w:r>
    </w:p>
    <w:p/>
    <w:p>
      <w:r>
        <w:rPr>
          <w:rFonts w:ascii="Times New Roman" w:hAnsi="Times New Roman" w:eastAsia="黑体"/>
          <w:b/>
          <w:i w:val="0"/>
          <w:sz w:val="24"/>
        </w:rPr>
        <w:t>用醋还是用蜜捉苍蝇？羞辱、赞扬与公众对国际协定的支持</w:t>
      </w:r>
    </w:p>
    <w:p>
      <w:r>
        <w:rPr>
          <w:rFonts w:ascii="Times New Roman" w:hAnsi="Times New Roman" w:eastAsia="宋体"/>
          <w:b w:val="0"/>
          <w:i/>
          <w:color w:val="404040"/>
          <w:sz w:val="20"/>
        </w:rPr>
        <w:t>Catching flies with vinegar or honey? Shaming, praising, and public support for international agreements</w:t>
      </w:r>
    </w:p>
    <w:p>
      <w:r>
        <w:rPr>
          <w:rFonts w:ascii="Times New Roman" w:hAnsi="Times New Roman" w:eastAsia="宋体"/>
          <w:b w:val="0"/>
          <w:i w:val="0"/>
          <w:color w:val="595959"/>
          <w:sz w:val="18"/>
        </w:rPr>
        <w:t>Naomi Egel</w:t>
      </w:r>
    </w:p>
    <w:p>
      <w:r>
        <w:rPr>
          <w:rFonts w:ascii="Times New Roman" w:hAnsi="Times New Roman" w:eastAsia="宋体"/>
          <w:b w:val="0"/>
          <w:i w:val="0"/>
          <w:sz w:val="22"/>
        </w:rPr>
        <w:t>摘要：国际羞辱与赞扬如何影响国内对加入国际协定的支持？许多学者考察了羞辱在促使国家支持国际协定中的作用，关于社会谴责的大量文献表明政府和公民都对被点名羞辱敏感，但对国际关系中赞扬的动态及其与羞辱的比较知之甚少。本文利用调查实验检验并比较赞扬与羞辱对个人支持本国政府加入国际协定的影响，具体检验来自他国的赞扬或羞辱是否促使个人支持本国加入一项禁止使用爆炸性武器的假设协定。研究发现赞扬能有效提高公众对加入条约的支持，而羞辱则不能。</w:t>
      </w:r>
    </w:p>
    <w:p>
      <w:r>
        <w:rPr>
          <w:rFonts w:ascii="Times New Roman" w:hAnsi="Times New Roman" w:eastAsia="宋体"/>
          <w:b w:val="0"/>
          <w:i w:val="0"/>
          <w:sz w:val="20"/>
        </w:rPr>
        <w:t>How does international shaming and praising affect domestic support for joining international agreements? Many scholars have examined the role of shaming in leading countries to support international agreements, and a wide literature on social opprobrium suggests that both governments and citizens are sensitive to being named and shamed. Yet far less is known about the dynamics of praise in international relations and how they compare to the dynamics of shame. This article uses a survey experiment to test and compare the effects of praising and shaming on individuals’ support for their government joining an international agreement. Specifically, it tests whether praising or shaming from other countries leads individuals to support their country joining a hypothetical international agreement that would ban the use of explosive weapons. It finds that praising is effective in increasing public support for joining the treaty, while shaming is not. By examining the extent to which praising and shaming can shape public opinion on international security agreements, this article provides new insights regarding how states and NGOs can use these rhetorical tools to build support for new legal norms. For policymakers and activists seeking to promote new norms and agreements, understanding the role of praising and shaming in changing public opinion can help them better direct their resources and improve their strategies.</w:t>
      </w:r>
    </w:p>
    <w:p/>
    <w:p>
      <w:r>
        <w:rPr>
          <w:rFonts w:ascii="Times New Roman" w:hAnsi="Times New Roman" w:eastAsia="黑体"/>
          <w:b/>
          <w:i w:val="0"/>
          <w:sz w:val="24"/>
        </w:rPr>
        <w:t>利用条约模糊性：WTO TRIPS协定中的公共卫生例外</w:t>
      </w:r>
    </w:p>
    <w:p>
      <w:r>
        <w:rPr>
          <w:rFonts w:ascii="Times New Roman" w:hAnsi="Times New Roman" w:eastAsia="宋体"/>
          <w:b w:val="0"/>
          <w:i/>
          <w:color w:val="404040"/>
          <w:sz w:val="20"/>
        </w:rPr>
        <w:t>Exploiting treaty ambiguity: Public health exceptions in the WTO TRIPS agreement</w:t>
      </w:r>
    </w:p>
    <w:p>
      <w:r>
        <w:rPr>
          <w:rFonts w:ascii="Times New Roman" w:hAnsi="Times New Roman" w:eastAsia="宋体"/>
          <w:b w:val="0"/>
          <w:i w:val="0"/>
          <w:color w:val="595959"/>
          <w:sz w:val="18"/>
        </w:rPr>
        <w:t>Sojun Park；Lauren C. Konken</w:t>
      </w:r>
    </w:p>
    <w:p>
      <w:r>
        <w:rPr>
          <w:rFonts w:ascii="Times New Roman" w:hAnsi="Times New Roman" w:eastAsia="宋体"/>
          <w:b w:val="0"/>
          <w:i w:val="0"/>
          <w:sz w:val="22"/>
        </w:rPr>
        <w:t>摘要：条约例外长期被视为国际协定设计的关键，但协定也通过“建设性模糊”——用刻意模糊的词语界定条约术语——留出“回旋余地”。国家何时更可能利用条约模糊性？利用方式是什么？作者认为在面临持续回应国内需求压力的民主国家，政府更可能立法明确可适用国际条约例外的情形；这在面临外国企业和发达国家外部压力的发展中民主国家尤甚。作者在WTO《与贸易有关的知识产权协定》（TRIPS）及2000—2012年艾滋病药物强制许可立法的情境中检验理论，发现当艾滋病药物公众可及性有限但需求高时，民主政府更可能根据TRIPS例外立法明确公共卫生保护，尤其在外国专利持有比例高的发展中国家。</w:t>
      </w:r>
    </w:p>
    <w:p>
      <w:r>
        <w:rPr>
          <w:rFonts w:ascii="Times New Roman" w:hAnsi="Times New Roman" w:eastAsia="宋体"/>
          <w:b w:val="0"/>
          <w:i w:val="0"/>
          <w:sz w:val="20"/>
        </w:rPr>
        <w:t>Treaty exceptions have long been viewed as essential to the design of international agreements. Yet, agreements also leave ‘room to maneuver’ through the use of constructive ambiguity, that is, by defining treaty terms with deliberately ambiguous words. When are countries more likely to exploit this treaty ambiguity? What does this exploitation look like? We argue that in democratic countries, where states face continued pressures to react to domestic needs, governments are more likely to legislate unambiguous circumstances in which they can apply international treaty exceptions. We argue this should be especially true in developing democracies facing external pressure from foreign firms and developed countries to legislate public policy with their external interests in mind. We test our theory in the context of the World Trade Organization (WTO) Trade-Related Aspects of Intellectual Property Rights (TRIPS) Agreement and compulsory licensing legislation for HIV/AIDS drugs between 2000 and 2012. We find that when public access to medicines for HIV/AIDS is limited but in high demand, democratic governments are more likely to legislate explicit public health protection under TRIPS exceptions, especially in developing countries with high rates of foreign patent ownership. We conclude that such exploitation is most likely when countries seek to prevent precedents by action, or adjudication, that better define constructively ambiguous treaty terms.</w:t>
      </w:r>
    </w:p>
    <w:p/>
    <w:p>
      <w:r>
        <w:rPr>
          <w:rFonts w:ascii="Times New Roman" w:hAnsi="Times New Roman" w:eastAsia="黑体"/>
          <w:b/>
          <w:i w:val="0"/>
          <w:sz w:val="24"/>
        </w:rPr>
        <w:t>信任问题：公众对援助国家自主权的支持</w:t>
      </w:r>
    </w:p>
    <w:p>
      <w:r>
        <w:rPr>
          <w:rFonts w:ascii="Times New Roman" w:hAnsi="Times New Roman" w:eastAsia="宋体"/>
          <w:b w:val="0"/>
          <w:i/>
          <w:color w:val="404040"/>
          <w:sz w:val="20"/>
        </w:rPr>
        <w:t>A matter of trust: Public support for country ownership over aid</w:t>
      </w:r>
    </w:p>
    <w:p>
      <w:r>
        <w:rPr>
          <w:rFonts w:ascii="Times New Roman" w:hAnsi="Times New Roman" w:eastAsia="宋体"/>
          <w:b w:val="0"/>
          <w:i w:val="0"/>
          <w:color w:val="595959"/>
          <w:sz w:val="18"/>
        </w:rPr>
        <w:t>Kentaro Hirose；Gabriella R. Montinola；Matthew S. Winters；Masaru Kohno</w:t>
      </w:r>
    </w:p>
    <w:p>
      <w:r>
        <w:rPr>
          <w:rFonts w:ascii="Times New Roman" w:hAnsi="Times New Roman" w:eastAsia="宋体"/>
          <w:b w:val="0"/>
          <w:i w:val="0"/>
          <w:sz w:val="22"/>
        </w:rPr>
        <w:t>摘要：国际捐助方强调在提供援助中加强受援国自主权，因为这据称能促进资源有效利用并增强受援国行政能力。然而发展中国家公民在这一问题上的偏好并不清楚：他们更希望本国政府控制援助资源，还是在某些条件下更希望捐助方保持对援助执行的控制？作者在缅甸、尼泊尔和印尼开展平行调查实验，设计两项信息处理：一是谁执行援助（捐助方或受援国政府），二是外国捐助方的可信度。对捐助方的信任处理平均提高了三国对援助的支持；而在援助控制方面处理效应存在异质性：由捐助方而非政府控制援助降低了印尼和缅甸的支持，却提高了尼泊尔的支持。跨国差异源于个体对援助控制反应的一致性差异，更多受受访者对本国政府信任而非对捐助方信任的影响。</w:t>
      </w:r>
    </w:p>
    <w:p>
      <w:r>
        <w:rPr>
          <w:rFonts w:ascii="Times New Roman" w:hAnsi="Times New Roman" w:eastAsia="宋体"/>
          <w:b w:val="0"/>
          <w:i w:val="0"/>
          <w:sz w:val="20"/>
        </w:rPr>
        <w:t>International donors emphasize greater recipient-country ownership in the delivery of foreign assistance because it ostensibly promotes the efficient use of resources and strengthens recipient-country administrative capacity. The preferences of citizens in developing countries, however, are not well understood on this matter. Do they prefer that their own governments control foreign aid resources, or are there conditions under which they instead prefer that donors maintain control over how aid is implemented? We explore these questions through parallel survey experiments in Myanmar, Nepal, and Indonesia. Our experimental vignettes include two informational treatments: one about who implements aid (i.e., the donor or the recipient government) and the other about the trustworthiness of the foreign donor. The trust-in-donor treatment, on average, increases levels of support for aid in all three countries. In contrast, we observe heterogenous average treatment effects regarding aid control: control of aid by the donor rather than the government reduces levels of support in Indonesia and Myanmar, whereas it increases support levels in Nepal. We show how the cross-country variation in ATEs originates in consistent individual-level variation in reactions to aid control that is more shaped by respondents’ trust in their own government than their trust in the donor.</w:t>
      </w:r>
    </w:p>
    <w:p/>
    <w:p>
      <w:r>
        <w:rPr>
          <w:rFonts w:ascii="Times New Roman" w:hAnsi="Times New Roman" w:eastAsia="黑体"/>
          <w:b/>
          <w:i w:val="0"/>
          <w:sz w:val="24"/>
        </w:rPr>
        <w:t>有效的气候俱乐部需要雄心、杠杆与隔离：气候变化与贸易议题挂钩的理论化</w:t>
      </w:r>
    </w:p>
    <w:p>
      <w:r>
        <w:rPr>
          <w:rFonts w:ascii="Times New Roman" w:hAnsi="Times New Roman" w:eastAsia="宋体"/>
          <w:b w:val="0"/>
          <w:i/>
          <w:color w:val="404040"/>
          <w:sz w:val="20"/>
        </w:rPr>
        <w:t>Effective climate clubs require ambition, leverage and insulation: Theorizing issue linkage in climate change and trade</w:t>
      </w:r>
    </w:p>
    <w:p>
      <w:r>
        <w:rPr>
          <w:rFonts w:ascii="Times New Roman" w:hAnsi="Times New Roman" w:eastAsia="宋体"/>
          <w:b w:val="0"/>
          <w:i w:val="0"/>
          <w:color w:val="595959"/>
          <w:sz w:val="18"/>
        </w:rPr>
        <w:t>Sam S. Rowan</w:t>
      </w:r>
    </w:p>
    <w:p>
      <w:r>
        <w:rPr>
          <w:rFonts w:ascii="Times New Roman" w:hAnsi="Times New Roman" w:eastAsia="宋体"/>
          <w:b w:val="0"/>
          <w:i w:val="0"/>
          <w:sz w:val="22"/>
        </w:rPr>
        <w:t>摘要：许多提案主张将气候与贸易政策挂钩以改善气候合作。由于气候减缓具有非排他性，无法通过议题内互惠执行，但将减缓与对非参与者的贸易惩罚挂钩，可将贸易的执行力纳入气候俱乐部。然而这一视角忽视了气候政策偏好与既有贸易流的关系。作者基于国际贸易国内政治经济学发现构建气候—贸易议题挂钩模型，表明气候俱乐部的必要条件十分苛刻：有效的气候—贸易俱乐部需要成员具备高气候政策雄心、对落后者的出口杠杆以及免受贸易报复的隔离能力，但这三种属性在理论上和经验上并不必然同时出现。在一个维度上支持俱乐部目标的国家可能在另一个维度上削弱它。</w:t>
      </w:r>
    </w:p>
    <w:p>
      <w:r>
        <w:rPr>
          <w:rFonts w:ascii="Times New Roman" w:hAnsi="Times New Roman" w:eastAsia="宋体"/>
          <w:b w:val="0"/>
          <w:i w:val="0"/>
          <w:sz w:val="20"/>
        </w:rPr>
        <w:t>Many proposals advocate linking climate and trade policy to improve climate cooperation. Since climate mitigation is non-excludable, mitigation cannot be enforced through issue-specific reciprocity, but linking mitigation with trade penalties on non-participants could incorporate trade’s enforcement powers into a climate club. However, this perspective has overlooked the relationship between climate policy preferences and existing trade flows. Using a model of issue linkage in climate and trade motivated by findings from the domestic political economy of international trade, I show that the necessary conditions for climate clubs are exacting. Effective climate–trade clubs require members with high levels of climate policy ambition, export leverage over laggards, and insulation from trade retaliation. However, I show that these three attributes do not necessarily co-occur theoretically or empirically. States that support the club’s goals on one dimension may undermine them on another. The findings provide insights into institutional design, climate politics, and the constraints on issue linkage in international cooperation.</w:t>
      </w:r>
    </w:p>
    <w:p/>
    <w:p>
      <w:r>
        <w:rPr>
          <w:rFonts w:ascii="Times New Roman" w:hAnsi="Times New Roman" w:eastAsia="黑体"/>
          <w:b/>
          <w:i w:val="0"/>
          <w:sz w:val="24"/>
        </w:rPr>
        <w:t>谁来调整？IMF项目下的汇率制度与金融对劳动</w:t>
      </w:r>
    </w:p>
    <w:p>
      <w:r>
        <w:rPr>
          <w:rFonts w:ascii="Times New Roman" w:hAnsi="Times New Roman" w:eastAsia="宋体"/>
          <w:b w:val="0"/>
          <w:i/>
          <w:color w:val="404040"/>
          <w:sz w:val="20"/>
        </w:rPr>
        <w:t>Who adjusts? Exchange rate regimes and finance versus labor under IMF programs</w:t>
      </w:r>
    </w:p>
    <w:p>
      <w:r>
        <w:rPr>
          <w:rFonts w:ascii="Times New Roman" w:hAnsi="Times New Roman" w:eastAsia="宋体"/>
          <w:b w:val="0"/>
          <w:i w:val="0"/>
          <w:color w:val="595959"/>
          <w:sz w:val="18"/>
        </w:rPr>
        <w:t>Saliha Metinsoy</w:t>
      </w:r>
    </w:p>
    <w:p>
      <w:r>
        <w:rPr>
          <w:rFonts w:ascii="Times New Roman" w:hAnsi="Times New Roman" w:eastAsia="宋体"/>
          <w:b w:val="0"/>
          <w:i w:val="0"/>
          <w:sz w:val="22"/>
        </w:rPr>
        <w:t>摘要：在IMF项目下谁来调整、为什么？作者表明，当实行固定汇率制度且国际金融集团强大到足以捍卫钉住汇率时，劳工群体承担调整：IMF以劳动力市场改革降低劳动成本取代货币贬值，以低工资提高竞争力、支持出口。换言之，当强大的国际金融利益使货币无法变“便宜”时，IMF通过劳动力市场改革使劳动变“便宜”。作者采用混合方法：将2008年拉脱维亚与匈牙利（除汇率制度及国际金融影响外极为相似）的案例比较，与1989—2014年全球IMF借款国大样本研究相结合。研究表明IMF等国际组织可能通过其条件性放大强者（金融利益）的声音，使弱者（劳工）更弱。</w:t>
      </w:r>
    </w:p>
    <w:p>
      <w:r>
        <w:rPr>
          <w:rFonts w:ascii="Times New Roman" w:hAnsi="Times New Roman" w:eastAsia="宋体"/>
          <w:b w:val="0"/>
          <w:i w:val="0"/>
          <w:sz w:val="20"/>
        </w:rPr>
        <w:t>Who adjusts under International Monetary Fund (IMF) programs and why? In this paper, I demonstrate that labor groups adjust when there is a fixed exchange rate regime and international financial groups are strong enough to defend the peg. In that case, the Fund substitutes currency devaluation with lowering labor costs via labor market reform. Lower wages are used to increase competitiveness and support exports. In other words, the Fund makes labor ‘cheaper’ through its labor market reform when money cannot be made ‘cheaper’ due to strong international financial interests. To test this theory, I use a mixed-method approach. I complement the case comparison of Latvia and Hungary in 2008–two very similar cases except for their exchange rate regime and the influence of international finance on their economy–with a large-N study using a global sample of IMF borrowers over the years 1989 and 2014. The paper shows that international organizations such as the IMF might amplify the voice of the strong (financial interests) while making the ‘weak’ (labor groups) weaker via their conditionality.</w:t>
      </w:r>
    </w:p>
    <w:p/>
    <w:p>
      <w:r>
        <w:rPr>
          <w:rFonts w:ascii="Times New Roman" w:hAnsi="Times New Roman" w:eastAsia="黑体"/>
          <w:b/>
          <w:i w:val="0"/>
          <w:sz w:val="24"/>
        </w:rPr>
        <w:t>国际宪法咨询：新数据集介绍</w:t>
      </w:r>
    </w:p>
    <w:p>
      <w:r>
        <w:rPr>
          <w:rFonts w:ascii="Times New Roman" w:hAnsi="Times New Roman" w:eastAsia="宋体"/>
          <w:b w:val="0"/>
          <w:i/>
          <w:color w:val="404040"/>
          <w:sz w:val="20"/>
        </w:rPr>
        <w:t>International constitutional advising: Introducing a new dataset</w:t>
      </w:r>
    </w:p>
    <w:p>
      <w:r>
        <w:rPr>
          <w:rFonts w:ascii="Times New Roman" w:hAnsi="Times New Roman" w:eastAsia="宋体"/>
          <w:b w:val="0"/>
          <w:i w:val="0"/>
          <w:color w:val="595959"/>
          <w:sz w:val="18"/>
        </w:rPr>
        <w:t>Hanna Lerner；David Futscher Pereira；Nina Schlager</w:t>
      </w:r>
    </w:p>
    <w:p>
      <w:r>
        <w:rPr>
          <w:rFonts w:ascii="Times New Roman" w:hAnsi="Times New Roman" w:eastAsia="宋体"/>
          <w:b w:val="0"/>
          <w:i w:val="0"/>
          <w:sz w:val="22"/>
        </w:rPr>
        <w:t>摘要：本文首次系统比较研究国际组织日益参与全球各国制宪的现象。过去三十年，新兴的国际宪法咨询领域经历了强烈的制度化与专业化，反映出制宪在国内与国际政治中日益重要的角色。尽管现象范围广泛，外国宪法顾问参与国内宪法起草或宪法改革却少有学术关注。本文介绍一个新数据集：1989—2017年间46个国际组织在145个国家开展的730个宪法咨询项目，按组织类型、总部所在地、目标国家、咨询活动类型及干预直接程度分类。总体上，更直接的宪法咨询活动与民主质量的较大相对变化及宪法体系数量增多显著相关，作者也提出了更细致研究其影响的方向。</w:t>
      </w:r>
    </w:p>
    <w:p>
      <w:r>
        <w:rPr>
          <w:rFonts w:ascii="Times New Roman" w:hAnsi="Times New Roman" w:eastAsia="宋体"/>
          <w:b w:val="0"/>
          <w:i w:val="0"/>
          <w:sz w:val="20"/>
        </w:rPr>
        <w:t>The article presents the first systematic comparative study on the growing involvement of international organizations in national constitution making around the world. Over the past three decades, the emerging field of international constitutional advising has undergone an intense process of institutionalization and professionalization, mirroring the increasing role constitution making is playing in both national and international politics. Despite the vast scope of the phenomenon, the involvement of foreign constitutional advisors in domestic constitution-drafting or constitutional reforms has received little scholarly attention. This article takes the first steps towards addressing this lacuna empirically, by introducing a new dataset on 46 international organizations involved in 730 constitutional advising projects in 145 countries between 1989 and 2017. We classified the organizations based on their type, their headquarters’ location, the countries they target, the kind of advising activities they perform and the level of directness of the advising intervention. While generally, we find a significant correlation between more direct constitutional advising activities and larger relative changes in the quality of democracy and larger numbers of constitutional systems in a country, the article suggests avenues for more nuanced research to better understand constitutional advising’s impact.</w:t>
      </w:r>
    </w:p>
    <w:p/>
    <w:p>
      <w:r>
        <w:rPr>
          <w:rFonts w:ascii="Times New Roman" w:hAnsi="Times New Roman" w:eastAsia="宋体"/>
          <w:b/>
          <w:i w:val="0"/>
          <w:sz w:val="22"/>
        </w:rPr>
        <w:t>RIO： Vol. 20, No. 2, 2025</w:t>
      </w:r>
    </w:p>
    <w:p/>
    <w:p>
      <w:r>
        <w:rPr>
          <w:rFonts w:ascii="Times New Roman" w:hAnsi="Times New Roman" w:eastAsia="黑体"/>
          <w:b/>
          <w:i w:val="0"/>
          <w:sz w:val="24"/>
        </w:rPr>
        <w:t>非自由政体与国际组织</w:t>
      </w:r>
    </w:p>
    <w:p>
      <w:r>
        <w:rPr>
          <w:rFonts w:ascii="Times New Roman" w:hAnsi="Times New Roman" w:eastAsia="宋体"/>
          <w:b w:val="0"/>
          <w:i/>
          <w:color w:val="404040"/>
          <w:sz w:val="20"/>
        </w:rPr>
        <w:t>Illiberal regimes and international organizations</w:t>
      </w:r>
    </w:p>
    <w:p>
      <w:r>
        <w:rPr>
          <w:rFonts w:ascii="Times New Roman" w:hAnsi="Times New Roman" w:eastAsia="宋体"/>
          <w:b w:val="0"/>
          <w:i w:val="0"/>
          <w:color w:val="595959"/>
          <w:sz w:val="18"/>
        </w:rPr>
        <w:t>Christina Cottiero；Emilie M. Hafner-Burton；Stephan Haggard；Lauren Prather；Christina J. Schneider</w:t>
      </w:r>
    </w:p>
    <w:p>
      <w:r>
        <w:rPr>
          <w:rFonts w:ascii="Times New Roman" w:hAnsi="Times New Roman" w:eastAsia="宋体"/>
          <w:b w:val="0"/>
          <w:i w:val="0"/>
          <w:sz w:val="22"/>
        </w:rPr>
        <w:t>摘要：非自由政体已成为国际组织中的核心行为体。在本特刊导言中，作者为理解其影响提供统一框架：首先阐述理论基础，重点讨论政体类型为何对国际合作重要；然后说明国际组织内不同的成员构成与决策过程如何影响非自由政体可施加的影响、其开展的活动以及对国内政治结果的影响。特刊各文集体与个别地拓展了关于国际组织中非自由政体的理论文献，并产生了关于其如何卷入多边与区域国际组织政治与运作的新数据。这些研究对民主国家如何应对非自由政体给全球治理带来的挑战具有重要含义。</w:t>
      </w:r>
    </w:p>
    <w:p>
      <w:r>
        <w:rPr>
          <w:rFonts w:ascii="Times New Roman" w:hAnsi="Times New Roman" w:eastAsia="宋体"/>
          <w:b w:val="0"/>
          <w:i w:val="0"/>
          <w:sz w:val="20"/>
        </w:rPr>
        <w:t>Illiberal regimes have become central players in international organizations. In this introduction to the special issue, we provide a unified framework for understanding their effects. We start by outlining the theoretical foundations of this work, focusing first on why regime type matters for international cooperation. We then show how differing memberships and decision-making processes within international organizations affect the influence illiberal regimes can wield, the activities they undertake, and the impact that they have on domestic political outcomes. Collectively and individually, the contributions to this special issue broaden the theoretical literature on illiberal regimes in international organizations and produce novel data about how they are implicated in the politics and operations of multilateral and regional IOs. This research has important implications for how democracies can and should cope with the challenges to global governance that arise from illiberal regimes.</w:t>
      </w:r>
    </w:p>
    <w:p/>
    <w:p>
      <w:r>
        <w:rPr>
          <w:rFonts w:ascii="Times New Roman" w:hAnsi="Times New Roman" w:eastAsia="黑体"/>
          <w:b/>
          <w:i w:val="0"/>
          <w:sz w:val="24"/>
        </w:rPr>
        <w:t>前方僵尸：解释低质量选举监督的兴起</w:t>
      </w:r>
    </w:p>
    <w:p>
      <w:r>
        <w:rPr>
          <w:rFonts w:ascii="Times New Roman" w:hAnsi="Times New Roman" w:eastAsia="宋体"/>
          <w:b w:val="0"/>
          <w:i/>
          <w:color w:val="404040"/>
          <w:sz w:val="20"/>
        </w:rPr>
        <w:t>Zombies ahead: Explaining the rise of low-quality election monitoring</w:t>
      </w:r>
    </w:p>
    <w:p>
      <w:r>
        <w:rPr>
          <w:rFonts w:ascii="Times New Roman" w:hAnsi="Times New Roman" w:eastAsia="宋体"/>
          <w:b w:val="0"/>
          <w:i w:val="0"/>
          <w:color w:val="595959"/>
          <w:sz w:val="18"/>
        </w:rPr>
        <w:t>Sarah Sunn Bush；Christina Cottiero；Lauren Prather</w:t>
      </w:r>
    </w:p>
    <w:p>
      <w:r>
        <w:rPr>
          <w:rFonts w:ascii="Times New Roman" w:hAnsi="Times New Roman" w:eastAsia="宋体"/>
          <w:b w:val="0"/>
          <w:i w:val="0"/>
          <w:sz w:val="22"/>
        </w:rPr>
        <w:t>摘要：21世纪国际选举监督机制变得相当复杂：从事高质量选举监督的组织数量趋于平稳，而低质量监督者——俗称“僵尸监督者”——数量持续增长。低质量选举监督者为有缺陷的选举背书、削弱国际选举监督机制合法性，从而威胁民主。本文认为国际政治在低质量选举监督者的扩散中起关键作用，假设与推广低质量观察员的威权大国的联系以及威权区域组织成员身份显著提高一国在其选举中接待低质量监督者的可能性。作者利用2000—2020年国际选举观察的原创数据（迄今最全面的监督团体集合）进行统计分析，结果支持论点。</w:t>
      </w:r>
    </w:p>
    <w:p>
      <w:r>
        <w:rPr>
          <w:rFonts w:ascii="Times New Roman" w:hAnsi="Times New Roman" w:eastAsia="宋体"/>
          <w:b w:val="0"/>
          <w:i w:val="0"/>
          <w:sz w:val="20"/>
        </w:rPr>
        <w:t>The international election monitoring regime has become considerably more complex in the twenty-first century. Although the number of organizations engaged in high-quality election monitoring has plateaued, the number of low-quality monitors—commonly known as zombie monitors—has continued to grow. Low-quality election monitors threaten democracy because they validate flawed elections and undermine the legitimacy of the international election monitoring regime. This article argues that international politics have played a crucial role in the diffusion of low-quality election monitors. It hypothesizes that ties with autocratic powers that promote low-quality observers and membership in authoritarian regional organizations significantly increase the likelihood that a country will host low-quality monitors at its elections. To test the hypotheses, the article draws on original data on international election observation between 2000 and 2020 that identifies the most comprehensive set of groups of election monitors to-date. A statistical analysis of the dataset supports the argument.</w:t>
      </w:r>
    </w:p>
    <w:p/>
    <w:p>
      <w:r>
        <w:rPr>
          <w:rFonts w:ascii="Times New Roman" w:hAnsi="Times New Roman" w:eastAsia="黑体"/>
          <w:b/>
          <w:i w:val="0"/>
          <w:sz w:val="24"/>
        </w:rPr>
        <w:t>相互竞争的判断：多重选举观察团与选后争议</w:t>
      </w:r>
    </w:p>
    <w:p>
      <w:r>
        <w:rPr>
          <w:rFonts w:ascii="Times New Roman" w:hAnsi="Times New Roman" w:eastAsia="宋体"/>
          <w:b w:val="0"/>
          <w:i/>
          <w:color w:val="404040"/>
          <w:sz w:val="20"/>
        </w:rPr>
        <w:t>Competing judgments: Multiple election observers and post-election contention</w:t>
      </w:r>
    </w:p>
    <w:p>
      <w:r>
        <w:rPr>
          <w:rFonts w:ascii="Times New Roman" w:hAnsi="Times New Roman" w:eastAsia="宋体"/>
          <w:b w:val="0"/>
          <w:i w:val="0"/>
          <w:color w:val="595959"/>
          <w:sz w:val="18"/>
        </w:rPr>
        <w:t>Kelly Morrison；Daniela Donno；Burcu Savun；Perisa Davutoglu</w:t>
      </w:r>
    </w:p>
    <w:p>
      <w:r>
        <w:rPr>
          <w:rFonts w:ascii="Times New Roman" w:hAnsi="Times New Roman" w:eastAsia="宋体"/>
          <w:b w:val="0"/>
          <w:i w:val="0"/>
          <w:sz w:val="22"/>
        </w:rPr>
        <w:t>摘要：国际选举观察团通过影响对选举质量的信念，在塑造选后争议中发挥重要作用。随着参与选举观察的国际组织数量与种类增加，许多选举接待多个观察团且观察团间常有分歧。这种“相互竞争的判断”在选举威权政体中尤为普遍，领导人试图邀请“友好的”国际组织抵消更成熟观察团可能的批评。借鉴关于观察团国内可信度差异和虚假信息去动员效应的研究，作者认为与一致批评相比，观察团之间相互竞争的判断增加对选举质量的不确定性，从而抑制选后争议。利用1990—2012年115国国际媒体报道的观察团声明新数据，作者表明竞争性判断降低了选后争议；土耳其调查实验进一步证实微观基础。</w:t>
      </w:r>
    </w:p>
    <w:p>
      <w:r>
        <w:rPr>
          <w:rFonts w:ascii="Times New Roman" w:hAnsi="Times New Roman" w:eastAsia="宋体"/>
          <w:b w:val="0"/>
          <w:i w:val="0"/>
          <w:sz w:val="20"/>
        </w:rPr>
        <w:t>By influencing beliefs about electoral quality, international election observation missions (EOMs) play an important role in shaping post-election contention. As the number and variety of international organizations (IOs) involved in election observation has grown, many elections host multiple missions and disagreement among them is common. This phenomenon of competing judgments is particularly prevalent in electoral authoritarian regimes, as leaders seek to invite ‘friendly’ IOs to counteract possible criticism from more established EOMs. Drawing from research about the varying domestic credibility of EOMs and the demobilizing effects of disinformation, we argue that compared to unified criticism, competing judgments among EOMs increase uncertainty about electoral quality, which in turn dampens post-election contention. Using newly available data on EOM statements as reported in the international media, we show that competing judgments reduce post-election contention in a sample of 115 countries from 1990–2012. A survey experiment in Turkey solidifies the micro-foundations of our argument: individuals exposed to competing judgments have more positive perceptions of election quality and less support for post-election mobilization, compared to those receiving information only about EOM criticism. Our findings provide systematic evidence that governments holding flawed elections have incentives to invite multiple election observation missions to hedge against the political risks of criticism.</w:t>
      </w:r>
    </w:p>
    <w:p/>
    <w:p>
      <w:r>
        <w:rPr>
          <w:rFonts w:ascii="Times New Roman" w:hAnsi="Times New Roman" w:eastAsia="黑体"/>
          <w:b/>
          <w:i w:val="0"/>
          <w:sz w:val="24"/>
        </w:rPr>
        <w:t>威权国际组织中的良治</w:t>
      </w:r>
    </w:p>
    <w:p>
      <w:r>
        <w:rPr>
          <w:rFonts w:ascii="Times New Roman" w:hAnsi="Times New Roman" w:eastAsia="宋体"/>
          <w:b w:val="0"/>
          <w:i/>
          <w:color w:val="404040"/>
          <w:sz w:val="20"/>
        </w:rPr>
        <w:t>Good governance in autocratic international organizations</w:t>
      </w:r>
    </w:p>
    <w:p>
      <w:r>
        <w:rPr>
          <w:rFonts w:ascii="Times New Roman" w:hAnsi="Times New Roman" w:eastAsia="宋体"/>
          <w:b w:val="0"/>
          <w:i w:val="0"/>
          <w:color w:val="595959"/>
          <w:sz w:val="18"/>
        </w:rPr>
        <w:t>Emilie Hafner-Burton；Jon C. W. Pevehouse；Christina J. Schneider</w:t>
      </w:r>
    </w:p>
    <w:p>
      <w:r>
        <w:rPr>
          <w:rFonts w:ascii="Times New Roman" w:hAnsi="Times New Roman" w:eastAsia="宋体"/>
          <w:b w:val="0"/>
          <w:i w:val="0"/>
          <w:sz w:val="22"/>
        </w:rPr>
        <w:t>摘要：越来越多的国际组织由非自由或威权政体构成和治理，其中许多威权国际组织正式采纳良治授权，将民主促进、反腐政策和人权与其更广泛使命相联系。为何有些威权国际组织会采纳看似与这些政权国内规范和标准相冲突的良治授权？作者认为当面临来自组织内部或外部的巨大压力时，威权国际组织会采纳良治授权。关键在于，并非良治的所有方面都对威权政权构成同等威胁：它们通过将政策外部化至成员之外、策略性界定需回避或实施的目标来降低威胁，从而吸纳良治话语但减少深度承诺，有时甚至策略性利用它们向组织外投射权力。利用1945—2015年48个以威权成员为主的区域性国际组织数据，作者表明面临外部良治推广者压力的威权国际组织会采纳良治授权，并在能与志同道合政府组建谈判联盟时策略性地塑造这些授权。</w:t>
      </w:r>
    </w:p>
    <w:p>
      <w:r>
        <w:rPr>
          <w:rFonts w:ascii="Times New Roman" w:hAnsi="Times New Roman" w:eastAsia="宋体"/>
          <w:b w:val="0"/>
          <w:i w:val="0"/>
          <w:sz w:val="20"/>
        </w:rPr>
        <w:t>A large and growing number of international organizations (IOs) are made up and governed by illiberal or outright authoritarian regimes. Many of these authoritarian IOs (AIOs) formally adopt good governance mandates, linking goals like democracy promotion, anti-corruption policies and human rights to their broader mission. Why do some AIOs adopt good governance mandates that appear to conflict with the norms and standards these regimes apply at home? We argue that AIOs adopt good governance mandates when they face substantial pressure from inside or outside the IO to adopt them. Central to our argument is that not all aspects of good governance are inherently or equally threatening to autocratic regimes. They pursue strategies that minimize the threat by externalizing policy outside the membership and strategically defining the goals to avoid or enact. This allows autocratic governments to uptake good governance talk but lessen any deep commitment to the norms and sometimes even to use them strategically to project their own power outside of the organization. Using data on 48 regional IOs with primarily autocratic membership between 1945 and 2015, we demonstrate that AIOs facing pressure from external good governance promoters will adopt good governance mandates but strategically shape those mandates in their favor if they can form bargaining coalitions with like-minded governments. The findings have sobering implications for the future of good governance promotion through IOs.</w:t>
      </w:r>
    </w:p>
    <w:p/>
    <w:p>
      <w:r>
        <w:rPr>
          <w:rFonts w:ascii="Times New Roman" w:hAnsi="Times New Roman" w:eastAsia="黑体"/>
          <w:b/>
          <w:i w:val="0"/>
          <w:sz w:val="24"/>
        </w:rPr>
        <w:t>从内部削弱自由主义国际组织：来自欧洲委员会议会大会的证据</w:t>
      </w:r>
    </w:p>
    <w:p>
      <w:r>
        <w:rPr>
          <w:rFonts w:ascii="Times New Roman" w:hAnsi="Times New Roman" w:eastAsia="宋体"/>
          <w:b w:val="0"/>
          <w:i/>
          <w:color w:val="404040"/>
          <w:sz w:val="20"/>
        </w:rPr>
        <w:t>Undermining liberal international organizations from within: Evidence from the Parliamentary Assembly of the Council of Europe</w:t>
      </w:r>
    </w:p>
    <w:p>
      <w:r>
        <w:rPr>
          <w:rFonts w:ascii="Times New Roman" w:hAnsi="Times New Roman" w:eastAsia="宋体"/>
          <w:b w:val="0"/>
          <w:i w:val="0"/>
          <w:color w:val="595959"/>
          <w:sz w:val="18"/>
        </w:rPr>
        <w:t>Jana Lipps；Marc S. Jacob</w:t>
      </w:r>
    </w:p>
    <w:p>
      <w:r>
        <w:rPr>
          <w:rFonts w:ascii="Times New Roman" w:hAnsi="Times New Roman" w:eastAsia="宋体"/>
          <w:b w:val="0"/>
          <w:i w:val="0"/>
          <w:sz w:val="22"/>
        </w:rPr>
        <w:t>摘要：推动民主治理与人权的国际组织日益受到部分成员国挑战。为更好理解这一动态，作者区分政党的非自由意识形态与其政体环境，以考察超越威权政府的行为体的国际行为。作者认为国内政体环境对非自由政党在国际舞台上争夺以削弱自由规范的程度起关键作用：争夺行为主要由试图减少自由国际政治对国内权力结构影响的非自由政党驱动，政府参与会调节其争夺行为。作者研究欧洲委员会议会大会——推动自由价值的最强大国际议会之一——的唱名投票，基于约50万张个人投票的原创数据集，发现非自由政党尤其代表非自由政体的政党存在实质性争夺；只有自由体制中的非自由政府在修正案阶段有所节制。</w:t>
      </w:r>
    </w:p>
    <w:p>
      <w:r>
        <w:rPr>
          <w:rFonts w:ascii="Times New Roman" w:hAnsi="Times New Roman" w:eastAsia="宋体"/>
          <w:b w:val="0"/>
          <w:i w:val="0"/>
          <w:sz w:val="20"/>
        </w:rPr>
        <w:t>International organizations promoting democratic governance and human rights are increasingly challenged by some of their own member states. To better understand this dynamic, we propose a distinction between the illiberal ideology of political parties and their regime environment, aiming to examine the international behavior of actors extending beyond autocratic governments. We argue that the domestic regime environment plays a pivotal role in influencing the extent to which illiberal parties engage in contestation to undermine liberal norms on the international stage. We expect contestation behavior to be primarily driven by illiberal parties seeking to diminish the influence of liberal international politics on domestic power structures. Moreover, we contend that government participation moderates illiberal parties’ contestation behavior. To test our expectations empirically, we study roll call votes in the Parliamentary Assembly of the Council of Europe (PACE), one of the most powerful international parliaments promoting liberal values. Drawing on an original dataset that records approximately 500,000 individual votes cast in PACE decisions, we find evidence for substantive contestation by illiberal parties, especially those representing illiberal regimes. Only illiberal governments in liberal systems moderate themselves at the amendment stage. Our study has implications for the potential threat that emerging illiberal actors pose to international liberal institutions.</w:t>
      </w:r>
    </w:p>
    <w:p/>
    <w:p>
      <w:r>
        <w:rPr>
          <w:rFonts w:ascii="Times New Roman" w:hAnsi="Times New Roman" w:eastAsia="黑体"/>
          <w:b/>
          <w:i w:val="0"/>
          <w:sz w:val="24"/>
        </w:rPr>
        <w:t>民主倒退政府如何使欧盟对专制保持友好：来自政府间谈判的证据</w:t>
      </w:r>
    </w:p>
    <w:p>
      <w:r>
        <w:rPr>
          <w:rFonts w:ascii="Times New Roman" w:hAnsi="Times New Roman" w:eastAsia="宋体"/>
          <w:b w:val="0"/>
          <w:i/>
          <w:color w:val="404040"/>
          <w:sz w:val="20"/>
        </w:rPr>
        <w:t>How backsliding governments keep the European Union hospitable for autocracy: Evidence from intergovernmental negotiations</w:t>
      </w:r>
    </w:p>
    <w:p>
      <w:r>
        <w:rPr>
          <w:rFonts w:ascii="Times New Roman" w:hAnsi="Times New Roman" w:eastAsia="宋体"/>
          <w:b w:val="0"/>
          <w:i w:val="0"/>
          <w:color w:val="595959"/>
          <w:sz w:val="18"/>
        </w:rPr>
        <w:t>Thomas Winzen</w:t>
      </w:r>
    </w:p>
    <w:p>
      <w:r>
        <w:rPr>
          <w:rFonts w:ascii="Times New Roman" w:hAnsi="Times New Roman" w:eastAsia="宋体"/>
          <w:b w:val="0"/>
          <w:i w:val="0"/>
          <w:sz w:val="22"/>
        </w:rPr>
        <w:t>摘要：欧盟是民主组织，但面临严重的民主倒退案例。文献认为欧盟对倒退是友好环境且不愿加以约束。本研究聚焦倒退政府为维持这种友好环境采用的策略及其成功条件。作者认为倒退政府试图将渗透欧盟决策的“迁就”实践改作保护其倒退计划之用，这使它们有望摆脱在民主组织中的不利谈判地位，但也有约束：倒退者必须谨慎地将反对限定于对其倒退计划威胁最大的一部分欧盟权能；且只有当民主成员国认为反对合理、并免受欧洲各国议会政治问责时，倒退者才能在理事会依赖迁就。作者基于对欧盟决策中谈判立场、过程与结果的定量和定性分析提供证据。</w:t>
      </w:r>
    </w:p>
    <w:p>
      <w:r>
        <w:rPr>
          <w:rFonts w:ascii="Times New Roman" w:hAnsi="Times New Roman" w:eastAsia="宋体"/>
          <w:b w:val="0"/>
          <w:i w:val="0"/>
          <w:sz w:val="20"/>
        </w:rPr>
        <w:t>The European Union (EU) is a democratic organization but faces severe cases of democratic backsliding. The literature deems the EU a hospitable environment for and reluctant to reign in backsliding. This study focuses on the tactics that backsliding governments employ to preserve this hospitable environment and the conditions under which they succeed. I argue that backsliding governments seek to repurpose the practice of accommodation that permeates EU decision-making for the protection of their backsliding projects. Doing so promises backsliders an escape from their precarious bargaining position in a democratic organization but comes with constraints. Backsliders must limit opposition carefully to a subset of EU competences, backsliding-inhibiting competences, that threaten their backsliding projects the most. Moreover, they can only rely on accommodation in the Council if the democratic member states perceive opposition as justified and remain insulated from political accountability by Europe’s parliaments. I present evidence based on quantitative and qualitative analyses of bargaining positions, processes, and outcomes in EU decision-making. The results have implications for understanding the EU’s autocratic predicament, the opportunities of backsliding governments, and the role of autocracies in regional and international organizations.</w:t>
      </w:r>
    </w:p>
    <w:p/>
    <w:p>
      <w:r>
        <w:rPr>
          <w:rFonts w:ascii="Times New Roman" w:hAnsi="Times New Roman" w:eastAsia="宋体"/>
          <w:b/>
          <w:i w:val="0"/>
          <w:sz w:val="22"/>
        </w:rPr>
        <w:t>RIO： Vol. 20, No. 1, 2025</w:t>
      </w:r>
    </w:p>
    <w:p/>
    <w:p>
      <w:r>
        <w:rPr>
          <w:rFonts w:ascii="Times New Roman" w:hAnsi="Times New Roman" w:eastAsia="黑体"/>
          <w:b/>
          <w:i w:val="0"/>
          <w:sz w:val="24"/>
        </w:rPr>
        <w:t>为何隐瞒？非洲对华未申报债务</w:t>
      </w:r>
    </w:p>
    <w:p>
      <w:r>
        <w:rPr>
          <w:rFonts w:ascii="Times New Roman" w:hAnsi="Times New Roman" w:eastAsia="宋体"/>
          <w:b w:val="0"/>
          <w:i/>
          <w:color w:val="404040"/>
          <w:sz w:val="20"/>
        </w:rPr>
        <w:t>Why hide? Africa’s unreported debt to China</w:t>
      </w:r>
    </w:p>
    <w:p>
      <w:r>
        <w:rPr>
          <w:rFonts w:ascii="Times New Roman" w:hAnsi="Times New Roman" w:eastAsia="宋体"/>
          <w:b w:val="0"/>
          <w:i w:val="0"/>
          <w:color w:val="595959"/>
          <w:sz w:val="18"/>
        </w:rPr>
        <w:t>Kathleen J. Brown</w:t>
      </w:r>
    </w:p>
    <w:p>
      <w:r>
        <w:rPr>
          <w:rFonts w:ascii="Times New Roman" w:hAnsi="Times New Roman" w:eastAsia="宋体"/>
          <w:b w:val="0"/>
          <w:i w:val="0"/>
          <w:sz w:val="22"/>
        </w:rPr>
        <w:t>摘要：隐性债务在主权信贷市场中普遍存在，对全球金融稳定构成严重威胁，但我们对政府为何向债权人隐瞒负债知之甚少。作者认为政府有意向国际金融机构隐瞒债务，以在避免因债务负担上升受罚的同时最大化借款能力：国际金融机构经常惩罚低收入国家政府超出能力的借款，隐瞒部分债务使政府得以继续借款而不受约束。作者利用最近公开的数据（显示撒哈拉以南非洲一半的中国贷款未出现在主权债务记录中）检验这一观点，发现借款国政府隐瞒贷款以避免违反世界银行债务可持续性阈值；但处于IMF审查之下时政府隐瞒更少，以降低被发现和惩罚的风险。研究表明借款国政府将隐性债务作为追求财政目标的战略工具，也揭示了国际金融机构干预欠发达国家的意外后果：确保财政稳定的努力增加了政府隐瞒债务的激励。</w:t>
      </w:r>
    </w:p>
    <w:p>
      <w:r>
        <w:rPr>
          <w:rFonts w:ascii="Times New Roman" w:hAnsi="Times New Roman" w:eastAsia="宋体"/>
          <w:b w:val="0"/>
          <w:i w:val="0"/>
          <w:sz w:val="20"/>
        </w:rPr>
        <w:t>Hidden debt is endemic throughout the sovereign credit market and poses a serious threat to global financial stability. Yet, little is known about why governments conceal their liabilities from creditors. I argue that governments intentionally hide debts from international financial institutions (IFIs) to maximize their ability to borrow while avoiding punishment for rising debt burdens. IFIs frequently penalize governments in low-income countries for borrowing beyond their means. By hiding some debt, governments are able to continue borrowing without being disciplined. I test this using recently released data that reveals half of the Chinese loans in Sub-Saharan Africa are missing from sovereign debt records. I find that borrower governments hide loans to avoid violating World Bank debt sustainability thresholds. However, governments hide less debt while under IMF scrutiny so as to reduce the risk that they will be discovered and punished. These findings offer evidence that borrower governments use hidden debt as a strategic tool to pursue fiscal goals. Further, this work reveals the unintended consequences of IFI intervention in less-developed countries, as efforts to ensure fiscal stability increase governments’ incentives to hide debt.</w:t>
      </w:r>
    </w:p>
    <w:p/>
    <w:p>
      <w:r>
        <w:rPr>
          <w:rFonts w:ascii="Times New Roman" w:hAnsi="Times New Roman" w:eastAsia="黑体"/>
          <w:b/>
          <w:i w:val="0"/>
          <w:sz w:val="24"/>
        </w:rPr>
        <w:t>开放的悖论：民主国家、金融一体化与危机</w:t>
      </w:r>
    </w:p>
    <w:p>
      <w:r>
        <w:rPr>
          <w:rFonts w:ascii="Times New Roman" w:hAnsi="Times New Roman" w:eastAsia="宋体"/>
          <w:b w:val="0"/>
          <w:i/>
          <w:color w:val="404040"/>
          <w:sz w:val="20"/>
        </w:rPr>
        <w:t>A paradox of openness: Democracies, financial integration &amp; crisis</w:t>
      </w:r>
    </w:p>
    <w:p>
      <w:r>
        <w:rPr>
          <w:rFonts w:ascii="Times New Roman" w:hAnsi="Times New Roman" w:eastAsia="宋体"/>
          <w:b w:val="0"/>
          <w:i w:val="0"/>
          <w:color w:val="595959"/>
          <w:sz w:val="18"/>
        </w:rPr>
        <w:t>Devin Case-Ruchala</w:t>
      </w:r>
    </w:p>
    <w:p>
      <w:r>
        <w:rPr>
          <w:rFonts w:ascii="Times New Roman" w:hAnsi="Times New Roman" w:eastAsia="宋体"/>
          <w:b w:val="0"/>
          <w:i w:val="0"/>
          <w:sz w:val="22"/>
        </w:rPr>
        <w:t>摘要：为何民主国家比非民主国家更常经历金融危机？作者以2008年全球金融危机作为重要且有启发性的检验案例，认为考虑国内制度如何嵌入体系层面结构，对解释21世纪以来民主国家的危机易感性很重要。作者提出“同政体金融联系”机制，表明政体类型是全球金融流动的重要系统性特征。利用IMF协调证券投资调查数据的潜空间网络回归模型，作者发现跨境证券投资网络系统性地按“民主—民主”二元组构型，这种按政体构型的相互依赖提高了民主国家的金融危机易感性。</w:t>
      </w:r>
    </w:p>
    <w:p>
      <w:r>
        <w:rPr>
          <w:rFonts w:ascii="Times New Roman" w:hAnsi="Times New Roman" w:eastAsia="宋体"/>
          <w:b w:val="0"/>
          <w:i w:val="0"/>
          <w:sz w:val="20"/>
        </w:rPr>
        <w:t>Why do democracies experience financial crises more often than non-democracies? Revisiting the 2008 Great Financial Crisis (GFC) as a significant and informative test case, I argue that considering the way domestic institutions inhere in system-level structures is important to explaining crisis susceptibility among democracies since the turn of the twenty-first century. I introduce the mechanism of co-regime financial connections in showing that regime type is an important systematic feature of global financial flows. Employing a latent space network regression model using IMF Coordinated Portfolio Investment Survey (CPIS), I find that the network of cross-border portfolio asset investments is systematically patterned by co-democracy pairs. I then show that this regime-patterned interdependence affects increased financial crisis susceptibility among democracies. My findings build on literature highlighting the interdependence between domestic- and system-level factors and inform an empirical puzzle regarding the prevalence of financial crises among democracies.</w:t>
      </w:r>
    </w:p>
    <w:p/>
    <w:p>
      <w:r>
        <w:rPr>
          <w:rFonts w:ascii="Times New Roman" w:hAnsi="Times New Roman" w:eastAsia="黑体"/>
          <w:b/>
          <w:i w:val="0"/>
          <w:sz w:val="24"/>
        </w:rPr>
        <w:t>共同的对手，输送的武器：国际军火贸易中的竞争与合作（1920—1939）</w:t>
      </w:r>
    </w:p>
    <w:p>
      <w:r>
        <w:rPr>
          <w:rFonts w:ascii="Times New Roman" w:hAnsi="Times New Roman" w:eastAsia="宋体"/>
          <w:b w:val="0"/>
          <w:i/>
          <w:color w:val="404040"/>
          <w:sz w:val="20"/>
        </w:rPr>
        <w:t>Sharing rivals, sending weapons: Rivalry and cooperation in the international arms trade, 1920–1939</w:t>
      </w:r>
    </w:p>
    <w:p>
      <w:r>
        <w:rPr>
          <w:rFonts w:ascii="Times New Roman" w:hAnsi="Times New Roman" w:eastAsia="宋体"/>
          <w:b w:val="0"/>
          <w:i w:val="0"/>
          <w:color w:val="595959"/>
          <w:sz w:val="18"/>
        </w:rPr>
        <w:t>Marius Mehrl；Daniel Seussler；Paul W. Thurner</w:t>
      </w:r>
    </w:p>
    <w:p>
      <w:r>
        <w:rPr>
          <w:rFonts w:ascii="Times New Roman" w:hAnsi="Times New Roman" w:eastAsia="宋体"/>
          <w:b w:val="0"/>
          <w:i w:val="0"/>
          <w:sz w:val="22"/>
        </w:rPr>
        <w:t>摘要：国家在与他国关系中必须应对国际体系结构，其中关键组成之一是标示潜在威胁的竞争关系。竞争关系应影响国家在体系中的行为及其塑造重构体系的努力。聚焦军火转让，作者阐明竞争关系所暗示的体系结构如何驱动国家与他国开展安全合作。直觉上，与他国的竞争会降低出口国向其转让武器的倾向；但作者认为该焦点二元组之外的竞争关系同样重要：潜在进口国对其他国家的敌意会向出口国揭示其安全利益。具体而言，与同一组国家存在共同对手意味着安全利益一致，从而促进以军火转让为形式的安全合作，至少在出口国看重推卸责任并担心被牵连时如此。作者利用两战间期主要常规武器转让原创数据和推断网络分析模型检验，发现共享对手增加两国军火贸易概率，而两国间竞争则无影响。</w:t>
      </w:r>
    </w:p>
    <w:p>
      <w:r>
        <w:rPr>
          <w:rFonts w:ascii="Times New Roman" w:hAnsi="Times New Roman" w:eastAsia="宋体"/>
          <w:b w:val="0"/>
          <w:i w:val="0"/>
          <w:sz w:val="20"/>
        </w:rPr>
        <w:t>States must navigate the structure of the international system in their relations with other states. One crucial component of this structure are rivalries as they indicate latent threat to states. Rivalries should thus influence how states behave within the given system, but also how they seek to shape and restructure it. Focusing on arms transfers, we clarify how the systemic structure implied by rivalries drives states’ efforts to engage in security cooperation with other states. Intuitively, a rivalry with another country should diminish an exporter’s propensity to transfer weapons there. But what is more, we argue that rivalries outside of this focal dyad matter as a potential importer’s enmity towards other countries will reveal information about its security interests to the exporter. Specifically, sharing rivalries with the same set of countries will signal to the exporter that there is a congruence in security interests and thus facilitate security cooperation. This security cooperation should take the form of arms transfers, at least if exporters value buck-passing and fear entrapment. We test our expectations using original data on Major Conventional Weapons transfers in the Interwar years, a period where this condition likely holds, and inferential network analysis models. Sharing rivals increases two countries’ probability to trade arms whereas a rivalry between countries exhibits no effect. This research contributes to our understanding of security cooperation, the arms trade, and networked international relations.</w:t>
      </w:r>
    </w:p>
    <w:p/>
    <w:p>
      <w:r>
        <w:rPr>
          <w:rFonts w:ascii="Times New Roman" w:hAnsi="Times New Roman" w:eastAsia="黑体"/>
          <w:b/>
          <w:i w:val="0"/>
          <w:sz w:val="24"/>
        </w:rPr>
        <w:t>赋权于受害者：压制性政权为何允许国际组织中的个人申诉</w:t>
      </w:r>
    </w:p>
    <w:p>
      <w:r>
        <w:rPr>
          <w:rFonts w:ascii="Times New Roman" w:hAnsi="Times New Roman" w:eastAsia="宋体"/>
          <w:b w:val="0"/>
          <w:i/>
          <w:color w:val="404040"/>
          <w:sz w:val="20"/>
        </w:rPr>
        <w:t>Empowering your victims: Why repressive regimes allow individual petitions in international organizations</w:t>
      </w:r>
    </w:p>
    <w:p>
      <w:r>
        <w:rPr>
          <w:rFonts w:ascii="Times New Roman" w:hAnsi="Times New Roman" w:eastAsia="宋体"/>
          <w:b w:val="0"/>
          <w:i w:val="0"/>
          <w:color w:val="595959"/>
          <w:sz w:val="18"/>
        </w:rPr>
        <w:t>Rachel J. Schoner</w:t>
      </w:r>
    </w:p>
    <w:p>
      <w:r>
        <w:rPr>
          <w:rFonts w:ascii="Times New Roman" w:hAnsi="Times New Roman" w:eastAsia="宋体"/>
          <w:b w:val="0"/>
          <w:i w:val="0"/>
          <w:sz w:val="22"/>
        </w:rPr>
        <w:t>摘要：日益增多的解释压制性政权为何批准人权条约的文献，无法解释为何有些政权进一步授权其人民提出国际法律申诉，而另一些则不。作者考察联合国个人申诉机制，认为压制性政权面临向欧盟——对全球人权机制有强烈持续兴趣的全球力量——表明承诺的国际激励；但压制性政权只有在感到国内成本低、行政受到的制度约束少时才会批准。研究发现，当压制性政权在贸易上依赖欧盟且面临的立法与司法约束较少时，更可能批准允许个人申诉的《公民权利和政治权利国际公约》任择议定书。</w:t>
      </w:r>
    </w:p>
    <w:p>
      <w:r>
        <w:rPr>
          <w:rFonts w:ascii="Times New Roman" w:hAnsi="Times New Roman" w:eastAsia="宋体"/>
          <w:b w:val="0"/>
          <w:i w:val="0"/>
          <w:sz w:val="20"/>
        </w:rPr>
        <w:t>The growing literature explaining why repressive regimes ratify human rights treaties fails to explain why some regimes take the additional step to delegate authority to their people to file international legal complaints while others do not. I examine individual petition mechanisms in the United Nations which allow individuals to file complaints to an overseeing treaty body. I argue that repressive regimes face international incentives to signal their commitment to the European Union, a global power with a strong and continued interest in the global human rights regime. Repressive regimes, however, only ratify agreements when they perceive low domestic costs with little institutional constraints on the executive. In support of my theory, I find that repressive regimes are more likely to ratify the International Covenant on Civil and Political Rights’ Optional Protocol allowing individual petitions when they are trade dependent on the EU while facing lesser institutional constraints, both legislative and judicial. The results are similar to explaining treaty ratification, but the interaction is substantively larger for OP ratification among repressive countries, highlighting the increased costs repressive leaders face to allowing individual petitions. Individual standing in the overseeing body of the ICCPR is one example of non-state actor access in international institutions, which is an important component of understanding institutional design and compliance.</w:t>
      </w:r>
    </w:p>
    <w:p/>
    <w:p>
      <w:r>
        <w:rPr>
          <w:rFonts w:ascii="Times New Roman" w:hAnsi="Times New Roman" w:eastAsia="黑体"/>
          <w:b/>
          <w:i w:val="0"/>
          <w:sz w:val="24"/>
        </w:rPr>
        <w:t>自由主义国际组织中的特洛伊木马？民主倒退者如何削弱联合国人权理事会</w:t>
      </w:r>
    </w:p>
    <w:p>
      <w:r>
        <w:rPr>
          <w:rFonts w:ascii="Times New Roman" w:hAnsi="Times New Roman" w:eastAsia="宋体"/>
          <w:b w:val="0"/>
          <w:i/>
          <w:color w:val="404040"/>
          <w:sz w:val="20"/>
        </w:rPr>
        <w:t>Trojan horses in liberal international organizations? How democratic backsliders undermine the UNHRC: Contribution to the Special Issue “Autocratic Regimes, Democratic Backsliding, and International Organizations”</w:t>
      </w:r>
    </w:p>
    <w:p>
      <w:r>
        <w:rPr>
          <w:rFonts w:ascii="Times New Roman" w:hAnsi="Times New Roman" w:eastAsia="宋体"/>
          <w:b w:val="0"/>
          <w:i w:val="0"/>
          <w:color w:val="595959"/>
          <w:sz w:val="18"/>
        </w:rPr>
        <w:t>Anna M. Meyerrose；Irfan Nooruddin</w:t>
      </w:r>
    </w:p>
    <w:p>
      <w:r>
        <w:rPr>
          <w:rFonts w:ascii="Times New Roman" w:hAnsi="Times New Roman" w:eastAsia="宋体"/>
          <w:b w:val="0"/>
          <w:i w:val="0"/>
          <w:sz w:val="22"/>
        </w:rPr>
        <w:t>摘要：自由民主正面临日益增多的民主倒退国家的新挑战。长期专制者长期不满并挑战既有自由秩序，但我们对较新的倒退国家在国际舞台上的行为知之甚少。作者认为这些在倒退前就加入西方重要自由机构的国家，会利用其既有成员身份既保护自身免受未来对自由民主价值遵守情况的审查，又反对与其不断演变的利益日益冲突的主流西方自由规范。利用2006—2021年联合国人权理事会投票数据，作者表明倒退国家更可能投票反对点名羞辱特定国家的国别决议；结合普遍定期审议的详细数据与结构主题模型，作者表明倒退国家在审评先进西方民主国家时更具批评性，且更强调与自身利益一致的议题、淡化可能威胁政府权力和对公民控制的议题。</w:t>
      </w:r>
    </w:p>
    <w:p>
      <w:r>
        <w:rPr>
          <w:rFonts w:ascii="Times New Roman" w:hAnsi="Times New Roman" w:eastAsia="宋体"/>
          <w:b w:val="0"/>
          <w:i w:val="0"/>
          <w:sz w:val="20"/>
        </w:rPr>
        <w:t>Liberal democracy is facing renewed challenges from a growing group of states undergoing democratic backsliding. While entrenched autocrats have long resented and contested the established liberal order, we know far less about how newer backsliding states behave on the international stage. We argue these states, who joined prominent western liberal institutions prior to their backsliding, will use their established membership in these organizations both to protect themselves from future scrutiny regarding adherence to liberal democratic values and to oppose the prevailing western liberal norms that increasingly conflict with their evolving interests. Using voting data from the UN Human Rights Council (UNHRC) from 2006-2021, we show that backsliding states are more likely to vote against targeted resolutions that name and shame specific countries. We supplement this analysis with detailed data from the Universal Periodic Review (UPR) and combine regression analysis and a structural topic model (STM) to show that backsliding states are more critical in their UPR reports when evaluating advanced western democracies, and more likely to emphasize issues that align with their own interests while de-emphasizing ones that might threaten government power and control over citizens.</w:t>
      </w:r>
    </w:p>
    <w:p/>
    <w:p>
      <w:r>
        <w:rPr>
          <w:rFonts w:ascii="Times New Roman" w:hAnsi="Times New Roman" w:eastAsia="黑体"/>
          <w:b/>
          <w:i w:val="0"/>
          <w:sz w:val="24"/>
        </w:rPr>
        <w:t>搭桥还是挖壕？国际组织、社交媒体与极化碎片化</w:t>
      </w:r>
    </w:p>
    <w:p>
      <w:r>
        <w:rPr>
          <w:rFonts w:ascii="Times New Roman" w:hAnsi="Times New Roman" w:eastAsia="宋体"/>
          <w:b w:val="0"/>
          <w:i/>
          <w:color w:val="404040"/>
          <w:sz w:val="20"/>
        </w:rPr>
        <w:t>Building bridges or digging the trench? International organizations, social media, and polarized fragmentation</w:t>
      </w:r>
    </w:p>
    <w:p>
      <w:r>
        <w:rPr>
          <w:rFonts w:ascii="Times New Roman" w:hAnsi="Times New Roman" w:eastAsia="宋体"/>
          <w:b w:val="0"/>
          <w:i w:val="0"/>
          <w:color w:val="595959"/>
          <w:sz w:val="18"/>
        </w:rPr>
        <w:t>Matthias Ecker-Ehrhardt</w:t>
      </w:r>
    </w:p>
    <w:p>
      <w:r>
        <w:rPr>
          <w:rFonts w:ascii="Times New Roman" w:hAnsi="Times New Roman" w:eastAsia="宋体"/>
          <w:b w:val="0"/>
          <w:i w:val="0"/>
          <w:sz w:val="22"/>
        </w:rPr>
        <w:t>摘要：国际组织传播部门是全球治理的重要中介，日益利用社交媒体直接接触公民。社交媒体给国际组织传播带来新挑战，如高度竞争的注意力经济以及网络化内容策展和选择性接触造成的受众碎片化。在此情境下，传播部门须艰难选择传播什么及如何传播，加剧了作为全面公共信息（旨在机构透明）与党派性政治倡导（旨在规范变革）之间的内在张力。若国际组织传播聚焦倡导，可能在社交媒体获得大量共鸣，但只要它助长网络化传播的极化碎片化、削弱国际组织作为跨极化“回音室”可信信息源的公信力，这种倡导就会失败。作者通过对《安全、有序和正常移民全球契约》推特传播的内容与社会网络分析说明这一论点：联合国全球传播部运营的账号非但没有促进跨群体传播（“搭桥”），反而通过党派性转发、提及和标签显著助长了意识形态碎片化（“挖壕”）。</w:t>
      </w:r>
    </w:p>
    <w:p>
      <w:r>
        <w:rPr>
          <w:rFonts w:ascii="Times New Roman" w:hAnsi="Times New Roman" w:eastAsia="宋体"/>
          <w:b w:val="0"/>
          <w:i w:val="0"/>
          <w:sz w:val="20"/>
        </w:rPr>
        <w:t>Communication departments of international organizations (IOs) are important intermediaries of global governance who increasingly use social media to reach out to citizens directly. Social media pose new challenges for IO communication such as a highly competitive economy of attention and the fragmentation of the audiences driven by networked curation of content and selective exposure. In this context, communication departments have to make tough choices about what to communicate and how, aggravating inherent tensions between IO communication as comprehensive public information (aimed at institutional transparency)—and partisan political advocacy (aimed at normative change). If IO communication focuses on advocacy it might garner substantial resonance on social media. Such advocacy nevertheless fails to the extent that it fosters the polarized fragmentation of networked communication and undermines the credibility of IO communication as a source of trustworthy information across polarized “echo chambers.” The paper illustrates this argument through a content and social network analysis of Twitter communication on the Global Compact for Safe, Orderly and Regular Migration (GCM). Remarkably, instead of facilitating cross-cluster communication (“building bridges”) Twitter handles run by the United Nations Department of Global Communications (UNDGC) seem to have substantially fostered ideological fragmentation (“digging the trench”) by their way of partisan retweeting, mentioning, and (hash)tagging.</w:t>
      </w:r>
    </w:p>
    <w:p/>
    <w:p>
      <w:r>
        <w:rPr>
          <w:rFonts w:ascii="Times New Roman" w:hAnsi="Times New Roman" w:eastAsia="黑体"/>
          <w:b/>
          <w:i w:val="0"/>
          <w:sz w:val="24"/>
        </w:rPr>
        <w:t>作为借款人和监管者的政府</w:t>
      </w:r>
    </w:p>
    <w:p>
      <w:r>
        <w:rPr>
          <w:rFonts w:ascii="Times New Roman" w:hAnsi="Times New Roman" w:eastAsia="宋体"/>
          <w:b w:val="0"/>
          <w:i/>
          <w:color w:val="404040"/>
          <w:sz w:val="20"/>
        </w:rPr>
        <w:t>Governments as borrowers and regulators</w:t>
      </w:r>
    </w:p>
    <w:p>
      <w:r>
        <w:rPr>
          <w:rFonts w:ascii="Times New Roman" w:hAnsi="Times New Roman" w:eastAsia="宋体"/>
          <w:b w:val="0"/>
          <w:i w:val="0"/>
          <w:color w:val="595959"/>
          <w:sz w:val="18"/>
        </w:rPr>
        <w:t>Timm Betz；Amy Pond</w:t>
      </w:r>
    </w:p>
    <w:p>
      <w:r>
        <w:rPr>
          <w:rFonts w:ascii="Times New Roman" w:hAnsi="Times New Roman" w:eastAsia="宋体"/>
          <w:b w:val="0"/>
          <w:i w:val="0"/>
          <w:sz w:val="22"/>
        </w:rPr>
        <w:t>摘要：借款能力对政府生存至关重要。政府常利用其作为借款人和监管者的双重角色，实施使本国债务在金融市场享有特权的政策，作者称之为“借款特权”。这些政策引导投资者持有政府债务，与审慎监管相似但使市场偏向政府债务，与金融抑制相似但程度较轻，因而与金融市场增长相容。作者首次引入记录各国跨时期使用此类政策的系统数据集，表明当政府与全球经济的互动加剧财政需求时——借款成本显示信贷收紧、贸易自由化侵蚀收入、固定汇率提高财政空间价值——政府会实施借款特权。尽管金融资产具有流动性并受全球市场约束，政府仍保留以有利于自身财政的方式监管国内市场的空间。</w:t>
      </w:r>
    </w:p>
    <w:p>
      <w:r>
        <w:rPr>
          <w:rFonts w:ascii="Times New Roman" w:hAnsi="Times New Roman" w:eastAsia="宋体"/>
          <w:b w:val="0"/>
          <w:i w:val="0"/>
          <w:sz w:val="20"/>
        </w:rPr>
        <w:t>The ability to borrow is important for government survival. Governments routinely resort to policies that privilege their own debt on financial markets, exploiting their dual role as borrowers and regulators. We label such policies as borrowing privileges. These borrowing privileges nudge investors to hold the government’s own debt. They share similarities with prudential regulation, but skew the market in favor of the government’s debt; and they share similarities with financial repression, but are less severe and thus consistent with the growth of financial markets. Introducing the first systematic dataset documenting the use of such policies across countries and over time, we demonstrate that governments implement borrowing privileges when their interactions with the global economy heighten fiscal needs: when borrowing costs indicate tightened access to credit, when trade liberalization undercuts revenue, and where fixed exchange rates increase the value of fiscal space. Despite the mobility of financial assets and constraints from global markets, governments retain latitude in regulating domestic markets to their own fiscal benefit.</w:t>
      </w:r>
    </w:p>
    <w:p/>
    <w:p>
      <w:r>
        <w:rPr>
          <w:rFonts w:ascii="Times New Roman" w:hAnsi="Times New Roman" w:eastAsia="宋体"/>
          <w:b/>
          <w:i w:val="0"/>
          <w:sz w:val="22"/>
        </w:rPr>
        <w:t>RIO： Vol. 19, No. 4, 2024</w:t>
      </w:r>
    </w:p>
    <w:p/>
    <w:p>
      <w:r>
        <w:rPr>
          <w:rFonts w:ascii="Times New Roman" w:hAnsi="Times New Roman" w:eastAsia="黑体"/>
          <w:b/>
          <w:i w:val="0"/>
          <w:sz w:val="24"/>
        </w:rPr>
        <w:t>国际合作的生命周期：特刊导言</w:t>
      </w:r>
    </w:p>
    <w:p>
      <w:r>
        <w:rPr>
          <w:rFonts w:ascii="Times New Roman" w:hAnsi="Times New Roman" w:eastAsia="宋体"/>
          <w:b w:val="0"/>
          <w:i/>
          <w:color w:val="404040"/>
          <w:sz w:val="20"/>
        </w:rPr>
        <w:t>The life cycle of international cooperation: Introduction to the special issue</w:t>
      </w:r>
    </w:p>
    <w:p>
      <w:r>
        <w:rPr>
          <w:rFonts w:ascii="Times New Roman" w:hAnsi="Times New Roman" w:eastAsia="宋体"/>
          <w:b w:val="0"/>
          <w:i w:val="0"/>
          <w:color w:val="595959"/>
          <w:sz w:val="18"/>
        </w:rPr>
        <w:t>Julia Gray</w:t>
      </w:r>
    </w:p>
    <w:p>
      <w:r>
        <w:rPr>
          <w:rFonts w:ascii="Times New Roman" w:hAnsi="Times New Roman" w:eastAsia="宋体"/>
          <w:b w:val="0"/>
          <w:i w:val="0"/>
          <w:sz w:val="22"/>
        </w:rPr>
        <w:t>摘要：国际组织的生命往往远超其最初缔约时刻。国际组织如何适应成员国变化、全球地缘政治变迁乃至组织内部动态？本期关于国际合作生命周期的特刊探讨支撑国际体系的国际组织的兴衰起伏。企业理论、组织社会学和代理理论都已将生命周期视角纳入组织研究，但国际关系学尚未充分利用这些框架。生命周期路径一是将国际组织本身作为核心分析单位，二是关注组织内部的动态过程——包括错误开端、巩固、惰性、增长、振兴、死亡与继承等生命阶段。本期文章探讨国际组织面对危机的持久性、组织为证明自身存在的合法化措施、个人领导人言辞对组织活力的作用、成员国在终止组织与创建新机构之间的权衡、成员国退出对国际体系的影响以及公众对退出的看法。</w:t>
      </w:r>
    </w:p>
    <w:p>
      <w:r>
        <w:rPr>
          <w:rFonts w:ascii="Times New Roman" w:hAnsi="Times New Roman" w:eastAsia="宋体"/>
          <w:b w:val="0"/>
          <w:i w:val="0"/>
          <w:sz w:val="20"/>
        </w:rPr>
        <w:t>International organizations’ lives often extend far beyond the moment of their initial contracting. How IOs do adapt to shifting circumstances in their member states global geopolitical changes, and even internal dynamics within the IO itself? This special issue on the life cycle of international cooperation explores the ebbs and flows of the IOs that underpin the international system. Firm theory, organizational sociology, and agency theory all have incorporated life cycles perspectives into the study of organizations, but IR has yet to fully harness these frameworks. A life cycles approach centers on, first, incorporating the IO itself as the core unit of analysis and, second, the dynamic processes within IOs — including life stages such as false starts, consolidation, inertia, growth, revitalization, death, and succession. Incorporating these dynamic processes into our understanding of IOs reminds us that historically, IOs have always experienced periods of both flourishing and faltering. Grasping the mechanisms that drive these changes is indispensable for a thorough understanding of the international system’s vitality and resilience. Articles in this issue explore the durability of IOs in the face of crises; the measures that IOs deploy to legitimize their existence; the role of individual leaders’ rhetoric in IO vitality; the tradeoffs that member states face between pulling the plug on an IO versus creating a new institution; the effect of member-state IO withdrawal on the international system overall; and the mass public’s perceptions of such withdrawals.</w:t>
      </w:r>
    </w:p>
    <w:p/>
    <w:p>
      <w:r>
        <w:rPr>
          <w:rFonts w:ascii="Times New Roman" w:hAnsi="Times New Roman" w:eastAsia="黑体"/>
          <w:b/>
          <w:i w:val="0"/>
          <w:sz w:val="24"/>
        </w:rPr>
        <w:t>经济危机与国际组织的存续</w:t>
      </w:r>
    </w:p>
    <w:p>
      <w:r>
        <w:rPr>
          <w:rFonts w:ascii="Times New Roman" w:hAnsi="Times New Roman" w:eastAsia="宋体"/>
          <w:b w:val="0"/>
          <w:i/>
          <w:color w:val="404040"/>
          <w:sz w:val="20"/>
        </w:rPr>
        <w:t>Economic crises and the survival of international organizations</w:t>
      </w:r>
    </w:p>
    <w:p>
      <w:r>
        <w:rPr>
          <w:rFonts w:ascii="Times New Roman" w:hAnsi="Times New Roman" w:eastAsia="宋体"/>
          <w:b w:val="0"/>
          <w:i w:val="0"/>
          <w:color w:val="595959"/>
          <w:sz w:val="18"/>
        </w:rPr>
        <w:t>Yoram Z. Haftel；Bar Nadel</w:t>
      </w:r>
    </w:p>
    <w:p>
      <w:r>
        <w:rPr>
          <w:rFonts w:ascii="Times New Roman" w:hAnsi="Times New Roman" w:eastAsia="宋体"/>
          <w:b w:val="0"/>
          <w:i w:val="0"/>
          <w:sz w:val="22"/>
        </w:rPr>
        <w:t>摘要：经济困难时期如何影响国家外交政策特别是其国际承诺？大量文献假设经济危机导致以牺牲国际合作为代价优先考虑国内政治，但这些主张很少经受系统实证检验。本研究考察其中一个重要方面：经济危机对国际组织存续的影响。作者认为，尽管经济危机会削弱成员国对国际组织的承诺，但也凸显国际组织解决危机根源、缓解其最恶劣影响的能力，因此经济危机实际上有利于国际组织长寿；这一效应在货币危机、具有经济授权的国际组织以及区域性国际组织中尤为明显。作者利用1970—2014年国际组织全样本及货币、银行与主权债务危机数据，以事件史模型检验，在控制若干替代解释后获得充分支持。</w:t>
      </w:r>
    </w:p>
    <w:p>
      <w:r>
        <w:rPr>
          <w:rFonts w:ascii="Times New Roman" w:hAnsi="Times New Roman" w:eastAsia="宋体"/>
          <w:b w:val="0"/>
          <w:i w:val="0"/>
          <w:sz w:val="20"/>
        </w:rPr>
        <w:t>How do hard economic times affect countries’ foreign policy and, specifically, their international commitments? Although a large body of literature assumes that economic crises lead to the prioritization of domestic politics at the expense of international cooperation, these claims are rarely subjected to systematic empirical tests. This study examines one important aspect of these relationships: the consequences of economic crises for the survival of international organizations (IOs), a question that attracted only scant scholarly attention to date. Theoretically, we argue that even though economic crises can weaken member states’ commitment to IOs, they also underscore their ability to tackle the root causes of such crises and mitigate their most pernicious effects. As such, economic crises are actually conducive to IO longevity. We expect this effect to be especially pronounced for currency crises, IOs with an economic mandate, and regional IOs, given their particular relevance for international cooperation during hard economic times. These conjectures are tested with a comprehensive sample of IOs and data on currency, banking and sovereign debt crises from 1970 to 2014. Using event history models and controlling for several alternative explanations of IO survival, we find ample empirical support for the theoretical expectations.</w:t>
      </w:r>
    </w:p>
    <w:p/>
    <w:p>
      <w:r>
        <w:rPr>
          <w:rFonts w:ascii="Times New Roman" w:hAnsi="Times New Roman" w:eastAsia="黑体"/>
          <w:b/>
          <w:i w:val="0"/>
          <w:sz w:val="24"/>
        </w:rPr>
        <w:t>改革还是取代？作为政府间组织制度变迁机制的继承</w:t>
      </w:r>
    </w:p>
    <w:p>
      <w:r>
        <w:rPr>
          <w:rFonts w:ascii="Times New Roman" w:hAnsi="Times New Roman" w:eastAsia="宋体"/>
          <w:b w:val="0"/>
          <w:i/>
          <w:color w:val="404040"/>
          <w:sz w:val="20"/>
        </w:rPr>
        <w:t>To reform or to replace? Succession as a mechanism of institutional change in intergovernmental organisations</w:t>
      </w:r>
    </w:p>
    <w:p>
      <w:r>
        <w:rPr>
          <w:rFonts w:ascii="Times New Roman" w:hAnsi="Times New Roman" w:eastAsia="宋体"/>
          <w:b w:val="0"/>
          <w:i w:val="0"/>
          <w:color w:val="595959"/>
          <w:sz w:val="18"/>
        </w:rPr>
        <w:t>Mette Eilstrup-Sangiovanni；Daniel Verdier</w:t>
      </w:r>
    </w:p>
    <w:p>
      <w:r>
        <w:rPr>
          <w:rFonts w:ascii="Times New Roman" w:hAnsi="Times New Roman" w:eastAsia="宋体"/>
          <w:b w:val="0"/>
          <w:i w:val="0"/>
          <w:sz w:val="22"/>
        </w:rPr>
        <w:t>摘要：鉴于正式国际制度谈判成本高昂，人们普遍预期国家会调整、改革和改造现有制度而非创建新制度。然而过去一个世纪约有60个政府间组织被法律继承者直接取代。为何国家有时解散现有政府间组织，代之以接管原组织授权与资产的新组织——即“制度继承”？作者提出制度继承理论并举例说明。与创建新组织是最后手段的主流观点相反，作者认为改革与继承是实现制度变迁同样便捷的工具，但应对不同的谈判障碍：通过创建新制度（而非修订现有制度），继承可绕过可能阻碍改革的否决者；但继承可能存在规模不经济（并非现有组织每个成员都会加入继承者），而改革则无此问题。取决于哪种谈判障碍占主导，国家会偏好改革或继承。</w:t>
      </w:r>
    </w:p>
    <w:p>
      <w:r>
        <w:rPr>
          <w:rFonts w:ascii="Times New Roman" w:hAnsi="Times New Roman" w:eastAsia="宋体"/>
          <w:b w:val="0"/>
          <w:i w:val="0"/>
          <w:sz w:val="20"/>
        </w:rPr>
        <w:t>Given high costs of negotiating formal international institutions, states are widely expected to adapt, reform, and repurpose existing institutions rather than create new ones. Nevertheless, during the past century some 60 intergovernmental organizations (IGOs) have been directly replaced by a legal successor. Why do states sometimes dissolve an existing IGO only to replace it with a new one that takes over the incumbent organization’s mandate and assets—a practice known as institutional succession ? We offer a theory of institutional succession and illustrate with examples. Against the dominant belief that creating new IGOs is a choice of last resort, we argue that reform and succession are equally expedient tools for achieving institutional change but address different negotiating hurdles. By creating a new institution (as opposed to amending an existing one) succession bypasses veto players that may stunt reform. However, succession suffers from potential diseconomies-of-scale (since not every member of an existing IGO may join the successor) which reform does not. Depending on which negotiation hurdle prevails, reform will be preferred to succession or vice versa. Our analysis advances existing understandings of institutional contestation and change within the life cycle of an international organisation.</w:t>
      </w:r>
    </w:p>
    <w:p/>
    <w:p>
      <w:r>
        <w:rPr>
          <w:rFonts w:ascii="Times New Roman" w:hAnsi="Times New Roman" w:eastAsia="黑体"/>
          <w:b/>
          <w:i w:val="0"/>
          <w:sz w:val="24"/>
        </w:rPr>
        <w:t>联合国大会中的领导人：振兴还是政治化？</w:t>
      </w:r>
    </w:p>
    <w:p>
      <w:r>
        <w:rPr>
          <w:rFonts w:ascii="Times New Roman" w:hAnsi="Times New Roman" w:eastAsia="宋体"/>
          <w:b w:val="0"/>
          <w:i/>
          <w:color w:val="404040"/>
          <w:sz w:val="20"/>
        </w:rPr>
        <w:t>Leaders in the United Nations General Assembly: Revitalization or politicization?</w:t>
      </w:r>
    </w:p>
    <w:p>
      <w:r>
        <w:rPr>
          <w:rFonts w:ascii="Times New Roman" w:hAnsi="Times New Roman" w:eastAsia="宋体"/>
          <w:b w:val="0"/>
          <w:i w:val="0"/>
          <w:color w:val="595959"/>
          <w:sz w:val="18"/>
        </w:rPr>
        <w:t>Alexander Baturo；Julia Gray</w:t>
      </w:r>
    </w:p>
    <w:p>
      <w:r>
        <w:rPr>
          <w:rFonts w:ascii="Times New Roman" w:hAnsi="Times New Roman" w:eastAsia="宋体"/>
          <w:b w:val="0"/>
          <w:i w:val="0"/>
          <w:sz w:val="22"/>
        </w:rPr>
        <w:t>摘要：领导人如何为国际合作向世界发声？他们的信息增强还是削弱全球议程？领导人越来越多地出现在联合国大会——一个用于外交而非政治的审议论坛；与此同时，联大长期以来一直在推进振兴努力，领导人的贡献可能促成更有意义的合作。基于领导人传播理论，作者认为与其他国家代表相比，国家元首有更大空间偏离大会优先事项，且作为政治家有动机讨论自身更特殊的话题。利用联大领导人讲话新数据和文本分析，作者表明领导人倾向偏离会期政策议程；国家政治领导人讲话更直白，以自我为中心，偏离外交辩论的一般惯例。</w:t>
      </w:r>
    </w:p>
    <w:p>
      <w:r>
        <w:rPr>
          <w:rFonts w:ascii="Times New Roman" w:hAnsi="Times New Roman" w:eastAsia="宋体"/>
          <w:b w:val="0"/>
          <w:i w:val="0"/>
          <w:sz w:val="20"/>
        </w:rPr>
        <w:t>How do leaders address the world in service of international cooperation, and do their messages enhance or detract from the global agenda? Leaders increasingly appear at the United Nations General Assembly (UNGA), a deliberative forum meant for diplomacy, not politics. At the same time, the UNGA has long undergone revitalization efforts, and leaders’ contributions could potentially ensure more meaningful cooperation. Building on theories of leader communication, we argue that, in contrast to other country representatives, heads of state have more leeway to deviate from the assembly’s priorities; as politicians, they have incentives to discuss their own, more particularistic, topics. Drawing from novel data on leaders’ speeches in the UNGA, we use text analytics to show that leaders tend to depart from the policy agenda of the session. Furthermore, national political leaders speak more plainly, centering speech on themselves and departing from the general conventions of diplomatic debate. This suggests that, while leaders’ attendance potentially generates more publicity and visibility for the UNGA, their contributions may also undermine the general debate. Our findings shed light on the ways in which leaders can politicize mulitlateral cooperation, and we give evidence for the role of individuals in the vitality of international organizations.</w:t>
      </w:r>
    </w:p>
    <w:p/>
    <w:p>
      <w:r>
        <w:rPr>
          <w:rFonts w:ascii="Times New Roman" w:hAnsi="Times New Roman" w:eastAsia="黑体"/>
          <w:b/>
          <w:i w:val="0"/>
          <w:sz w:val="24"/>
        </w:rPr>
        <w:t>扩展还是捍卫合法性？国际组织为何加强自我合法化</w:t>
      </w:r>
    </w:p>
    <w:p>
      <w:r>
        <w:rPr>
          <w:rFonts w:ascii="Times New Roman" w:hAnsi="Times New Roman" w:eastAsia="宋体"/>
          <w:b w:val="0"/>
          <w:i/>
          <w:color w:val="404040"/>
          <w:sz w:val="20"/>
        </w:rPr>
        <w:t>Expanding or defending legitimacy? Why international organizations intensify self-legitimation</w:t>
      </w:r>
    </w:p>
    <w:p>
      <w:r>
        <w:rPr>
          <w:rFonts w:ascii="Times New Roman" w:hAnsi="Times New Roman" w:eastAsia="宋体"/>
          <w:b w:val="0"/>
          <w:i w:val="0"/>
          <w:color w:val="595959"/>
          <w:sz w:val="18"/>
        </w:rPr>
        <w:t>Henning Schmidtke；Tobias Lenz</w:t>
      </w:r>
    </w:p>
    <w:p>
      <w:r>
        <w:rPr>
          <w:rFonts w:ascii="Times New Roman" w:hAnsi="Times New Roman" w:eastAsia="宋体"/>
          <w:b w:val="0"/>
          <w:i w:val="0"/>
          <w:sz w:val="22"/>
        </w:rPr>
        <w:t>摘要：近几十年来国际组织为其权威辩护的努力不断加强。现有研究认为国际组织代表加强自我合法化是为了在公众批评下捍卫组织合法性。本文则表明，国际组织在权威增加时加强自我合法化，以动员相关受众的额外支持。作者认为自我合法化主要旨在实现主动的合法性扩展，而非被动的合法性保护。论证分三步：借鉴组织社会学和管理学，将自我合法化与组织生命阶段相联系；引入1980—2019年28个区域性国际组织自我合法化的新数据集，表明其强度分阶段演变；通过多元统计分析和非洲联盟简短案例表明，从全体一致或协商一致转向多数表决的国际组织倾向于加强自我合法化。</w:t>
      </w:r>
    </w:p>
    <w:p>
      <w:r>
        <w:rPr>
          <w:rFonts w:ascii="Times New Roman" w:hAnsi="Times New Roman" w:eastAsia="宋体"/>
          <w:b w:val="0"/>
          <w:i w:val="0"/>
          <w:sz w:val="20"/>
        </w:rPr>
        <w:t>Recent decades have seen an intensification of international organizations’ (IOs) attempts to justify their authority. The existing research suggests that IO representatives have scaled up self-legitimation to defend their organizations’ legitimacy in light of public criticism. In contrast, this article demonstrates that IOs intensify self-legitimation to mobilize additional support from relevant audiences when their authority increases. We argue that self-legitimation aims primarily to achieve proactive legitimacy expansion instead of reactive legitimacy protection. We develop this argument in three steps. First, we draw on organizational sociology and management studies to theorize the connection between self-legitimation and an organization’s life stages. Second, we introduce a novel dataset on the self-legitimation of 28 regional IOs between 1980 and 2019 and show that the intensity of self-legitimation evolves in phases. Third, we provide a multivariate statistical analysis and a brief vignette on the African Union, both of which indicate that IOs that shift from unanimity or consensus to majority voting tend to intensify self-legitimation.</w:t>
      </w:r>
    </w:p>
    <w:p/>
    <w:p>
      <w:r>
        <w:rPr>
          <w:rFonts w:ascii="Times New Roman" w:hAnsi="Times New Roman" w:eastAsia="黑体"/>
          <w:b/>
          <w:i w:val="0"/>
          <w:sz w:val="24"/>
        </w:rPr>
        <w:t>条约退出与国际法的发展</w:t>
      </w:r>
    </w:p>
    <w:p>
      <w:r>
        <w:rPr>
          <w:rFonts w:ascii="Times New Roman" w:hAnsi="Times New Roman" w:eastAsia="宋体"/>
          <w:b w:val="0"/>
          <w:i/>
          <w:color w:val="404040"/>
          <w:sz w:val="20"/>
        </w:rPr>
        <w:t>Treaty withdrawal and the development of international law</w:t>
      </w:r>
    </w:p>
    <w:p>
      <w:r>
        <w:rPr>
          <w:rFonts w:ascii="Times New Roman" w:hAnsi="Times New Roman" w:eastAsia="宋体"/>
          <w:b w:val="0"/>
          <w:i w:val="0"/>
          <w:color w:val="595959"/>
          <w:sz w:val="18"/>
        </w:rPr>
        <w:t>Averell Schmidt</w:t>
      </w:r>
    </w:p>
    <w:p>
      <w:r>
        <w:rPr>
          <w:rFonts w:ascii="Times New Roman" w:hAnsi="Times New Roman" w:eastAsia="宋体"/>
          <w:b w:val="0"/>
          <w:i w:val="0"/>
          <w:sz w:val="22"/>
        </w:rPr>
        <w:t>摘要：作者认为条约退出对国际法发展有两种相反效应：第一，直接影响发生退出的条约，促使剩余成员为维持合作而推行改革；第二，通过损害退出国与其他成员的外交关系，阻碍其他合作领域的谈判，间接影响其他条约的发展。因此条约退出对国际法发展的影响是混合的：加速一项条约的改革，同时抑制其他地方的改革。作者对基于联合国记录构建的原创条约面板应用双重差分设计检验，发现退出增加了发生退出条约的改革数量，但减少了成员构成相似的同类条约的改革；间接效应超过直接效应。总体而言，条约退出阻碍了新国际法的创造。</w:t>
      </w:r>
    </w:p>
    <w:p>
      <w:r>
        <w:rPr>
          <w:rFonts w:ascii="Times New Roman" w:hAnsi="Times New Roman" w:eastAsia="宋体"/>
          <w:b w:val="0"/>
          <w:i w:val="0"/>
          <w:sz w:val="20"/>
        </w:rPr>
        <w:t>I argue that treaty withdrawal has two opposing effects on the development of international law. First, it directly impacts the treaty where it occurs by pushing the remaining members to adopt reforms to maintain cooperation. Second, it indirectly affects the development of other treaties by damaging diplomatic relations between the withdrawing state and other members, hindering negotiations in other areas of cooperation. Consequentially, treaty withdrawal has a mixed impact on the development of international law: it expedites the reform of one treaty while inhibiting reform elsewhere. I test this argument by applying a difference-in-differences design to an original panel of treaties built from the records of the United Nations. My findings reveal that while withdrawal increases the number of reforms in treaties where it occurs, it decreases reforms in similar treaties with comparable memberships. The indirect effect more than cancels out the direct effect. Overall, treaty withdrawal impedes the creation of new international laws.</w:t>
      </w:r>
    </w:p>
    <w:p/>
    <w:p>
      <w:r>
        <w:rPr>
          <w:rFonts w:ascii="Times New Roman" w:hAnsi="Times New Roman" w:eastAsia="黑体"/>
          <w:b/>
          <w:i w:val="0"/>
          <w:sz w:val="24"/>
        </w:rPr>
        <w:t>公众对退出国际组织的支持：来自美国的实验证据</w:t>
      </w:r>
    </w:p>
    <w:p>
      <w:r>
        <w:rPr>
          <w:rFonts w:ascii="Times New Roman" w:hAnsi="Times New Roman" w:eastAsia="宋体"/>
          <w:b w:val="0"/>
          <w:i/>
          <w:color w:val="404040"/>
          <w:sz w:val="20"/>
        </w:rPr>
        <w:t>Public support for withdrawal from international organizations: Experimental evidence from the US</w:t>
      </w:r>
    </w:p>
    <w:p>
      <w:r>
        <w:rPr>
          <w:rFonts w:ascii="Times New Roman" w:hAnsi="Times New Roman" w:eastAsia="宋体"/>
          <w:b w:val="0"/>
          <w:i w:val="0"/>
          <w:color w:val="595959"/>
          <w:sz w:val="18"/>
        </w:rPr>
        <w:t>Inken von Borzyskowski；Felicity Vabulas</w:t>
      </w:r>
    </w:p>
    <w:p>
      <w:r>
        <w:rPr>
          <w:rFonts w:ascii="Times New Roman" w:hAnsi="Times New Roman" w:eastAsia="宋体"/>
          <w:b w:val="0"/>
          <w:i w:val="0"/>
          <w:sz w:val="22"/>
        </w:rPr>
        <w:t>摘要：美国帮助创建并领导了许多国际组织，但过去六年美国宣布退出世卫组织、教科文组织和万国邮政联盟等若干国际组织。美国人在意这些退出吗？美国人何时支持退出国际组织并支持主张退出的候选人？作者认为美国人对多边主义的支持倾向按党派分化，退出国际组织会激活这些偏好；将退出框定为有利于美国国家利益会使美国人更可能支持退出。特朗普第一任期四项美国调查实验支持这些论点：民主党人倾向反对退出，共和党人倾向支持；退出及其框定方式影响候选人选择与政策支持，表明宣布退出可用于凝聚国内选举支持。但数据也显示很大比例的美国公众重视留在国际组织中，即使组织不完美或面临挑战。</w:t>
      </w:r>
    </w:p>
    <w:p>
      <w:r>
        <w:rPr>
          <w:rFonts w:ascii="Times New Roman" w:hAnsi="Times New Roman" w:eastAsia="宋体"/>
          <w:b w:val="0"/>
          <w:i w:val="0"/>
          <w:sz w:val="20"/>
        </w:rPr>
        <w:t>The United States has helped create and lead many international organizations (IOs). Yet in the last six years, the US announced its withdrawal from several IOs including the World Health Organization, UNESCO, and the Universal Postal Union. Do Americans care about US withdrawals from IOs? When do Americans support withdrawing from IOs and support candidates who propose this? We argue that Americans’ support for multilateralism tends to divide along party lines, and that IO withdrawal can activate those preferences. We also argue that framing an IO withdrawal as benefiting US national interests can make Americans more likely to favor IO exit. Data from four US survey experiments during the 2016–2020 Trump administration support these arguments. Democrats tend to oppose IO withdrawals while Republicans tend to support them. Further, results show that IO withdrawal (and how it is framed) affects candidate choice and policy support. This suggests that announcing IO withdrawal can be used to rally domestic electoral support. Still, the data also show that a large proportion of the US public values remaining in IOs, even when IOs are imperfect or challenging. In these cases, we note that sunk cost fallacies, status quo bias, and loss aversion may pose friction points for supporting withdrawal. Our findings have important implications for research on public opinion about international cooperation, backlash against IOs, and their life cycles.</w:t>
      </w:r>
    </w:p>
    <w:p/>
    <w:p>
      <w:r>
        <w:rPr>
          <w:rFonts w:ascii="Times New Roman" w:hAnsi="Times New Roman" w:eastAsia="宋体"/>
          <w:b/>
          <w:i w:val="0"/>
          <w:sz w:val="22"/>
        </w:rPr>
        <w:t>RIO： Vol. 19, No. 3, 2024</w:t>
      </w:r>
    </w:p>
    <w:p/>
    <w:p>
      <w:r>
        <w:rPr>
          <w:rFonts w:ascii="Times New Roman" w:hAnsi="Times New Roman" w:eastAsia="黑体"/>
          <w:b/>
          <w:i w:val="0"/>
          <w:sz w:val="24"/>
        </w:rPr>
        <w:t>“弱者”的权力与国际组织</w:t>
      </w:r>
    </w:p>
    <w:p>
      <w:r>
        <w:rPr>
          <w:rFonts w:ascii="Times New Roman" w:hAnsi="Times New Roman" w:eastAsia="宋体"/>
          <w:b w:val="0"/>
          <w:i/>
          <w:color w:val="404040"/>
          <w:sz w:val="20"/>
        </w:rPr>
        <w:t>The power of the “weak” and international organizations</w:t>
      </w:r>
    </w:p>
    <w:p>
      <w:r>
        <w:rPr>
          <w:rFonts w:ascii="Times New Roman" w:hAnsi="Times New Roman" w:eastAsia="宋体"/>
          <w:b w:val="0"/>
          <w:i w:val="0"/>
          <w:color w:val="595959"/>
          <w:sz w:val="18"/>
        </w:rPr>
        <w:t>Duncan Snidal；Thomas Hale；Emily Jones；Claas Mertens；Karolina Milewicz</w:t>
      </w:r>
    </w:p>
    <w:p>
      <w:r>
        <w:rPr>
          <w:rFonts w:ascii="Times New Roman" w:hAnsi="Times New Roman" w:eastAsia="宋体"/>
          <w:b w:val="0"/>
          <w:i w:val="0"/>
          <w:sz w:val="22"/>
        </w:rPr>
        <w:t>摘要：几乎按任何衡量标准，国际体系中的权力都是集中的，大多数国家缺乏重要权力资源，但国际关系理论却倾向关注大国行为。本特刊转而探讨“弱”国在国际组织情境中用以推进利益、抵御强国压力的策略。作者将弱界定为在一个或多个维度上相对缺乏权力。既有文献关注弱行为体时常仅以物质标准界定弱，本刊采用基于巴尼特和杜瓦尔权力类型学的更广概念：多维权力概念使分析者能表明在某一维度（常为物质权力）上弱的行为体可能在其他维度上更强。据此构建“弱者策略”类型学，强调弱小行为体善用其位置的能动性。特刊文章在多种国际组织（作为论坛与行为体）中阐明并证实这些策略，帮助解释为何看似弱小的国家有时表现优于简单物质能力评估所预期的。</w:t>
      </w:r>
    </w:p>
    <w:p>
      <w:r>
        <w:rPr>
          <w:rFonts w:ascii="Times New Roman" w:hAnsi="Times New Roman" w:eastAsia="宋体"/>
          <w:b w:val="0"/>
          <w:i w:val="0"/>
          <w:sz w:val="20"/>
        </w:rPr>
        <w:t>By nearly every measure, power in the international system is concentrated, meaning that most states lack significant power resources. And yet international relations theory tends to focus on the behavior of great powers. This special issue instead explores the strategies that “weak” states use in the context of international organizations both to advance their interests and to resist pressure from stronger states. We define weakness as a relative lack of power across one or more dimensions. While the literature, to the extent it has focused on weak actors, has too often defined weakness solely in material terms, we adopt a broader conception that builds on the influential typology of power by Barnett and Duvall (Barnett and Duvall, 2005a, Barnett and Duvall, International Organization 59 , 39–75, 2005b). A multidimensional conceptualization of power allows analysts to show how actors that are weak in one dimension (often material power) may be stronger on other dimensions, giving them greater capacity for action than is often recognized. From this framework we create a typology of “strategies of the weak” that emphasizes the agency of weaker actors to make the most of their positions. The contributions to the special issue, summarized here, illuminate and substantiate many of these strategies across a diverse range of international organizations, understood as both forums and actors. As the articles show, these alternative theoretical mechanisms help explain how and why seemingly weak states sometimes fare better than a simplistic assessment of their material capabilities might suggest. By deepening our understanding of weakness and how it influences state behavior, the volume advances our theoretical understanding of how power is built, wielded, and resisted in and through international organization.</w:t>
      </w:r>
    </w:p>
    <w:p/>
    <w:p>
      <w:r>
        <w:rPr>
          <w:rFonts w:ascii="Times New Roman" w:hAnsi="Times New Roman" w:eastAsia="黑体"/>
          <w:b/>
          <w:i w:val="0"/>
          <w:sz w:val="24"/>
        </w:rPr>
        <w:t>拥有强大朋友的力量：来自IMF谈判团新数据集（1985—2020）的证据</w:t>
      </w:r>
    </w:p>
    <w:p>
      <w:r>
        <w:rPr>
          <w:rFonts w:ascii="Times New Roman" w:hAnsi="Times New Roman" w:eastAsia="宋体"/>
          <w:b w:val="0"/>
          <w:i/>
          <w:color w:val="404040"/>
          <w:sz w:val="20"/>
        </w:rPr>
        <w:t>The power of having powerful friends: Evidence from a new dataset of IMF negotiating missions, 1985-2020</w:t>
      </w:r>
    </w:p>
    <w:p>
      <w:r>
        <w:rPr>
          <w:rFonts w:ascii="Times New Roman" w:hAnsi="Times New Roman" w:eastAsia="宋体"/>
          <w:b w:val="0"/>
          <w:i w:val="0"/>
          <w:color w:val="595959"/>
          <w:sz w:val="18"/>
        </w:rPr>
        <w:t>Lauren L. Ferry；Alexandra O. Zeitz</w:t>
      </w:r>
    </w:p>
    <w:p>
      <w:r>
        <w:rPr>
          <w:rFonts w:ascii="Times New Roman" w:hAnsi="Times New Roman" w:eastAsia="宋体"/>
          <w:b w:val="0"/>
          <w:i w:val="0"/>
          <w:sz w:val="22"/>
        </w:rPr>
        <w:t>摘要：当国家面临危机且别无选择只能求助IMF时，速度至关重要。为何有些国家比其他国家更快谈成IMF贷款？作者引入一个关于1985—2020年达成的700多笔IMF贷款中借款国政府与IMF工作人员谈判时间与强度的原创数据集。运用“弱者的权力”特刊的概念，作者认为借款国在求助IMF时处于弱势，但有时仍能实现更快的谈判：借款国可凭借与IMF主要股东国的联系——特别是共同的其他国际组织成员身份和金融敞口——获得更快谈判；且处于有利位置的借款国能加快谈判结束而不在项目条件上妥协。作者以原创数据和科特迪瓦案例支持其主张。</w:t>
      </w:r>
    </w:p>
    <w:p>
      <w:r>
        <w:rPr>
          <w:rFonts w:ascii="Times New Roman" w:hAnsi="Times New Roman" w:eastAsia="宋体"/>
          <w:b w:val="0"/>
          <w:i w:val="0"/>
          <w:sz w:val="20"/>
        </w:rPr>
        <w:t>When countries are confronted with a crisis and have no alternative but to turn to the International Monetary Fund (IMF), speed is of the essence. Why do some countries negotiate IMF loans more quickly than others? We introduce an original dataset on the timing and intensity of negotiations between the borrowing government and IMF staff for more than 700 IMF loans agreed between 1985 and 2020. Applying concepts from this special issue on the “Power of the Weak” (Snidal et al., 2024), we argue that although borrowing countries are in a weak position when they approach the IMF, they nonetheless sometimes achieve more rapid negotiations. In particular, we argue that borrowers can obtain speedier negotiations on the basis of their ties to major IMF shareholder states, specifically through shared membership in other international organizations and financial exposure. Importantly, we suggest that well-placed borrowers can hasten the conclusion of negotiations without compromising on the conditions attached to IMF programs. We use our original data and an illustrative case study of Côte d’Ivoire to support our claims.</w:t>
      </w:r>
    </w:p>
    <w:p/>
    <w:p>
      <w:r>
        <w:rPr>
          <w:rFonts w:ascii="Times New Roman" w:hAnsi="Times New Roman" w:eastAsia="黑体"/>
          <w:b/>
          <w:i w:val="0"/>
          <w:sz w:val="24"/>
        </w:rPr>
        <w:t>赋权以约束：国际组织中的程序性制衡</w:t>
      </w:r>
    </w:p>
    <w:p>
      <w:r>
        <w:rPr>
          <w:rFonts w:ascii="Times New Roman" w:hAnsi="Times New Roman" w:eastAsia="宋体"/>
          <w:b w:val="0"/>
          <w:i/>
          <w:color w:val="404040"/>
          <w:sz w:val="20"/>
        </w:rPr>
        <w:t>Empowering to constrain: Procedural checks in international organizations</w:t>
      </w:r>
    </w:p>
    <w:p>
      <w:r>
        <w:rPr>
          <w:rFonts w:ascii="Times New Roman" w:hAnsi="Times New Roman" w:eastAsia="宋体"/>
          <w:b w:val="0"/>
          <w:i w:val="0"/>
          <w:color w:val="595959"/>
          <w:sz w:val="18"/>
        </w:rPr>
        <w:t>Katherine M. Beall</w:t>
      </w:r>
    </w:p>
    <w:p>
      <w:r>
        <w:rPr>
          <w:rFonts w:ascii="Times New Roman" w:hAnsi="Times New Roman" w:eastAsia="宋体"/>
          <w:b w:val="0"/>
          <w:i w:val="0"/>
          <w:sz w:val="22"/>
        </w:rPr>
        <w:t>摘要：弱国为何会接受授权强国对其采取强制行动的规则？作者认为在某些情况下，这是以“程序性制衡”——界定权力可合法行使之过程的规则——的形式为权力行使创造约束。若强国在缺乏正式授权规则的情况下就愿意对弱国行使权力，其行为便会成为新的现状；作为回应，弱国可试图通过正式认可不受欢迎的行动、同时附加程序性制衡来重新建立对权力行使的约束。为评估这一论点，作者考察《洛美协定》——欧洲经济共同体与非洲、加勒比和太平洋（非加太）国家集团之间的援助与优惠贸易协定——中人权暂停条款的加入：非加太国家在近二十年来一直认为此类条款是家长式的、违反不干涉规范之后接受了它。将这一决定归因于强国单方面主导国际组织或弱国直接支持政策的解释，无法说明非加太国家对暂停做法的持续反对以及欧洲国家愿意接受和使用程序性制衡等重要动态。</w:t>
      </w:r>
    </w:p>
    <w:p>
      <w:r>
        <w:rPr>
          <w:rFonts w:ascii="Times New Roman" w:hAnsi="Times New Roman" w:eastAsia="宋体"/>
          <w:b w:val="0"/>
          <w:i w:val="0"/>
          <w:sz w:val="20"/>
        </w:rPr>
        <w:t>Why would weak states accept rules which authorize strong states to take coercive action against them? I argue that, in some cases, this is a way of creating constraints over the exercise power in the form of procedural checks, or rules delineating the process through which power can legitimately be exercised. If stronger states become willing to exercise power against weak states in the absence of rules formally authorizing their behavior, this presents their actions as the new status quo. In response, weak states can attempt to re-establish constraints over the exercise of power by formally sanctioning unwanted actions, but doing so alongside procedural checks. To assess this argument, I examine the addition of a human rights suspension clause to the Lomé Convention, an aid and preferential trade agreement between the European Economic Community and the African, Caribbean, and Pacific (ACP) group of states. The ACP states accepted a suspension clause after nearly twenty years of arguing that such a clause was paternalistic and violated the norm of non-interference. Explanations for this decision that point to one-sided dominance of IOs by the strong or straightforward support for policies on the part of the weak cannot account for important dynamics, including continued objections to the practice of suspension by ACP states and the willingness of European states to accept and utilize procedural checks.</w:t>
      </w:r>
    </w:p>
    <w:p/>
    <w:p>
      <w:r>
        <w:rPr>
          <w:rFonts w:ascii="Times New Roman" w:hAnsi="Times New Roman" w:eastAsia="黑体"/>
          <w:b/>
          <w:i w:val="0"/>
          <w:sz w:val="24"/>
        </w:rPr>
        <w:t>弱国的武器：冲突后国家如何塑造国际国家建设</w:t>
      </w:r>
    </w:p>
    <w:p>
      <w:r>
        <w:rPr>
          <w:rFonts w:ascii="Times New Roman" w:hAnsi="Times New Roman" w:eastAsia="宋体"/>
          <w:b w:val="0"/>
          <w:i/>
          <w:color w:val="404040"/>
          <w:sz w:val="20"/>
        </w:rPr>
        <w:t>Weapons of the weak state: How post-conflict states shape international statebuilding</w:t>
      </w:r>
    </w:p>
    <w:p>
      <w:r>
        <w:rPr>
          <w:rFonts w:ascii="Times New Roman" w:hAnsi="Times New Roman" w:eastAsia="宋体"/>
          <w:b w:val="0"/>
          <w:i w:val="0"/>
          <w:color w:val="595959"/>
          <w:sz w:val="18"/>
        </w:rPr>
        <w:t>Susanna P. Campbell；Aila M. Matanock</w:t>
      </w:r>
    </w:p>
    <w:p>
      <w:r>
        <w:rPr>
          <w:rFonts w:ascii="Times New Roman" w:hAnsi="Times New Roman" w:eastAsia="宋体"/>
          <w:b w:val="0"/>
          <w:i w:val="0"/>
          <w:sz w:val="22"/>
        </w:rPr>
        <w:t>摘要：联合国等国际组织在多个冲突后国家开展国家建设。国家建设研究大多假设国际组织在其强大成员国支持下，对其干预的看似“弱”的国家至少拥有暂时权威。作者则认为许多冲突后国家通过“不完全安排”型国家建设契约塑造国际组织的国家建设努力，这些契约赋予冲突后国家对与国际组织国家建设契约中未谈判部分的剩余控制权。与“完全接管”型契约相对，不完全安排为冲突后国家提供了程序性的“弱国武器”，使其能影响国际组织授权内容、干预地点、雇佣人员及撤出时间。通过布隆迪、危地马拉和东帝汶的深入案例以及2000—2020年36项联合国冲突后干预的分析，本文展示了不完全安排契约赋予冲突后国家对国际组织国家建设者的制度性权力。</w:t>
      </w:r>
    </w:p>
    <w:p>
      <w:r>
        <w:rPr>
          <w:rFonts w:ascii="Times New Roman" w:hAnsi="Times New Roman" w:eastAsia="宋体"/>
          <w:b w:val="0"/>
          <w:i w:val="0"/>
          <w:sz w:val="20"/>
        </w:rPr>
        <w:t>International Organizations (IOs), such as the United Nations (U.N.), engage in statebuilding in a range of post-conflict states. Statebuilding scholarship largely assumes that IOs, backed by their powerful member states, have at least temporary authority over the seemingly “weak” states in which they intervene. We argue, in contrast, that many post-conflict states shape IO statebuilding efforts through many statebuilding contracts , which we call incomplete arrangements, that give the post-conflict state the residual rights of control over the unnegotiated components of these statebuilding contracts with IOs. These incomplete arrangements, as opposed to complete takeovers , which are the other type of statebuilding contracts , provide procedural “weapons of the weak state” that enable the post-conflict state to influence what the IO mandate contains, where it intervenes, whom it hires, and when it exits. Using in-depth case studies of Burundi, Guatemala, and Timor-Leste, as well as analysis of 36 U.N. interventions in post-conflict states from 2000–2020, this article demonstrates the potential of incomplete arrangement statebuilding contracts to give post-conflict states institutional power over IO statebuilders, with important implications for scholarship on statebuilding and global governance.</w:t>
      </w:r>
    </w:p>
    <w:p/>
    <w:p>
      <w:r>
        <w:rPr>
          <w:rFonts w:ascii="Times New Roman" w:hAnsi="Times New Roman" w:eastAsia="黑体"/>
          <w:b/>
          <w:i w:val="0"/>
          <w:sz w:val="24"/>
        </w:rPr>
        <w:t>沉默胜于雄辩：弱国与联合国大会中的策略性缺席</w:t>
      </w:r>
    </w:p>
    <w:p>
      <w:r>
        <w:rPr>
          <w:rFonts w:ascii="Times New Roman" w:hAnsi="Times New Roman" w:eastAsia="宋体"/>
          <w:b w:val="0"/>
          <w:i/>
          <w:color w:val="404040"/>
          <w:sz w:val="20"/>
        </w:rPr>
        <w:t>Your silence speaks volumes: Weak states and strategic absence in the UN General Assembly</w:t>
      </w:r>
    </w:p>
    <w:p>
      <w:r>
        <w:rPr>
          <w:rFonts w:ascii="Times New Roman" w:hAnsi="Times New Roman" w:eastAsia="宋体"/>
          <w:b w:val="0"/>
          <w:i w:val="0"/>
          <w:color w:val="595959"/>
          <w:sz w:val="18"/>
        </w:rPr>
        <w:t>Julia C. Morse；Bridget Coggins</w:t>
      </w:r>
    </w:p>
    <w:p>
      <w:r>
        <w:rPr>
          <w:rFonts w:ascii="Times New Roman" w:hAnsi="Times New Roman" w:eastAsia="宋体"/>
          <w:b w:val="0"/>
          <w:i w:val="0"/>
          <w:sz w:val="22"/>
        </w:rPr>
        <w:t>摘要：在联合国大会这类一国一票论坛中，国家参与常反映潜在的权力不对称与内生政治过程。投票一致性无疑是重要的偏好指标，但本文认为它不完整：沉默同样具有政治意义。弱国将缺席作为一种制度权力，以保护自身免受地缘政治压力和“多重委托人”问题的影响。弃权是削弱投票一致性的公开中立信号，而缺席意图模糊，因而是一种独特的政治表达。作者考察联大缺席政治，强调国家可能出于政治原因在特定投票中策略性缺席。基于Bailey等人的唱名投票数据，作者将策略性缺席与其他类型缺席区分开，并提供证据表明此类行为与美国利益和多重委托人问题相关。</w:t>
      </w:r>
    </w:p>
    <w:p>
      <w:r>
        <w:rPr>
          <w:rFonts w:ascii="Times New Roman" w:hAnsi="Times New Roman" w:eastAsia="宋体"/>
          <w:b w:val="0"/>
          <w:i w:val="0"/>
          <w:sz w:val="20"/>
        </w:rPr>
        <w:t>Country participation in one-state, one-vote forums like the United Nations General Assembly often reflects underlying power asymmetries and endogenous political processes. Voting alignment is undoubtedly an important preference indicator. However, this paper contends that it is incomplete; silence is politically significant as well. Weak states use absence as a form of institutional power that shields them from geopolitical pressure and competing-principals problems. While abstention is a public signal of neutrality that undercuts voting unanimity, the ambiguous intent of absence makes it a distinct form of political expression. We examine the politics of absences at the General Assembly, highlighting how states may be strategically absent from select votes for political reasons. Building on the Bailey et al. Journal of Conflict Resolution, 61 (2), 430–456, 2017 roll-call voting data, we distinguish strategic absences from other types of absence and provide evidence that such behavior is linked to US interests and competing-principals problems. Taking these non-random reasons for missingness into account provides a fuller picture of how weak states engage with international institutions and highlights how silence can be a consequence of larger political processes.</w:t>
      </w:r>
    </w:p>
    <w:p/>
    <w:p>
      <w:r>
        <w:rPr>
          <w:rFonts w:ascii="Times New Roman" w:hAnsi="Times New Roman" w:eastAsia="黑体"/>
          <w:b/>
          <w:i w:val="0"/>
          <w:sz w:val="24"/>
        </w:rPr>
        <w:t>政府间组织的再契约：成员变动与关联政府间组织的创建</w:t>
      </w:r>
    </w:p>
    <w:p>
      <w:r>
        <w:rPr>
          <w:rFonts w:ascii="Times New Roman" w:hAnsi="Times New Roman" w:eastAsia="宋体"/>
          <w:b w:val="0"/>
          <w:i/>
          <w:color w:val="404040"/>
          <w:sz w:val="20"/>
        </w:rPr>
        <w:t>Re-contracting intergovernmental organizations: Membership change and the creation of linked intergovernmental organizations</w:t>
      </w:r>
    </w:p>
    <w:p>
      <w:r>
        <w:rPr>
          <w:rFonts w:ascii="Times New Roman" w:hAnsi="Times New Roman" w:eastAsia="宋体"/>
          <w:b w:val="0"/>
          <w:i w:val="0"/>
          <w:color w:val="595959"/>
          <w:sz w:val="18"/>
        </w:rPr>
        <w:t>Andrew Lugg</w:t>
      </w:r>
    </w:p>
    <w:p>
      <w:r>
        <w:rPr>
          <w:rFonts w:ascii="Times New Roman" w:hAnsi="Times New Roman" w:eastAsia="宋体"/>
          <w:b w:val="0"/>
          <w:i w:val="0"/>
          <w:sz w:val="22"/>
        </w:rPr>
        <w:t>摘要：政府间组织如何演化？由于成员构成随时间剧烈变化导致对现状不满，通过政府间组织的合作难以维持。本文认为政府间组织成员国通过创建新的附属机构——作者称之为“关联政府间组织”——来“再契约”其合作，帮助组织适应变化的成员动态，包括新成员加入以及权力与偏好格局的转变。关联政府间组织对寻求改变制度现状的弱国或曾经的弱国尤其有用，其若干特征激励其创建：（1）绕过现有组织难以推行的改革；（2）灵活设计提高不满群体的声音；（3）对不满成员和维持现状成员在政治上都可行。作者分析1945—2012年间创建的1200个关联政府间组织原创数据，多元统计显示其创建是对产生变革需求的成员环境变化的回应，并以国际开发协会和联合国环境规划署两个重要案例补充。</w:t>
      </w:r>
    </w:p>
    <w:p>
      <w:r>
        <w:rPr>
          <w:rFonts w:ascii="Times New Roman" w:hAnsi="Times New Roman" w:eastAsia="宋体"/>
          <w:b w:val="0"/>
          <w:i w:val="0"/>
          <w:sz w:val="20"/>
        </w:rPr>
        <w:t>How do intergovernmental organizations (IGOs) evolve? Cooperation through IGOs is difficult to maintain, as membership dynamics change dramatically over time, leading to dissatisfaction with the status quo. This paper argues that IGO members states create new affiliated bodies, which I call linked intergovernmental organizations (LIGOs), to “re-contract” their cooperation. This helps IGOs adapt to changing membership dynamics, including the addition of new members and shifting constellations of power and preference. LIGOs are particularly useful for weak or formerly weak states seeking to alter the institutional status quo. Several features of LIGOs incentivize their creation: (1) they bypass difficult-to-enact reforms at existing IGOs; (2) flexible design features increase the voice of dissatisfied constituencies; and (3) they are politically viable for dissatisfied and status quo members of IGOs. To test my argument, I analyze original data on 1,200 LIGOs created between 1945 and 2012. Multivariate statistical analyses show that LIGOs are created in response to shifting membership environments that create demands for change at existing IGOs. I complement the quantitative analysis with case studies of two significant LIGOs: The International Development Agency (IDA) and United Nations Environment Programme (UNEP). My theory suggests a dramatic rethinking of how international cooperation evolves and has broad implications for global governance in an increasingly multipolar world.</w:t>
      </w:r>
    </w:p>
    <w:p/>
    <w:p>
      <w:r>
        <w:rPr>
          <w:rFonts w:ascii="Times New Roman" w:hAnsi="Times New Roman" w:eastAsia="黑体"/>
          <w:b/>
          <w:i w:val="0"/>
          <w:sz w:val="24"/>
        </w:rPr>
        <w:t>多边外交中的影响力来源：国际组织中的可替代性与政府间网络</w:t>
      </w:r>
    </w:p>
    <w:p>
      <w:r>
        <w:rPr>
          <w:rFonts w:ascii="Times New Roman" w:hAnsi="Times New Roman" w:eastAsia="宋体"/>
          <w:b w:val="0"/>
          <w:i/>
          <w:color w:val="404040"/>
          <w:sz w:val="20"/>
        </w:rPr>
        <w:t>The sources of influence in multilateral diplomacy: Replaceability and intergovernmental networks in international organizations</w:t>
      </w:r>
    </w:p>
    <w:p>
      <w:r>
        <w:rPr>
          <w:rFonts w:ascii="Times New Roman" w:hAnsi="Times New Roman" w:eastAsia="宋体"/>
          <w:b w:val="0"/>
          <w:i w:val="0"/>
          <w:color w:val="595959"/>
          <w:sz w:val="18"/>
        </w:rPr>
        <w:t>Michael W. Manulak</w:t>
      </w:r>
    </w:p>
    <w:p>
      <w:r>
        <w:rPr>
          <w:rFonts w:ascii="Times New Roman" w:hAnsi="Times New Roman" w:eastAsia="宋体"/>
          <w:b w:val="0"/>
          <w:i w:val="0"/>
          <w:sz w:val="22"/>
        </w:rPr>
        <w:t>摘要：国际史学家和政策实践者常强调多边外交是典型的“弱者策略”，但国际关系学者普遍低估外交选择的影响。国际关系理论中评估外交影响的工具仍不发达，导致无法解释这一近在眼前的国际影响力来源。本文主张重新从理论上关注多边外交，并借助社会网络分析发展“外交影响框架”。基于“可替代性”这一新概念，本文对外交研究和中小国家研究作出理论贡献。该框架捕捉外交的根本关系性，在分析上将这种结构性权力与优越物质或制度资源赋予的影响区分开。文章广泛利用多国外交文件和第一手记述，通过对加拿大在朝鲜战争和苏伊士危机两次国际安全危机中在联大的外交影响力的详细比较案例，检验框架的合理性。</w:t>
      </w:r>
    </w:p>
    <w:p>
      <w:r>
        <w:rPr>
          <w:rFonts w:ascii="Times New Roman" w:hAnsi="Times New Roman" w:eastAsia="宋体"/>
          <w:b w:val="0"/>
          <w:i w:val="0"/>
          <w:sz w:val="20"/>
        </w:rPr>
        <w:t>While international historians and policy practitioners regularly highlight the utility of multilateral diplomacy as a quintessential “strategy of the weak,” International Relations (IR) scholars have generally downplayed the impact of diplomatic choices. The tools within IR theory to assess the impact of diplomacy remain underdeveloped, contributing to an inability to account for a highly proximate source of international influence. This article argues for a theoretical reengagement with the subject of multilateral diplomacy and, using insights from Social Network Analysis, develops a Diplomatic Impact Framework. Building on the novel concept of replaceability, the article contributes theoretically to the literature on diplomacy, as well as on small and middle powers. This framework captures the fundamentally relational character of diplomacy, isolating analytically this form of structural power from the influence conferred by superior material or institutional resources. Drawing extensively on a multinational collection of diplomatic documents and first-hand accounts, this multidisciplinary article probes the plausibility of the framework through a detailed comparative case study of Canada’s diplomatic influence at the United Nations General Assembly throughout two international security crises: the Korean War and the Suez Crisis.</w:t>
      </w:r>
    </w:p>
    <w:p/>
    <w:p>
      <w:r>
        <w:rPr>
          <w:rFonts w:ascii="Times New Roman" w:hAnsi="Times New Roman" w:eastAsia="黑体"/>
          <w:b/>
          <w:i w:val="0"/>
          <w:sz w:val="24"/>
        </w:rPr>
        <w:t>纽约唯一在世的游击战士：古巴与一个坚韧修正主义国家的中介权力</w:t>
      </w:r>
    </w:p>
    <w:p>
      <w:r>
        <w:rPr>
          <w:rFonts w:ascii="Times New Roman" w:hAnsi="Times New Roman" w:eastAsia="宋体"/>
          <w:b w:val="0"/>
          <w:i/>
          <w:color w:val="404040"/>
          <w:sz w:val="20"/>
        </w:rPr>
        <w:t>The only living guerrillero in New York: Cuba and the brokerage power of a resilient revisionist state</w:t>
      </w:r>
    </w:p>
    <w:p>
      <w:r>
        <w:rPr>
          <w:rFonts w:ascii="Times New Roman" w:hAnsi="Times New Roman" w:eastAsia="宋体"/>
          <w:b w:val="0"/>
          <w:i w:val="0"/>
          <w:color w:val="595959"/>
          <w:sz w:val="18"/>
        </w:rPr>
        <w:t>Rafael Mesquita</w:t>
      </w:r>
    </w:p>
    <w:p>
      <w:r>
        <w:rPr>
          <w:rFonts w:ascii="Times New Roman" w:hAnsi="Times New Roman" w:eastAsia="宋体"/>
          <w:b w:val="0"/>
          <w:i w:val="0"/>
          <w:sz w:val="22"/>
        </w:rPr>
        <w:t>摘要：本文探讨弱国如何化解推动变革的体系压力，甚至成功保留对己有利的旧制度。通过将戈达德的“嵌入式修正主义”理论扩展至较小国家，研究识别出这些国家用以改善准入和中介地位的策略。作者利用联大提案联署数据集定位多边“中介者”，在发现古巴在该领域的中心地位后进行启发式案例研究。哈瓦那在冷战期间及之后抵消其脆弱性的举措，揭示了结构性、制度性与强制性权力的组合：两极格局结束后仍振兴不结盟运动，在民主化压力中维持其体制，以及后来支持激进化的拉美领导人，展示了一个坚韧的“流氓国家”意想不到的网络权力来源。</w:t>
      </w:r>
    </w:p>
    <w:p>
      <w:r>
        <w:rPr>
          <w:rFonts w:ascii="Times New Roman" w:hAnsi="Times New Roman" w:eastAsia="宋体"/>
          <w:b w:val="0"/>
          <w:i w:val="0"/>
          <w:sz w:val="20"/>
        </w:rPr>
        <w:t>This article explores how weak countries deflect systemic pressure towards change and even succeed in preserving old institutions to their advantage. By expanding Goddard’s theory of embedded revisionism to smaller powers, the study identifies strategies these states deploy to improve access and brokerage. We use the UN General Assembly Sponsorship Dataset to locate multilateral brokers and, after detecting Cuba’s centrality in this arena, we proceed to a heuristic case study. Havana’s maneuvers to offset its vulnerability during and after the Cold War reveal a mix of structural, institutional, and compulsory power. Specifically, its renewal of the Non-Aligned Movement even after the end of bipolarity, its maintenance of autocracy amidst the pressures for democratization, and later support of radicalized Latin American leaders provide insight regarding unexpected sources of network power available to a resilient rogue state.</w:t>
      </w:r>
    </w:p>
    <w:p/>
    <w:p>
      <w:r>
        <w:rPr>
          <w:rFonts w:ascii="Times New Roman" w:hAnsi="Times New Roman" w:eastAsia="宋体"/>
          <w:b/>
          <w:i w:val="0"/>
          <w:sz w:val="22"/>
        </w:rPr>
        <w:t>RIO： Vol. 19, No. 2, 2024</w:t>
      </w:r>
    </w:p>
    <w:p/>
    <w:p>
      <w:r>
        <w:rPr>
          <w:rFonts w:ascii="Times New Roman" w:hAnsi="Times New Roman" w:eastAsia="黑体"/>
          <w:b/>
          <w:i w:val="0"/>
          <w:sz w:val="24"/>
        </w:rPr>
        <w:t>移民与发展融资：关于侨民债券的调查实验</w:t>
      </w:r>
    </w:p>
    <w:p>
      <w:r>
        <w:rPr>
          <w:rFonts w:ascii="Times New Roman" w:hAnsi="Times New Roman" w:eastAsia="宋体"/>
          <w:b w:val="0"/>
          <w:i/>
          <w:color w:val="404040"/>
          <w:sz w:val="20"/>
        </w:rPr>
        <w:t>Migration and development finance: A survey experiment on diaspora bonds</w:t>
      </w:r>
    </w:p>
    <w:p>
      <w:r>
        <w:rPr>
          <w:rFonts w:ascii="Times New Roman" w:hAnsi="Times New Roman" w:eastAsia="宋体"/>
          <w:b w:val="0"/>
          <w:i w:val="0"/>
          <w:color w:val="595959"/>
          <w:sz w:val="18"/>
        </w:rPr>
        <w:t>Lindsay R. Dolan；Alexandra O. Zeitz</w:t>
      </w:r>
    </w:p>
    <w:p>
      <w:r>
        <w:rPr>
          <w:rFonts w:ascii="Times New Roman" w:hAnsi="Times New Roman" w:eastAsia="宋体"/>
          <w:b w:val="0"/>
          <w:i w:val="0"/>
          <w:sz w:val="22"/>
        </w:rPr>
        <w:t>摘要：侨民何时会向原籍国政府借款？侨民通过汇款和投资对发展中国家作出重要贡献，但我们对侨民社区何时及为何愿意投资原籍国政府知之甚少。侨民可能出于对原籍国的亲近感——无论是民族自豪感、对经济发展的利害关系还是政治支持——而回国投资。本文考察这些不同的亲近感动机是否能解释侨民购买原籍国政府债券的兴趣。作者对在美巴基斯坦侨民开展调查实验，随机操纵债券的框架以测量购买意愿的异质性，发现民族自豪感和对经济发展的利害关系是个人选择投资原籍国债券的最强驱动因素；后续访谈证实了对民族认同和发展支持诉求的共鸣。</w:t>
      </w:r>
    </w:p>
    <w:p>
      <w:r>
        <w:rPr>
          <w:rFonts w:ascii="Times New Roman" w:hAnsi="Times New Roman" w:eastAsia="宋体"/>
          <w:b w:val="0"/>
          <w:i w:val="0"/>
          <w:sz w:val="20"/>
        </w:rPr>
        <w:t>When will members of a diaspora lend to the government in their country of origin? Diasporans make important contributions to developing countries by sending remittances and investment home. However, little is known about when and why diaspora communities are willing to invest in the governments of their country of origin. Diasporans may invest at home because of their affinity with their country of origin, whether in the form of national pride, stake in economic development, or political support. This paper investigates whether these different affinity-based motivations explain the interest of diaspora members in purchasing home country government bonds. We use a survey experiment fielded to members of the Pakistani diaspora living in the United States to investigate diaspora members’ willingness to invest in home government bonds. We randomly manipulate the framing of the bond to measure heterogeneity in willingness to buy the home country government bond. We find that national pride and a stake in economic development are the strongest drivers for an individual’s choice to invest in a home country bond. We corroborate these findings with follow-up interviews that reveal the resonance of appeals to national identity and developmental support. The findings have implications for the design and marketing of diaspora bonds.</w:t>
      </w:r>
    </w:p>
    <w:p/>
    <w:p>
      <w:r>
        <w:rPr>
          <w:rFonts w:ascii="Times New Roman" w:hAnsi="Times New Roman" w:eastAsia="黑体"/>
          <w:b/>
          <w:i w:val="0"/>
          <w:sz w:val="24"/>
        </w:rPr>
        <w:t>善意重新谈判：国际条约修订如何深化合作</w:t>
      </w:r>
    </w:p>
    <w:p>
      <w:r>
        <w:rPr>
          <w:rFonts w:ascii="Times New Roman" w:hAnsi="Times New Roman" w:eastAsia="宋体"/>
          <w:b w:val="0"/>
          <w:i/>
          <w:color w:val="404040"/>
          <w:sz w:val="20"/>
        </w:rPr>
        <w:t>Renegotiating in good faith: How international treaty revisions can deepen cooperation</w:t>
      </w:r>
    </w:p>
    <w:p>
      <w:r>
        <w:rPr>
          <w:rFonts w:ascii="Times New Roman" w:hAnsi="Times New Roman" w:eastAsia="宋体"/>
          <w:b w:val="0"/>
          <w:i w:val="0"/>
          <w:color w:val="595959"/>
          <w:sz w:val="18"/>
        </w:rPr>
        <w:t>Matthew A. Castle</w:t>
      </w:r>
    </w:p>
    <w:p>
      <w:r>
        <w:rPr>
          <w:rFonts w:ascii="Times New Roman" w:hAnsi="Times New Roman" w:eastAsia="宋体"/>
          <w:b w:val="0"/>
          <w:i w:val="0"/>
          <w:sz w:val="22"/>
        </w:rPr>
        <w:t>摘要：国际协定常被理解为通过限制政府背弃承诺的能力，帮助其对未来政策作出可信承诺。因此协定的重新谈判被视为对合作的威胁，因为它令过去的承诺受到质疑。但我们对条约重新谈判的频率和性质知之甚少：国际协定何时被重新谈判？重新谈判对国际合作有何影响？多数重新谈判是否真的旨在倒退？以贸易机制为背景，作者收集了2000年以来签署的310项优惠贸易协定的条约修订新数据，发现约四分之一的协定曾以某种形式被修订，而绝大多数修订带来的不是缩减而是更深的承诺。生存分析显示，拥有共同语言、联大投票模式相似的“志同道合”国家最可能修订承诺；没有证据支持修订是“倒退”的观点。误差修正模型显示修订与出口量的长期增长相关。</w:t>
      </w:r>
    </w:p>
    <w:p>
      <w:r>
        <w:rPr>
          <w:rFonts w:ascii="Times New Roman" w:hAnsi="Times New Roman" w:eastAsia="宋体"/>
          <w:b w:val="0"/>
          <w:i w:val="0"/>
          <w:sz w:val="20"/>
        </w:rPr>
        <w:t>International agreements are often understood to help governments make credible commitments to future policy by limiting their ability to renege on their promises. Renegotiations of agreements are accordingly viewed as a threat to cooperation, since renegotiations call past commitments into question. But we know little about the frequency or nature of treaty renegotiations. When are international agreements renegotiated, and what effect does renegotiation have on international cooperation? Do most renegotiations indeed aim to backtrack on past commitments? Using the topical context of the trade regime, I collect new data on international treaty revisions, covering 310 preferential trade agreements signed since the year 2000. Around a quarter of these agreements have been amended in some form, and the supermajority of amendments result not in scaled back agreements, but in deeper commitments. Survival analysis shows that ‘like-minded’ countries with a shared language and similar voting patterns at the UN General Assembly are most likely to revise their commitments. In contrast, I do not find evidence to support the view of PTA revisions as ‘backsliding’ on past commitments. The effects of revisions on trade cooperation support the more cooperative view of revisions. An error-correction model shows revisions are associated with a long-run increase in export volumes. Renegotiations are not breakdowns in international relations, but opportunities for governments to renew their commitment to cooperation.</w:t>
      </w:r>
    </w:p>
    <w:p/>
    <w:p>
      <w:r>
        <w:rPr>
          <w:rFonts w:ascii="Times New Roman" w:hAnsi="Times New Roman" w:eastAsia="黑体"/>
          <w:b/>
          <w:i w:val="0"/>
          <w:sz w:val="24"/>
        </w:rPr>
        <w:t>削弱美国声誉：新冠期间中国疫苗与援助及公共物品的替代性提供</w:t>
      </w:r>
    </w:p>
    <w:p>
      <w:r>
        <w:rPr>
          <w:rFonts w:ascii="Times New Roman" w:hAnsi="Times New Roman" w:eastAsia="宋体"/>
          <w:b w:val="0"/>
          <w:i/>
          <w:color w:val="404040"/>
          <w:sz w:val="20"/>
        </w:rPr>
        <w:t>Undermining U.S. reputation: Chinese vaccines and aid and the alternative provision of public goods during COVID-19</w:t>
      </w:r>
    </w:p>
    <w:p>
      <w:r>
        <w:rPr>
          <w:rFonts w:ascii="Times New Roman" w:hAnsi="Times New Roman" w:eastAsia="宋体"/>
          <w:b w:val="0"/>
          <w:i w:val="0"/>
          <w:color w:val="595959"/>
          <w:sz w:val="18"/>
        </w:rPr>
        <w:t>Francisco Urdinez</w:t>
      </w:r>
    </w:p>
    <w:p>
      <w:r>
        <w:rPr>
          <w:rFonts w:ascii="Times New Roman" w:hAnsi="Times New Roman" w:eastAsia="宋体"/>
          <w:b w:val="0"/>
          <w:i w:val="0"/>
          <w:sz w:val="22"/>
        </w:rPr>
        <w:t>摘要：全球卫生紧急情况为各国通过展示慷慨与技术能力增强软实力提供了机会。尽管中国最初与新冠疫情暴发的关联损害了其国际声誉，但它通过显著地分发疫苗和医疗物资努力重建声誉。通过对抗美国的疫苗民族主义，中国将自己定位为全球南方公共物品的替代提供者。新冠危机为研究援助如何转化为声誉——尤其在捐助方面临声誉损害时——提供了独特机会。本文利用2020—2021年在六个拉美国家收集的原创个体面板数据，采用双重差分设计评估替代性物品提供对中国声誉的影响。通过区分绝对与相对声誉效应，作者发现中国疫苗改善了公众对华看法并提升了中国相对于美国的声誉；调查实验进一步证实，当个人获知中国提供医疗物资的信息时，中国相对美国的声誉提升。</w:t>
      </w:r>
    </w:p>
    <w:p>
      <w:r>
        <w:rPr>
          <w:rFonts w:ascii="Times New Roman" w:hAnsi="Times New Roman" w:eastAsia="宋体"/>
          <w:b w:val="0"/>
          <w:i w:val="0"/>
          <w:sz w:val="20"/>
        </w:rPr>
        <w:t>Global health emergencies present opportunities for countries to enhance their soft power by demonstrating generosity and technological capabilities. Although China’s initial association with the COVID-19 pandemic outbreak had a detrimental impact on its international reputation, the country endeavored to rebuild it by visibly distributing vaccines and medical supplies. By countering U.S. vaccine nationalism, China positioned itself as an alternative provider of public goods in the Global South. The COVID-19 crisis provides a unique opportunity to examine how aid translates into reputation, particularly when donors are facing reputational damage. This article assesses the impact of alternative goods provision on China’s reputation using original individual-level panel data collected from six Latin American countries between 2020 and 2021, employing a difference-in-differences research design. By positing the existence of absolute and relative reputational effects, we observe that Chinese vaccines improve public opinion of China and elevate its reputation in comparison to the United States. These findings are substantiated through a survey experiment, which demonstrates that when individuals receive information about China’s provision of medical supplies, it enhances China’s reputation relative to the United States.</w:t>
      </w:r>
    </w:p>
    <w:p/>
    <w:p>
      <w:r>
        <w:rPr>
          <w:rFonts w:ascii="Times New Roman" w:hAnsi="Times New Roman" w:eastAsia="黑体"/>
          <w:b/>
          <w:i w:val="0"/>
          <w:sz w:val="24"/>
        </w:rPr>
        <w:t>国际组织间合作：需求、供给与克制</w:t>
      </w:r>
    </w:p>
    <w:p>
      <w:r>
        <w:rPr>
          <w:rFonts w:ascii="Times New Roman" w:hAnsi="Times New Roman" w:eastAsia="宋体"/>
          <w:b w:val="0"/>
          <w:i/>
          <w:color w:val="404040"/>
          <w:sz w:val="20"/>
        </w:rPr>
        <w:t>Cooperation between international organizations: Demand, supply, and restraint</w:t>
      </w:r>
    </w:p>
    <w:p>
      <w:r>
        <w:rPr>
          <w:rFonts w:ascii="Times New Roman" w:hAnsi="Times New Roman" w:eastAsia="宋体"/>
          <w:b w:val="0"/>
          <w:i w:val="0"/>
          <w:color w:val="595959"/>
          <w:sz w:val="18"/>
        </w:rPr>
        <w:t>Diana Panke；Sören Stapel</w:t>
      </w:r>
    </w:p>
    <w:p>
      <w:r>
        <w:rPr>
          <w:rFonts w:ascii="Times New Roman" w:hAnsi="Times New Roman" w:eastAsia="宋体"/>
          <w:b w:val="0"/>
          <w:i w:val="0"/>
          <w:sz w:val="22"/>
        </w:rPr>
        <w:t>摘要：机制复杂性是国际体系的特征，许多国际组织在成员与职能上同时重叠。未加管理的重叠危及国际组织有效性，组织间合作可缓解这些负面后果。然而新数据集显示并非所有重叠的国际组织都相互合作，合作协定的制度化程度也各不相同。为何有些而非全部重叠的国际组织选择合作协定？其设计为何不同？“需求—供给—克制”模型分析表明，重叠暴露增加会产生对合作协定及其强制度化的需求；当国家习惯国际合作和内部授权时，对合作协定的供给反应更积极；克制部分则显示，当国际组织间意识形态差异与权力差距更大时合作意愿更低，而意识形态差异有限时会选择高度制度化的合作协定。</w:t>
      </w:r>
    </w:p>
    <w:p>
      <w:r>
        <w:rPr>
          <w:rFonts w:ascii="Times New Roman" w:hAnsi="Times New Roman" w:eastAsia="宋体"/>
          <w:b w:val="0"/>
          <w:i w:val="0"/>
          <w:sz w:val="20"/>
        </w:rPr>
        <w:t>Regime complexity characterizes the international system, as many international organizations (IOs) overlap in membership and competencies at the same time. Unmanaged overlaps endanger the effectiveness of IOs. Inter-organizational cooperation can mitigate such negative consequences. However, a novel dataset reveals that not all overlapping IOs cooperate with each other and the institutionalization of cooperation agreements varies. Why do some but not all overlapping IOs opt for cooperation agreements, and why do their designs vary? The analysis of a demand–supply–restraint model shows that increased exposure to overlaps creates a demand for IOs to reach cooperation agreements and for their strong institutionalization. States respond more favourable to the supply of cooperation agreements when they are used to international cooperation and internal authority-delegation. The restraint component underscores that IOs are less inclined to cooperate when ideological differences and power differentials between them are greater and that IOs choose highly institutionalized cooperation agreements when their ideological differences are limited.</w:t>
      </w:r>
    </w:p>
    <w:p/>
    <w:p>
      <w:r>
        <w:rPr>
          <w:rFonts w:ascii="Times New Roman" w:hAnsi="Times New Roman" w:eastAsia="黑体"/>
          <w:b/>
          <w:i w:val="0"/>
          <w:sz w:val="24"/>
        </w:rPr>
        <w:t>打造强行政与弱制度：欧洲一体化如何助长民主倒退</w:t>
      </w:r>
    </w:p>
    <w:p>
      <w:r>
        <w:rPr>
          <w:rFonts w:ascii="Times New Roman" w:hAnsi="Times New Roman" w:eastAsia="宋体"/>
          <w:b w:val="0"/>
          <w:i/>
          <w:color w:val="404040"/>
          <w:sz w:val="20"/>
        </w:rPr>
        <w:t>Building strong executives and weak institutions: How European integration contributes to democratic backsliding</w:t>
      </w:r>
    </w:p>
    <w:p>
      <w:r>
        <w:rPr>
          <w:rFonts w:ascii="Times New Roman" w:hAnsi="Times New Roman" w:eastAsia="宋体"/>
          <w:b w:val="0"/>
          <w:i w:val="0"/>
          <w:color w:val="595959"/>
          <w:sz w:val="18"/>
        </w:rPr>
        <w:t>Anna M. Meyerrose</w:t>
      </w:r>
    </w:p>
    <w:p>
      <w:r>
        <w:rPr>
          <w:rFonts w:ascii="Times New Roman" w:hAnsi="Times New Roman" w:eastAsia="宋体"/>
          <w:b w:val="0"/>
          <w:i w:val="0"/>
          <w:sz w:val="22"/>
        </w:rPr>
        <w:t>摘要：尽管欧盟被认为在民主促进方面无与伦比，民主在其境内却正受挑战：过去十年匈牙利执政党削弱或消除了自由民主制度，类似趋势也出现在波兰和欧盟其他新兴民主国家。什么解释了这些令人惊讶的民主倒退？研究者已识别出条件性的局限和欧盟应对倒退的无能，但鉴于欧盟在成员国民主建设中的广泛作用，也必须考虑欧盟作为倒退的初始来源。本文认为欧盟后马斯特里赫特政策结构、入盟进程和成员要求在增强行政权力的同时限制国家的国内政策空间，阻碍了制度发展，从而使新兴民主国家更可能发生民主倒退。结合典型案例与对照案例的比较分析支持这一论点。</w:t>
      </w:r>
    </w:p>
    <w:p>
      <w:r>
        <w:rPr>
          <w:rFonts w:ascii="Times New Roman" w:hAnsi="Times New Roman" w:eastAsia="宋体"/>
          <w:b w:val="0"/>
          <w:i w:val="0"/>
          <w:sz w:val="20"/>
        </w:rPr>
        <w:t>Although the European Union (EU) is considered unrivaled in its democracy promoting abilities, democracy is being challenged within its borders. Over the last decade, Hungary’s ruling party has debilitated or eliminated liberal democratic institutions; similar trends have emerged in Poland and other new democracies in the EU. What explains these surprising cases of democratic backsliding? Researchers have identified the limits of conditionality and the EU’s inability to counteract backsliding. However, given the EU’s extensive role in democracy building in its member states, it is critical to also consider the EU as an initial source of backsliding. This paper argues that the EU’s post-Maastricht policy structure, accession process, and membership requirements have made democratic backsliding more likely in new democracies by simultaneously increasing executive power and limiting states’ domestic policy space, which stunts institutional development. This combination of factors creates opportunities for executives to manipulate already weak institutions to increase their power, and democratic backsliding becomes more likely. A comparative analysis that combines typical and control cases provides support for this argument. These findings extend beyond the EU to contribute to emerging research on the limits of international democracy promotion and the related long-term effects that international organizations have on domestic democratic institutional development.</w:t>
      </w:r>
    </w:p>
    <w:p/>
    <w:p>
      <w:r>
        <w:rPr>
          <w:rFonts w:ascii="Times New Roman" w:hAnsi="Times New Roman" w:eastAsia="黑体"/>
          <w:b/>
          <w:i w:val="0"/>
          <w:sz w:val="24"/>
        </w:rPr>
        <w:t>对抗超级细菌的软治理：抗微生物药物耐药性国际机制有多有效？</w:t>
      </w:r>
    </w:p>
    <w:p>
      <w:r>
        <w:rPr>
          <w:rFonts w:ascii="Times New Roman" w:hAnsi="Times New Roman" w:eastAsia="宋体"/>
          <w:b w:val="0"/>
          <w:i/>
          <w:color w:val="404040"/>
          <w:sz w:val="20"/>
        </w:rPr>
        <w:t>Soft governance against superbugs: How effective is the international regime on antimicrobial resistance?</w:t>
      </w:r>
    </w:p>
    <w:p>
      <w:r>
        <w:rPr>
          <w:rFonts w:ascii="Times New Roman" w:hAnsi="Times New Roman" w:eastAsia="宋体"/>
          <w:b w:val="0"/>
          <w:i w:val="0"/>
          <w:color w:val="595959"/>
          <w:sz w:val="18"/>
        </w:rPr>
        <w:t>Mirko Heinzel；Mathias Koenig-Archibugi</w:t>
      </w:r>
    </w:p>
    <w:p>
      <w:r>
        <w:rPr>
          <w:rFonts w:ascii="Times New Roman" w:hAnsi="Times New Roman" w:eastAsia="宋体"/>
          <w:b w:val="0"/>
          <w:i w:val="0"/>
          <w:sz w:val="22"/>
        </w:rPr>
        <w:t>摘要：抗微生物药物耐药性以及抗生素因滥用而效力下降，是本世纪全球卫生的最大威胁之一和全球治理的重大挑战。由于耐药细菌易于跨境传播，加剧或缓解耐药性的政府政策会影响他国。国际组织与各国政府通过建立一个基本不含法律约束规则和执行机制的软治理机制，来应对维持抗菌保护这一全球公共物品。本文结合国家行动计划新数据与2000—2018年191国抗生素消费数据，对国际耐药性机制有效性进行跨国实证评估，发现该机制设定了雄心目标，实现了广泛参与、实质执行以及抗生素使用的有意义变化；最大抗生素消费国的参与对有效性与公平性都至关重要。</w:t>
      </w:r>
    </w:p>
    <w:p>
      <w:r>
        <w:rPr>
          <w:rFonts w:ascii="Times New Roman" w:hAnsi="Times New Roman" w:eastAsia="宋体"/>
          <w:b w:val="0"/>
          <w:i w:val="0"/>
          <w:sz w:val="20"/>
        </w:rPr>
        <w:t>Antimicrobial resistance (AMR) and the declining effectiveness of antibiotic medicines due to misuse are among the biggest threats to global health and a major challenge for global governance in this century. Since drug-resistant bacteria spread easily across borders, government policies that exacerbate or mitigate AMR affect other countries. International organizations and governments addressed the global public good of maintaining antimicrobial protection by creating a soft governance regime largely devoid of legally binding rules and enforcement mechanisms. This article presents a cross-national empirical assessment of the effectiveness of the international AMR regime combining novel data on national action plans and data on antibiotic consumption in 191 countries between 2000 and 2018. We find that the regime sets ambitious goals and achieves broad participation, substantial implementation, and meaningful change in the use of antibiotics. The involvement of the largest consumers of antibiotics has been crucial for both effectiveness and equity.</w:t>
      </w:r>
    </w:p>
    <w:p/>
    <w:p>
      <w:r>
        <w:rPr>
          <w:rFonts w:ascii="Times New Roman" w:hAnsi="Times New Roman" w:eastAsia="宋体"/>
          <w:b/>
          <w:i w:val="0"/>
          <w:sz w:val="22"/>
        </w:rPr>
        <w:t>RIO： Vol. 19, No. 1, 2024</w:t>
      </w:r>
    </w:p>
    <w:p/>
    <w:p>
      <w:r>
        <w:rPr>
          <w:rFonts w:ascii="Times New Roman" w:hAnsi="Times New Roman" w:eastAsia="黑体"/>
          <w:b/>
          <w:i w:val="0"/>
          <w:sz w:val="24"/>
        </w:rPr>
        <w:t>国际测试的政治</w:t>
      </w:r>
    </w:p>
    <w:p>
      <w:r>
        <w:rPr>
          <w:rFonts w:ascii="Times New Roman" w:hAnsi="Times New Roman" w:eastAsia="宋体"/>
          <w:b w:val="0"/>
          <w:i/>
          <w:color w:val="404040"/>
          <w:sz w:val="20"/>
        </w:rPr>
        <w:t>The politics of international testing</w:t>
      </w:r>
    </w:p>
    <w:p>
      <w:r>
        <w:rPr>
          <w:rFonts w:ascii="Times New Roman" w:hAnsi="Times New Roman" w:eastAsia="宋体"/>
          <w:b w:val="0"/>
          <w:i w:val="0"/>
          <w:color w:val="595959"/>
          <w:sz w:val="18"/>
        </w:rPr>
        <w:t>Rie Kijima；Phillip Y. Lipscy</w:t>
      </w:r>
    </w:p>
    <w:p>
      <w:r>
        <w:rPr>
          <w:rFonts w:ascii="Times New Roman" w:hAnsi="Times New Roman" w:eastAsia="宋体"/>
          <w:b w:val="0"/>
          <w:i w:val="0"/>
          <w:sz w:val="22"/>
        </w:rPr>
        <w:t>摘要：量化与排名国家表现如何影响国家行为？经合组织推广的国际学生评估项目等跨国教育评估近年来日益突出，但其政治争议大、影响研究不足。作者认为参加评估对教育结果有显著积极影响，并评估与精英、国内和跨国机制相关的三个假设。混合方法利用涵盖所有跨国评估和所有国家的面板数据，以及对46国直接负责规划与实施的教育官员的原创调查，发现即使考虑潜在的自我选择，参加评估也提高了中等教育净入学率，幅度很大：在全球范围内相当于每年为2700万至3200万学生改善了升学机会。实证证据表明主要是精英层面机制在起作用。</w:t>
      </w:r>
    </w:p>
    <w:p>
      <w:r>
        <w:rPr>
          <w:rFonts w:ascii="Times New Roman" w:hAnsi="Times New Roman" w:eastAsia="宋体"/>
          <w:b w:val="0"/>
          <w:i w:val="0"/>
          <w:sz w:val="20"/>
        </w:rPr>
        <w:t>How does quantifying and ranking national performance influence state behavior? Cross-national assessments in education, such as the Programme for International Student Assessment (PISA) promoted by the Organisation for Economic Co-operation and Development (OECD), have become increasingly prominent in recent years. However, cross-national assessments are politically contentious, and their impact remains underexplored. We argue that assessment participation has a meaningful, positive impact on education outcomes and evaluate three hypotheses related to elite, domestic, and transnational mechanisms. Our mixed-method approach draws on a panel dataset covering all cross-national assessments and all countries as well as an original survey of education officials directly responsible for planning and implementation in 46 countries. We find that assessment participation increases net secondary enrollment rates even after accounting for potential self-selection. The magnitude of this increase is large: on a global basis, it is equivalent to improved access to higher education for 27–32 million students annually. The empirical evidence suggests elite-level mechanisms are primarily responsible for these findings.</w:t>
      </w:r>
    </w:p>
    <w:p/>
    <w:p>
      <w:r>
        <w:rPr>
          <w:rFonts w:ascii="Times New Roman" w:hAnsi="Times New Roman" w:eastAsia="黑体"/>
          <w:b/>
          <w:i w:val="0"/>
          <w:sz w:val="24"/>
        </w:rPr>
        <w:t>作为俱乐部的环境协定：来自贸易条款新数据集的证据</w:t>
      </w:r>
    </w:p>
    <w:p>
      <w:r>
        <w:rPr>
          <w:rFonts w:ascii="Times New Roman" w:hAnsi="Times New Roman" w:eastAsia="宋体"/>
          <w:b w:val="0"/>
          <w:i/>
          <w:color w:val="404040"/>
          <w:sz w:val="20"/>
        </w:rPr>
        <w:t>Environmental agreements as clubs: Evidence from a new dataset of trade provisions</w:t>
      </w:r>
    </w:p>
    <w:p>
      <w:r>
        <w:rPr>
          <w:rFonts w:ascii="Times New Roman" w:hAnsi="Times New Roman" w:eastAsia="宋体"/>
          <w:b w:val="0"/>
          <w:i w:val="0"/>
          <w:color w:val="595959"/>
          <w:sz w:val="18"/>
        </w:rPr>
        <w:t>Jean-Frédéric Morin；Clara Brandi；Jakob Schwab</w:t>
      </w:r>
    </w:p>
    <w:p>
      <w:r>
        <w:rPr>
          <w:rFonts w:ascii="Times New Roman" w:hAnsi="Times New Roman" w:eastAsia="宋体"/>
          <w:b w:val="0"/>
          <w:i w:val="0"/>
          <w:sz w:val="22"/>
        </w:rPr>
        <w:t>摘要：建立政府间环境俱乐部是应对全球环境问题的重要政策提议。支持者认为环境俱乐部通过为成员产生排他性“俱乐部物品”，激励国家加入并接受环境义务。然而现有文献将环境俱乐部视为尚待付诸实践的理论设想。本文追问：众多含贸易相关条款的国际环境协定是否实际上为缔约方提供了俱乐部物品？作者考察这些条款对缔约方之间贸易流与对非缔约方贸易流的影响，引入2097项国际环境协定中48类贸易条款的原创数据集，结合全球双边贸易面板，发现现有国际环境协定及其贸易自由化内容与缔约方之间相对于非缔约方贸易的增加相关，由此得出国际环境协定体系为缔约方提供了俱乐部物品的结论。</w:t>
      </w:r>
    </w:p>
    <w:p>
      <w:r>
        <w:rPr>
          <w:rFonts w:ascii="Times New Roman" w:hAnsi="Times New Roman" w:eastAsia="宋体"/>
          <w:b w:val="0"/>
          <w:i w:val="0"/>
          <w:sz w:val="20"/>
        </w:rPr>
        <w:t>Creating intergovernmental environmental clubs is a prominent policy proposal for addressing global environmental problems. According to their proponents, environmental clubs provide an incentive to join them and accept their environmental obligations by generating exclusive “club goods” for their members. Yet, the existing literature considers environmental clubs as a theoretical idea that still has to be put into practice. This article asks whether, in fact, the numerous international environmental agreements (IEAs) containing trade-related provisions provide club goods to their parties. It does so by investigating the effects of these provisions on trade flows among parties compared to flows with non-parties. We introduce an original dataset on 48 types of trade provisions in 2,097 IEAs that we make available with the publication of this article. Based on this new data and a panel of worldwide bilateral trade flows, we find evidence that existing IEAs and their trade-liberalizing content are associated with increased trade among their parties relative to trade with non-parties. We conclude from this finding that systems of IEAs provide club goods to their parties. Uncovering the existence of environmental clubs has significant methodological and policy implications. It is an important first step for future research on the actual effectiveness of clubs in attracting participation and raising environmental standards.</w:t>
      </w:r>
    </w:p>
    <w:p/>
    <w:p>
      <w:r>
        <w:rPr>
          <w:rFonts w:ascii="Times New Roman" w:hAnsi="Times New Roman" w:eastAsia="黑体"/>
          <w:b/>
          <w:i w:val="0"/>
          <w:sz w:val="24"/>
        </w:rPr>
        <w:t>政府间政策产出数据集（IPOD）介绍</w:t>
      </w:r>
    </w:p>
    <w:p>
      <w:r>
        <w:rPr>
          <w:rFonts w:ascii="Times New Roman" w:hAnsi="Times New Roman" w:eastAsia="宋体"/>
          <w:b w:val="0"/>
          <w:i/>
          <w:color w:val="404040"/>
          <w:sz w:val="20"/>
        </w:rPr>
        <w:t>Introducing the Intergovernmental Policy Output Dataset (IPOD)</w:t>
      </w:r>
    </w:p>
    <w:p>
      <w:r>
        <w:rPr>
          <w:rFonts w:ascii="Times New Roman" w:hAnsi="Times New Roman" w:eastAsia="宋体"/>
          <w:b w:val="0"/>
          <w:i w:val="0"/>
          <w:color w:val="595959"/>
          <w:sz w:val="18"/>
        </w:rPr>
        <w:t>Magnus Lundgren；Theresa Squatrito；Thomas Sommerer；Jonas Tallberg</w:t>
      </w:r>
    </w:p>
    <w:p>
      <w:r>
        <w:rPr>
          <w:rFonts w:ascii="Times New Roman" w:hAnsi="Times New Roman" w:eastAsia="宋体"/>
          <w:b w:val="0"/>
          <w:i w:val="0"/>
          <w:sz w:val="22"/>
        </w:rPr>
        <w:t>摘要：人们日益认识到国际组织在广泛领域制定和通过政策。国际组织已成为国家共同应对气候变化或新冠疫情等当代挑战、建立促进贸易、发展、安全等框架的关键场所，产生了从接纳新成员等历史性政策到管理职员等日常事务的各种政策产出。本文介绍政府间政策产出数据集，涵盖1980—2015年13个多议题国际组织近3.7万项具体政策行为，填补了比较国际组织研究的空白，为研究者提供了国际组织政策产出结构的精细视角以及跨时间、政策领域和组织比较的数据。文章描述数据集的构建与覆盖范围，识别数据揭示的关键时间与截面模式，并以间断均衡模型比较研究制度特征与广泛政策议程动态的关系，展示数据集的用途。</w:t>
      </w:r>
    </w:p>
    <w:p>
      <w:r>
        <w:rPr>
          <w:rFonts w:ascii="Times New Roman" w:hAnsi="Times New Roman" w:eastAsia="宋体"/>
          <w:b w:val="0"/>
          <w:i w:val="0"/>
          <w:sz w:val="20"/>
        </w:rPr>
        <w:t>There is a growing recognition that international organizations (IOs) formulate and adopt policy in a wide range of areas. IOs have emerged as key venues for states seeking joint solutions to contemporary challenges such as climate change or COVID-19, and to establish frameworks to bolster trade, development, security, and more. In this capacity, IOs produce both extraordinary and routine policy output with a multitude of purposes, ranging from policies of historic significance like admitting new members to the more mundane tasks of administering IO staff. This article introduces the Intergovernmental Policy Output Dataset (IPOD), which covers close to 37,000 individual policy acts of 13 multi-issue IOs in the 1980–2015 period. The dataset fills a gap in the growing body of literature on the comparative study of IOs, providing researchers with a fine-grained perspective on the structure of IO policy output and data for comparisons across time, policy areas, and organizations. This article describes the construction and coverage of the dataset and identifies key temporal and cross-sectional patterns revealed by the data. In a concise illustration of the dataset’s utility, we apply models of punctuated equilibria in a comparative study of the relationship between institutional features and broad policy agenda dynamics. Overall, the Intergovernmental Policy Output Dataset offers a unique resource for researchers to analyze IO policy output in a granular manner and to explore questions of responsiveness, performance, and legitimacy of IOs.</w:t>
      </w:r>
    </w:p>
    <w:p/>
    <w:p>
      <w:r>
        <w:rPr>
          <w:rFonts w:ascii="Times New Roman" w:hAnsi="Times New Roman" w:eastAsia="黑体"/>
          <w:b/>
          <w:i w:val="0"/>
          <w:sz w:val="24"/>
        </w:rPr>
        <w:t>通过贸易协定的移民治理：来自MITA数据集的洞见</w:t>
      </w:r>
    </w:p>
    <w:p>
      <w:r>
        <w:rPr>
          <w:rFonts w:ascii="Times New Roman" w:hAnsi="Times New Roman" w:eastAsia="宋体"/>
          <w:b w:val="0"/>
          <w:i/>
          <w:color w:val="404040"/>
          <w:sz w:val="20"/>
        </w:rPr>
        <w:t>Migration governance through trade agreements: insights from the MITA dataset</w:t>
      </w:r>
    </w:p>
    <w:p>
      <w:r>
        <w:rPr>
          <w:rFonts w:ascii="Times New Roman" w:hAnsi="Times New Roman" w:eastAsia="宋体"/>
          <w:b w:val="0"/>
          <w:i w:val="0"/>
          <w:color w:val="595959"/>
          <w:sz w:val="18"/>
        </w:rPr>
        <w:t>Sandra Lavenex；Philipp Lutz；Paula Hoffmeyer-Zlotnik</w:t>
      </w:r>
    </w:p>
    <w:p>
      <w:r>
        <w:rPr>
          <w:rFonts w:ascii="Times New Roman" w:hAnsi="Times New Roman" w:eastAsia="宋体"/>
          <w:b w:val="0"/>
          <w:i w:val="0"/>
          <w:sz w:val="22"/>
        </w:rPr>
        <w:t>摘要：各国难以建立移民多边合作，却在优惠贸易协定中纳入越来越多的移民条款。本文介绍“优惠贸易协定中的移民条款”数据集，涵盖1960—2020年签署的797项协定，对三类移民条款进行精细编码：促进服务提供者和劳务移民国际流动的条款、保护移民权利的条款、控制非法移民的条款。在多边主义乏力的背景下，作者就两个关键合作困境考察优惠贸易协定的移民政策内容：发达国家内部的利益冲突以及发达国家与发展中国家之间的利益冲突。促进商务和劳务流动可能是绕过第一个困境（即“自由主义悖论”）的途径，但这种便利主要限于高技能移民和发达经济体之间的协定；移民控制条款多出现于发达国家与发展中国家之间的协定，表明国家利用议题挂钩应对利益不对称；移民权利条款则未随时间深化。</w:t>
      </w:r>
    </w:p>
    <w:p>
      <w:r>
        <w:rPr>
          <w:rFonts w:ascii="Times New Roman" w:hAnsi="Times New Roman" w:eastAsia="宋体"/>
          <w:b w:val="0"/>
          <w:i w:val="0"/>
          <w:sz w:val="20"/>
        </w:rPr>
        <w:t>States struggle to establish multilateral cooperation on migration – yet they include more and more migration provisions in preferential trade agreements (PTAs). This article sheds light on this phenomenon by introducing the Migration Provisions in Preferential Trade Agreements (MITA) dataset. Covering 797 agreements signed between 1960 and 2020, this dataset offers a fine-grained coding of three types of migration provisions: those that facilitate the international mobility of service providers and labor migrants, protect migrant rights, and control unauthorized migration. Against the backdrop of limping multilateralism, we examine PTAs’ migration policy content with regard to two key cooperation dilemmas: conflicts of interest within developed countries and between them and developing countries. Facilitating business and labor mobility might be a possible way around the first dilemma, commonly referred to as the ‘liberal paradox': the tension between economic demands for openness and political calls for closure. Nevertheless, this facilitation is largely limited to highly skilled migrants and agreements between developed economies. Provisions for migration control tend to be included in agreements between developed and developing countries, which signals that states use issue-linkages to address the second dilemma, i.e. interest asymmetries. Finally, provisions for migrant rights stand out because they do not deepen over time. Our findings suggest that while PTAs have become an increasingly common venue for migration governance, the issue-linkage between trade and migration cooperation perpetuates entrenched divisions in the international system. The MITA dataset will allow researchers and policymakers to track the evolution of the trade-migration nexus and systematically investigate the motives for and effects of various migration provisions in PTAs.</w:t>
      </w:r>
    </w:p>
    <w:p/>
    <w:p>
      <w:r>
        <w:rPr>
          <w:rFonts w:ascii="Times New Roman" w:hAnsi="Times New Roman" w:eastAsia="黑体"/>
          <w:b/>
          <w:i w:val="0"/>
          <w:sz w:val="24"/>
        </w:rPr>
        <w:t>《比较经济学杂志》</w:t>
      </w:r>
    </w:p>
    <w:p>
      <w:r>
        <w:rPr>
          <w:rFonts w:ascii="Times New Roman" w:hAnsi="Times New Roman" w:eastAsia="宋体"/>
          <w:b/>
          <w:i w:val="0"/>
          <w:sz w:val="22"/>
        </w:rPr>
        <w:t>JCE： Vol. 54, No. 3, 2026</w:t>
      </w:r>
    </w:p>
    <w:p/>
    <w:p>
      <w:r>
        <w:rPr>
          <w:rFonts w:ascii="Times New Roman" w:hAnsi="Times New Roman" w:eastAsia="黑体"/>
          <w:b/>
          <w:i w:val="0"/>
          <w:sz w:val="24"/>
        </w:rPr>
        <w:t>公共事件增强民族主义认同</w:t>
      </w:r>
    </w:p>
    <w:p>
      <w:r>
        <w:rPr>
          <w:rFonts w:ascii="Times New Roman" w:hAnsi="Times New Roman" w:eastAsia="宋体"/>
          <w:b w:val="0"/>
          <w:i/>
          <w:color w:val="404040"/>
          <w:sz w:val="20"/>
        </w:rPr>
        <w:t>Public events boost nationalist identity</w:t>
      </w:r>
    </w:p>
    <w:p>
      <w:r>
        <w:rPr>
          <w:rFonts w:ascii="Times New Roman" w:hAnsi="Times New Roman" w:eastAsia="宋体"/>
          <w:b w:val="0"/>
          <w:i w:val="0"/>
          <w:color w:val="595959"/>
          <w:sz w:val="18"/>
        </w:rPr>
        <w:t>Manu Singh Burson；Jacob N. Shapiro</w:t>
      </w:r>
    </w:p>
    <w:p>
      <w:r>
        <w:rPr>
          <w:rFonts w:ascii="Times New Roman" w:hAnsi="Times New Roman" w:eastAsia="宋体"/>
          <w:b w:val="0"/>
          <w:i w:val="0"/>
          <w:sz w:val="22"/>
        </w:rPr>
        <w:t>摘要：【摘译】作者利用克罗地亚超市数据，先证明购买“克罗地亚品质”标签商品与投票支持民族主义政党相关；再借会员卡追踪个体，发现参加民族主义音乐会使国货支出份额上升2.7个百分点，而非民族主义音乐会无此效应。</w:t>
      </w:r>
    </w:p>
    <w:p>
      <w:r>
        <w:rPr>
          <w:rFonts w:ascii="Times New Roman" w:hAnsi="Times New Roman" w:eastAsia="宋体"/>
          <w:b w:val="0"/>
          <w:i w:val="0"/>
          <w:sz w:val="20"/>
        </w:rPr>
        <w:t>Using unique data from Croatian supermarkets, we show that nationalist music events shape everyday consumption choices. First, we establish a link between buying goods labeled as ‘Croatian Quality’ or ‘Authentic Croatian’ and voting for nationalist parties. By tracking individuals through loyalty card purchases, we show that attending a nationalist concert leads to an estimated 2.7 percentage-point increase in the share of grocery spending on these nationally branded goods, a 13% increase over the mean. There is no similar impact of attending non-nationalist concerts and the results are not driven by supply or price shifts at concert locations.</w:t>
      </w:r>
    </w:p>
    <w:p/>
    <w:p>
      <w:r>
        <w:rPr>
          <w:rFonts w:ascii="Times New Roman" w:hAnsi="Times New Roman" w:eastAsia="黑体"/>
          <w:b/>
          <w:i w:val="0"/>
          <w:sz w:val="24"/>
        </w:rPr>
        <w:t>心理健康溢出与人力资本发展：来自中国初中的证据</w:t>
      </w:r>
    </w:p>
    <w:p>
      <w:r>
        <w:rPr>
          <w:rFonts w:ascii="Times New Roman" w:hAnsi="Times New Roman" w:eastAsia="宋体"/>
          <w:b w:val="0"/>
          <w:i/>
          <w:color w:val="404040"/>
          <w:sz w:val="20"/>
        </w:rPr>
        <w:t>Mental health spillovers and human capital development: Evidence from middle schools in China</w:t>
      </w:r>
    </w:p>
    <w:p>
      <w:r>
        <w:rPr>
          <w:rFonts w:ascii="Times New Roman" w:hAnsi="Times New Roman" w:eastAsia="宋体"/>
          <w:b w:val="0"/>
          <w:i w:val="0"/>
          <w:color w:val="595959"/>
          <w:sz w:val="18"/>
        </w:rPr>
        <w:t>Jin Feng；Hong Song；Qing Zhang；Yuan Zhang</w:t>
      </w:r>
    </w:p>
    <w:p>
      <w:r>
        <w:rPr>
          <w:rFonts w:ascii="Times New Roman" w:hAnsi="Times New Roman" w:eastAsia="宋体"/>
          <w:b w:val="0"/>
          <w:i w:val="0"/>
          <w:sz w:val="22"/>
        </w:rPr>
        <w:t>摘要：【摘译】作者利用中国初中制度性随机分班，以留一法计算同伴不良家庭环境比例，发现同伴心理健康风险会损害学生心理健康、认知能力与学业表现。</w:t>
      </w:r>
    </w:p>
    <w:p>
      <w:r>
        <w:rPr>
          <w:rFonts w:ascii="Times New Roman" w:hAnsi="Times New Roman" w:eastAsia="宋体"/>
          <w:b w:val="0"/>
          <w:i w:val="0"/>
          <w:sz w:val="20"/>
        </w:rPr>
        <w:t>While adolescent mental health is crucial to human capital formation, less is known about whether mental-health risks generate externalities within educational social networks. This study utilizes large-scale survey data from Chinese middle schools and exploits institutional random assignment of students to classes to explore how peer environments shape students’ mental well-being, cognitive ability, and academic performance. We measure peer exposure using leave-one-out classroom prevalence of adverse home environments, which proxies peers’ latent mental-health risk. Our results demonstrate that greater exposure to peers facing elevated mental-health risk significantly impedes adolescents’ human capital development, including worsened mental well-being, as well as reduced cognitive ability and academic performance. These adverse effects are particularly pronounced among disadvantaged students and those with worse baseline well-being or academic performance, implying that adverse peer environments can amplify existing inequalities in human capital accumulation. Mechanism analysis reveals that deteriorated friendship quality and class environment, reduced study efforts and motivation, and perceived worsening teacher-student relationships are key mechanisms, whereas teachers’ self-reported instructional practices show limited adjustment. Overall, the findings suggest that school-based psychosocial supports may yield social returns beyond treated students by improving classroom emotional climate and reducing peer spillovers.</w:t>
      </w:r>
    </w:p>
    <w:p/>
    <w:p>
      <w:r>
        <w:rPr>
          <w:rFonts w:ascii="Times New Roman" w:hAnsi="Times New Roman" w:eastAsia="黑体"/>
          <w:b/>
          <w:i w:val="0"/>
          <w:sz w:val="24"/>
        </w:rPr>
        <w:t>不只是一纸文凭：中国高校扩招与婚姻市场</w:t>
      </w:r>
    </w:p>
    <w:p>
      <w:r>
        <w:rPr>
          <w:rFonts w:ascii="Times New Roman" w:hAnsi="Times New Roman" w:eastAsia="宋体"/>
          <w:b w:val="0"/>
          <w:i/>
          <w:color w:val="404040"/>
          <w:sz w:val="20"/>
        </w:rPr>
        <w:t>More than a degree: China’s college expansion and the marriage market</w:t>
      </w:r>
    </w:p>
    <w:p>
      <w:r>
        <w:rPr>
          <w:rFonts w:ascii="Times New Roman" w:hAnsi="Times New Roman" w:eastAsia="宋体"/>
          <w:b w:val="0"/>
          <w:i w:val="0"/>
          <w:color w:val="595959"/>
          <w:sz w:val="18"/>
        </w:rPr>
        <w:t>Ming Fang；Sai Luo</w:t>
      </w:r>
    </w:p>
    <w:p>
      <w:r>
        <w:rPr>
          <w:rFonts w:ascii="Times New Roman" w:hAnsi="Times New Roman" w:eastAsia="宋体"/>
          <w:b w:val="0"/>
          <w:i w:val="0"/>
          <w:sz w:val="22"/>
        </w:rPr>
        <w:t>摘要：【摘译】作者利用队列与地区差异发现，1999年后的高校扩招提高了受高等教育男女的结婚概率，强化教育同质婚并缩小婚龄差，机制在于高校降低了本地婚姻市场的搜寻摩擦。</w:t>
      </w:r>
    </w:p>
    <w:p>
      <w:r>
        <w:rPr>
          <w:rFonts w:ascii="Times New Roman" w:hAnsi="Times New Roman" w:eastAsia="宋体"/>
          <w:b w:val="0"/>
          <w:i w:val="0"/>
          <w:sz w:val="20"/>
        </w:rPr>
        <w:t>Higher education in China has expanded radically since 1999. Exploiting variations across cohorts and regions , our analysis shows that the expansion increased the marriage probability of college-educated women and men. The expansion also increased assortative matching by education and reduced the marriage age gap. Both empirical and theoretical analyses suggest that these effects are driven by reductions in search frictions within the local marriage market created by colleges and facilitated by the expansion. Our findings suggest the potential role of higher education institutions in shaping the marriage market by facilitating the search and matching process.</w:t>
      </w:r>
    </w:p>
    <w:p/>
    <w:p>
      <w:r>
        <w:rPr>
          <w:rFonts w:ascii="Times New Roman" w:hAnsi="Times New Roman" w:eastAsia="黑体"/>
          <w:b/>
          <w:i w:val="0"/>
          <w:sz w:val="24"/>
        </w:rPr>
        <w:t>政治任期的动态回报</w:t>
      </w:r>
    </w:p>
    <w:p>
      <w:r>
        <w:rPr>
          <w:rFonts w:ascii="Times New Roman" w:hAnsi="Times New Roman" w:eastAsia="宋体"/>
          <w:b w:val="0"/>
          <w:i/>
          <w:color w:val="404040"/>
          <w:sz w:val="20"/>
        </w:rPr>
        <w:t>Dynamic returns to political tenure</w:t>
      </w:r>
    </w:p>
    <w:p>
      <w:r>
        <w:rPr>
          <w:rFonts w:ascii="Times New Roman" w:hAnsi="Times New Roman" w:eastAsia="宋体"/>
          <w:b w:val="0"/>
          <w:i w:val="0"/>
          <w:color w:val="595959"/>
          <w:sz w:val="18"/>
        </w:rPr>
        <w:t>Bas Machielsen</w:t>
      </w:r>
    </w:p>
    <w:p>
      <w:r>
        <w:rPr>
          <w:rFonts w:ascii="Times New Roman" w:hAnsi="Times New Roman" w:eastAsia="宋体"/>
          <w:b w:val="0"/>
          <w:i w:val="0"/>
          <w:sz w:val="22"/>
        </w:rPr>
        <w:t>摘要：【摘译】作者利用1848—1917年荷兰下院接近选举的重复处理，以动态断点回归发现政治家的财务回报来自前两届任期，后续任期无显著回报。</w:t>
      </w:r>
    </w:p>
    <w:p>
      <w:r>
        <w:rPr>
          <w:rFonts w:ascii="Times New Roman" w:hAnsi="Times New Roman" w:eastAsia="宋体"/>
          <w:b w:val="0"/>
          <w:i w:val="0"/>
          <w:sz w:val="20"/>
        </w:rPr>
        <w:t>Economists frequently assert that politicians derive financial returns from a political career, but these returns can be obscured by the varying duration of political careers. In this study, I estimate the financial returns associated with successive mandates in the Lower House, capitalizing on the repetitive treatment assignment through close elections in the Netherlands from 1848–1917. Employing a dynamic regression discontinuity framework, I establish that the financial benefits accruing to politicians are due to the first two periods of political tenure, but no substantial returns emerge during the more advanced career stages. These findings emphasize that politicians elected for a first and second term exhibit significantly higher end-of-life wealth than their losing counterparts, equivalent to several years’ salaries. I also explore various potential mechanisms, providing evidence in favor of career-based explanations and against in-office returns.</w:t>
      </w:r>
    </w:p>
    <w:p/>
    <w:p>
      <w:r>
        <w:rPr>
          <w:rFonts w:ascii="Times New Roman" w:hAnsi="Times New Roman" w:eastAsia="黑体"/>
          <w:b/>
          <w:i w:val="0"/>
          <w:sz w:val="24"/>
        </w:rPr>
        <w:t>欧洲的国有企业：企业绩效与总体效应</w:t>
      </w:r>
    </w:p>
    <w:p>
      <w:r>
        <w:rPr>
          <w:rFonts w:ascii="Times New Roman" w:hAnsi="Times New Roman" w:eastAsia="宋体"/>
          <w:b w:val="0"/>
          <w:i/>
          <w:color w:val="404040"/>
          <w:sz w:val="20"/>
        </w:rPr>
        <w:t>State-owned enterprises in Europe: Firm performance and aggregate effects</w:t>
      </w:r>
    </w:p>
    <w:p>
      <w:r>
        <w:rPr>
          <w:rFonts w:ascii="Times New Roman" w:hAnsi="Times New Roman" w:eastAsia="宋体"/>
          <w:b w:val="0"/>
          <w:i w:val="0"/>
          <w:color w:val="595959"/>
          <w:sz w:val="18"/>
        </w:rPr>
        <w:t>Bruno Merlevede；Pablo Muylle</w:t>
      </w:r>
    </w:p>
    <w:p>
      <w:r>
        <w:rPr>
          <w:rFonts w:ascii="Times New Roman" w:hAnsi="Times New Roman" w:eastAsia="宋体"/>
          <w:b w:val="0"/>
          <w:i w:val="0"/>
          <w:sz w:val="22"/>
        </w:rPr>
        <w:t>摘要：【摘译】作者构建2002—2018年欧洲企业数据，证实国企绩效低于民企，行业中国企占比高与民企生产率较低相关，但不影响进入退出；国企就业更稳定、抗危机，并为下游提供稳定需求；跨国比较显示国企与低质量制度是互补而非替代关系。</w:t>
      </w:r>
    </w:p>
    <w:p>
      <w:r>
        <w:rPr>
          <w:rFonts w:ascii="Times New Roman" w:hAnsi="Times New Roman" w:eastAsia="宋体"/>
          <w:b w:val="0"/>
          <w:i w:val="0"/>
          <w:sz w:val="20"/>
        </w:rPr>
        <w:t>Since the late 2000s, shocks and crises of various types have led to a revival of state intervention around the world. This paper builds a large firm-level dataset to analyze state ownership of firms in Europe for the period 2002–18. We confirm the underperformance of state-owned enterprises (SOEs) relative to privately-owned enterprises (POEs) found in earlier literature for this recent period for a range of firm-level performance indicators. We also examine the impact of SOEs on POEs. We find that larger SOE presence in an industry is associated with lower productivity growth and lower productivity levels among private firms in that industry, but does not negatively affect industry dynamics in terms of entry and exit. This suggests potential aggregate productivity gains from reallocating resources from SOEs to POEs. Further, we show that employment is more stable and crisis-resistant at SOEs, and that SOEs are a more stable source of downstream input demand for other firms. Leveraging our dataset’s cross-country nature, we find that SOEs are complements to, rather than substitutes for, lower quality institutions.</w:t>
      </w:r>
    </w:p>
    <w:p/>
    <w:p>
      <w:r>
        <w:rPr>
          <w:rFonts w:ascii="Times New Roman" w:hAnsi="Times New Roman" w:eastAsia="黑体"/>
          <w:b/>
          <w:i w:val="0"/>
          <w:sz w:val="24"/>
        </w:rPr>
        <w:t>最后任期之外：无任期限制情境下政治家回应性分析</w:t>
      </w:r>
    </w:p>
    <w:p>
      <w:r>
        <w:rPr>
          <w:rFonts w:ascii="Times New Roman" w:hAnsi="Times New Roman" w:eastAsia="宋体"/>
          <w:b w:val="0"/>
          <w:i/>
          <w:color w:val="404040"/>
          <w:sz w:val="20"/>
        </w:rPr>
        <w:t>Beyond the last term: Analyzing politicians’ responsiveness in a no-term-limit context</w:t>
      </w:r>
    </w:p>
    <w:p>
      <w:r>
        <w:rPr>
          <w:rFonts w:ascii="Times New Roman" w:hAnsi="Times New Roman" w:eastAsia="宋体"/>
          <w:b w:val="0"/>
          <w:i w:val="0"/>
          <w:color w:val="595959"/>
          <w:sz w:val="18"/>
        </w:rPr>
        <w:t>Marco Frank；Nicola Maaser；David Stadelmann</w:t>
      </w:r>
    </w:p>
    <w:p>
      <w:r>
        <w:rPr>
          <w:rFonts w:ascii="Times New Roman" w:hAnsi="Times New Roman" w:eastAsia="宋体"/>
          <w:b w:val="0"/>
          <w:i w:val="0"/>
          <w:sz w:val="22"/>
        </w:rPr>
        <w:t>摘要：【摘译】作者利用公民与德国联邦议员的直接互动数据，发现不再寻求连任的议员回应性下降、临近选举时尤甚，原因在于党内地位下降而非单纯选举激励消失。</w:t>
      </w:r>
    </w:p>
    <w:p>
      <w:r>
        <w:rPr>
          <w:rFonts w:ascii="Times New Roman" w:hAnsi="Times New Roman" w:eastAsia="宋体"/>
          <w:b w:val="0"/>
          <w:i w:val="0"/>
          <w:sz w:val="20"/>
        </w:rPr>
        <w:t>We investigate the willingness of politicians in the German Bundestag to interact with voters, drawing on data capturing direct interchanges between citizens and their elected representatives to measure their responsiveness. In a setting without term limits, we examine whether electoral incentives influence politicians’ engagement with citizens. Our theoretical model predicts, and empirical results confirm, that politicians who are not seeking reelection become less responsive to voters, especially as election day approaches. This decline is attributed to a behavioral response resulting from a decrease in intra-party standing, rather than to a change in motivation or personal ideological convictions. Politicians retiring due to age or health reasons maintain consistent levels of interaction with voters, in contrast to those leaving due to pressure within their party or due to career changes, who exhibit decreased engagement with voters. Our findings offer novel insights into the role of incentives and constraints for political behavior in countries without mandatory term limits.</w:t>
      </w:r>
    </w:p>
    <w:p/>
    <w:p>
      <w:r>
        <w:rPr>
          <w:rFonts w:ascii="Times New Roman" w:hAnsi="Times New Roman" w:eastAsia="黑体"/>
          <w:b/>
          <w:i w:val="0"/>
          <w:sz w:val="24"/>
        </w:rPr>
        <w:t>投入品关税自由化与性别差距：来自中国的证据</w:t>
      </w:r>
    </w:p>
    <w:p>
      <w:r>
        <w:rPr>
          <w:rFonts w:ascii="Times New Roman" w:hAnsi="Times New Roman" w:eastAsia="宋体"/>
          <w:b w:val="0"/>
          <w:i/>
          <w:color w:val="404040"/>
          <w:sz w:val="20"/>
        </w:rPr>
        <w:t>Input tariff liberalization and gender disparities: Evidence from China</w:t>
      </w:r>
    </w:p>
    <w:p>
      <w:r>
        <w:rPr>
          <w:rFonts w:ascii="Times New Roman" w:hAnsi="Times New Roman" w:eastAsia="宋体"/>
          <w:b w:val="0"/>
          <w:i w:val="0"/>
          <w:color w:val="595959"/>
          <w:sz w:val="18"/>
        </w:rPr>
        <w:t>Shu Lin；Binchao Shen；Wenqing Wu</w:t>
      </w:r>
    </w:p>
    <w:p>
      <w:r>
        <w:rPr>
          <w:rFonts w:ascii="Times New Roman" w:hAnsi="Times New Roman" w:eastAsia="宋体"/>
          <w:b w:val="0"/>
          <w:i w:val="0"/>
          <w:sz w:val="22"/>
        </w:rPr>
        <w:t>摘要：【摘译】作者以中国入世为自然实验，发现投入品关税下降提高制造业工人收入，但扩大性别工资差距并更大程度损害女性健康。</w:t>
      </w:r>
    </w:p>
    <w:p>
      <w:r>
        <w:rPr>
          <w:rFonts w:ascii="Times New Roman" w:hAnsi="Times New Roman" w:eastAsia="宋体"/>
          <w:b w:val="0"/>
          <w:i w:val="0"/>
          <w:sz w:val="20"/>
        </w:rPr>
        <w:t>This study examines the impact of input tariff liberalization on gender disparities using China’s WTO accession as a natural experiment. We first offer a theoretical framework to illustrate the mechanisms. Using micro-level data from China, we show that input tariff liberalization increases incomes for manufacturing workers but widens the gender income gap. This widening is not due to longer working hours by men but by rising gender wage inequality. We also find that input tariff reductions worsen manufacturing workers’ health, and this adverse effect is more pronounced for women. These worsening gender disparities, however, are concentrated primarily among unskilled workers.</w:t>
      </w:r>
    </w:p>
    <w:p/>
    <w:p>
      <w:r>
        <w:rPr>
          <w:rFonts w:ascii="Times New Roman" w:hAnsi="Times New Roman" w:eastAsia="黑体"/>
          <w:b/>
          <w:i w:val="0"/>
          <w:sz w:val="24"/>
        </w:rPr>
        <w:t>地缘政治转折点与宏观经济波动：一种双边识别策略</w:t>
      </w:r>
    </w:p>
    <w:p>
      <w:r>
        <w:rPr>
          <w:rFonts w:ascii="Times New Roman" w:hAnsi="Times New Roman" w:eastAsia="宋体"/>
          <w:b w:val="0"/>
          <w:i/>
          <w:color w:val="404040"/>
          <w:sz w:val="20"/>
        </w:rPr>
        <w:t>Geopolitical turning points and macroeconomic volatility: A bilateral identification strategy</w:t>
      </w:r>
    </w:p>
    <w:p>
      <w:r>
        <w:rPr>
          <w:rFonts w:ascii="Times New Roman" w:hAnsi="Times New Roman" w:eastAsia="宋体"/>
          <w:b w:val="0"/>
          <w:i w:val="0"/>
          <w:color w:val="595959"/>
          <w:sz w:val="18"/>
        </w:rPr>
        <w:t>Jamel Saadaoui</w:t>
      </w:r>
    </w:p>
    <w:p>
      <w:r>
        <w:rPr>
          <w:rFonts w:ascii="Times New Roman" w:hAnsi="Times New Roman" w:eastAsia="宋体"/>
          <w:b w:val="0"/>
          <w:i w:val="0"/>
          <w:sz w:val="22"/>
        </w:rPr>
        <w:t>摘要：本文构建识别双边地缘政治冲击（“地缘政治转折点”，即突发的、未预期的国家间政治转折）的新方法：以基于中国政府与媒体报道构建的月度政治关系指数的二阶差分（Δ²PRI）刻画冲击。与常规全球地缘风险指标不同，Δ²PRI能分离出偏离双边外交路径的突变，从而在跨国比较情境下进行因果估计。作者采用分位数工具变量局部投影法估计地缘冲击对世界油价的动态与非对称影响，发现中美关系改善短期内使油价下降0.2%、中期上升0.3%，在油价分布两端效应更大；中日数据复制验证了外部有效性。本文为解释制度历史与战略竞争各异的国家对之间的地缘冲击如何外溢为全球经济不稳定提供了可复制的分析框架。</w:t>
      </w:r>
    </w:p>
    <w:p>
      <w:r>
        <w:rPr>
          <w:rFonts w:ascii="Times New Roman" w:hAnsi="Times New Roman" w:eastAsia="宋体"/>
          <w:b w:val="0"/>
          <w:i w:val="0"/>
          <w:sz w:val="20"/>
        </w:rPr>
        <w:t>This paper constructs a new identification method to quantify bilateral geopolitical shocks—geopolitical turning points—i.e., abrupt, unforeseen state-to-state political turning points. Geopolitical shocks are captured by the second difference of the Political Relationship Index (Δ²PRI), a monthly narrative-based index constructed from Chinese government and media coverage. Unlike conventional global geopolitical risk indicators, Δ²PRI separates sudden departures from bilateral diplomatic paths so causal estimation is possible in a comparative cross-national context. Quantile instrumental variable local projections (IV-LP) are applied in the paper to estimate the dynamic and asymmetric geopolitical shock impact on world oil prices. It is estimated that US–China relational improvements lower oil prices by 0.2% in the short run and increase them by 0.3% in the medium run, with larger effects at the distribution boundaries of oil prices. Replication from Japan–China data establishes external validity. The paper adds a replicable analysis framework to explain how geopolitical shocks for dyads with heterogeneous institutional history and strategic rivalry spill over into global economic instability.</w:t>
      </w:r>
    </w:p>
    <w:p/>
    <w:p>
      <w:r>
        <w:rPr>
          <w:rFonts w:ascii="Times New Roman" w:hAnsi="Times New Roman" w:eastAsia="黑体"/>
          <w:b/>
          <w:i w:val="0"/>
          <w:sz w:val="24"/>
        </w:rPr>
        <w:t>“变动中的制度：正式与非正式规则的动态”专题导言</w:t>
      </w:r>
    </w:p>
    <w:p>
      <w:r>
        <w:rPr>
          <w:rFonts w:ascii="Times New Roman" w:hAnsi="Times New Roman" w:eastAsia="宋体"/>
          <w:b w:val="0"/>
          <w:i/>
          <w:color w:val="404040"/>
          <w:sz w:val="20"/>
        </w:rPr>
        <w:t>Introduction to Symposium on Institutions in Flux: The dynamics of formal and informal rules</w:t>
      </w:r>
    </w:p>
    <w:p>
      <w:r>
        <w:rPr>
          <w:rFonts w:ascii="Times New Roman" w:hAnsi="Times New Roman" w:eastAsia="宋体"/>
          <w:b w:val="0"/>
          <w:i w:val="0"/>
          <w:color w:val="595959"/>
          <w:sz w:val="18"/>
        </w:rPr>
        <w:t>Niclas Berggren</w:t>
      </w:r>
    </w:p>
    <w:p>
      <w:r>
        <w:rPr>
          <w:rFonts w:ascii="Times New Roman" w:hAnsi="Times New Roman" w:eastAsia="宋体"/>
          <w:b w:val="0"/>
          <w:i w:val="0"/>
          <w:sz w:val="22"/>
        </w:rPr>
        <w:t>摘要：【摘译】专题导言：制度分析须解释规则与规范如何变化、改革为何成败、正式与非正式制度如何互动；七篇论文覆盖改革次序、公民社会、公共物品供给、审查、全球化与不确定性。</w:t>
      </w:r>
    </w:p>
    <w:p>
      <w:r>
        <w:rPr>
          <w:rFonts w:ascii="Times New Roman" w:hAnsi="Times New Roman" w:eastAsia="宋体"/>
          <w:b w:val="0"/>
          <w:i w:val="0"/>
          <w:sz w:val="20"/>
        </w:rPr>
        <w:t>This introduction presents the rationale for the special issue “Institutions in flux: The dynamics of formal and informal rules”. It argues that while institutions are central to economic, political and social outcomes, institutional analysis must also explain how rules and norms change, why reforms succeed or fail, and how formal and informal institutions interact. The seven papers in the issue study institutional change across different settings, methods and mechanisms, including reform sequencing, civil society, public-goods provision, censorship, globalization and uncertainty. Together, they show that institutional change is shaped by credibility, coalitions, enforcement, information, culture and power. The special issue therefore contributes to a dynamic understanding of institutions, emphasizing not only their consequences but also their origins, adaptation and unintended effects.</w:t>
      </w:r>
    </w:p>
    <w:p/>
    <w:p>
      <w:r>
        <w:rPr>
          <w:rFonts w:ascii="Times New Roman" w:hAnsi="Times New Roman" w:eastAsia="黑体"/>
          <w:b/>
          <w:i w:val="0"/>
          <w:sz w:val="24"/>
        </w:rPr>
        <w:t>拉丁美洲经济与政治改革的次序</w:t>
      </w:r>
    </w:p>
    <w:p>
      <w:r>
        <w:rPr>
          <w:rFonts w:ascii="Times New Roman" w:hAnsi="Times New Roman" w:eastAsia="宋体"/>
          <w:b w:val="0"/>
          <w:i/>
          <w:color w:val="404040"/>
          <w:sz w:val="20"/>
        </w:rPr>
        <w:t>The sequencing of economic and political reforms in Latin America</w:t>
      </w:r>
    </w:p>
    <w:p>
      <w:r>
        <w:rPr>
          <w:rFonts w:ascii="Times New Roman" w:hAnsi="Times New Roman" w:eastAsia="宋体"/>
          <w:b w:val="0"/>
          <w:i w:val="0"/>
          <w:color w:val="595959"/>
          <w:sz w:val="18"/>
        </w:rPr>
        <w:t>Robin Grier；Kevin Grier</w:t>
      </w:r>
    </w:p>
    <w:p>
      <w:r>
        <w:rPr>
          <w:rFonts w:ascii="Times New Roman" w:hAnsi="Times New Roman" w:eastAsia="宋体"/>
          <w:b w:val="0"/>
          <w:i w:val="0"/>
          <w:sz w:val="22"/>
        </w:rPr>
        <w:t>摘要：【摘译】作者以合成控制法比较巴西（同步）、萨尔瓦多（先民主化）、墨西哥（先经济自由化），发现只有民主化之后或同步推进的经济自由化才带来经济绩效改善。</w:t>
      </w:r>
    </w:p>
    <w:p>
      <w:r>
        <w:rPr>
          <w:rFonts w:ascii="Times New Roman" w:hAnsi="Times New Roman" w:eastAsia="宋体"/>
          <w:b w:val="0"/>
          <w:i w:val="0"/>
          <w:sz w:val="20"/>
        </w:rPr>
        <w:t>We investigate whether the sequencing of democratization and economic liberalization affects a country’s economic performance. We focus on Brazil, El Salvador, and Mexico as they cover all five possible sequences. Brazil experienced simultaneous democratization and economic liberalization in 1985. El Salvador democratized in 1982 but underwent economic liberalization in the 1990s. Mexico initiated economic liberalization in the late 1980s, followed by democratization in 1997. Using the synthetic control method, we find that economic liberalizations following democratization or simultaneous economic and political liberalization are the only reforms that significantly increase national income.</w:t>
      </w:r>
    </w:p>
    <w:p/>
    <w:p>
      <w:r>
        <w:rPr>
          <w:rFonts w:ascii="Times New Roman" w:hAnsi="Times New Roman" w:eastAsia="黑体"/>
          <w:b/>
          <w:i w:val="0"/>
          <w:sz w:val="24"/>
        </w:rPr>
        <w:t>制度发展的次序：重新审视现代化假说</w:t>
      </w:r>
    </w:p>
    <w:p>
      <w:r>
        <w:rPr>
          <w:rFonts w:ascii="Times New Roman" w:hAnsi="Times New Roman" w:eastAsia="宋体"/>
          <w:b w:val="0"/>
          <w:i/>
          <w:color w:val="404040"/>
          <w:sz w:val="20"/>
        </w:rPr>
        <w:t>Sequencing institutional development: The modernization hypothesis reconsidered</w:t>
      </w:r>
    </w:p>
    <w:p>
      <w:r>
        <w:rPr>
          <w:rFonts w:ascii="Times New Roman" w:hAnsi="Times New Roman" w:eastAsia="宋体"/>
          <w:b w:val="0"/>
          <w:i w:val="0"/>
          <w:color w:val="595959"/>
          <w:sz w:val="18"/>
        </w:rPr>
        <w:t>Ryan H. Murphy；Colin O'Reilly</w:t>
      </w:r>
    </w:p>
    <w:p>
      <w:r>
        <w:rPr>
          <w:rFonts w:ascii="Times New Roman" w:hAnsi="Times New Roman" w:eastAsia="宋体"/>
          <w:b w:val="0"/>
          <w:i w:val="0"/>
          <w:sz w:val="22"/>
        </w:rPr>
        <w:t>摘要：【摘译】作者以面板向量自回归检验其他制度结构是否先于民主出现，重新审视现代化假说与制度发展次序。</w:t>
      </w:r>
    </w:p>
    <w:p>
      <w:r>
        <w:rPr>
          <w:rFonts w:ascii="Times New Roman" w:hAnsi="Times New Roman" w:eastAsia="宋体"/>
          <w:b w:val="0"/>
          <w:i w:val="0"/>
          <w:sz w:val="20"/>
        </w:rPr>
        <w:t>The modernization hypothesis and the question of sequencing institutional development remain important for economic development, the economics of transition, and interpreting economic history. This paper applies panel vector autoregression to test whether other institutional structures precede the adoption of democracy, making use of a recently developed method of measuring historical state capacity for a large number of countries. The evidence suggests that neither strong states nor market institutions are necessary for democratization, contradicting one of the main claims of modernization theory. Relatively little evidence is found in favor of the importance of sequencing overall. Improving the quality of state institutions tends to precede liberalized economic institutions.</w:t>
      </w:r>
    </w:p>
    <w:p/>
    <w:p>
      <w:r>
        <w:rPr>
          <w:rFonts w:ascii="Times New Roman" w:hAnsi="Times New Roman" w:eastAsia="黑体"/>
          <w:b/>
          <w:i w:val="0"/>
          <w:sz w:val="24"/>
        </w:rPr>
        <w:t>公民社会的政治权力</w:t>
      </w:r>
    </w:p>
    <w:p>
      <w:r>
        <w:rPr>
          <w:rFonts w:ascii="Times New Roman" w:hAnsi="Times New Roman" w:eastAsia="宋体"/>
          <w:b w:val="0"/>
          <w:i/>
          <w:color w:val="404040"/>
          <w:sz w:val="20"/>
        </w:rPr>
        <w:t>The political power of civil society</w:t>
      </w:r>
    </w:p>
    <w:p>
      <w:r>
        <w:rPr>
          <w:rFonts w:ascii="Times New Roman" w:hAnsi="Times New Roman" w:eastAsia="宋体"/>
          <w:b w:val="0"/>
          <w:i w:val="0"/>
          <w:color w:val="595959"/>
          <w:sz w:val="18"/>
        </w:rPr>
        <w:t>Desiree A. Desierto；Mark Koyama</w:t>
      </w:r>
    </w:p>
    <w:p>
      <w:r>
        <w:rPr>
          <w:rFonts w:ascii="Times New Roman" w:hAnsi="Times New Roman" w:eastAsia="宋体"/>
          <w:b w:val="0"/>
          <w:i w:val="0"/>
          <w:sz w:val="22"/>
        </w:rPr>
        <w:t>摘要：【摘译】作者构建模型：作为政治行动者的公民社会成员可直接倒向反对派削弱统治者，普通公民只能经由不满间接施压，从而解释公民社会推动改革的条件。</w:t>
      </w:r>
    </w:p>
    <w:p>
      <w:r>
        <w:rPr>
          <w:rFonts w:ascii="Times New Roman" w:hAnsi="Times New Roman" w:eastAsia="宋体"/>
          <w:b w:val="0"/>
          <w:i w:val="0"/>
          <w:sz w:val="20"/>
        </w:rPr>
        <w:t>We propose a model to understand how civil society affects political reform. A member of civil society who is a political actor can defect to the opposition and directly erode the ruler’s power. An ordinary citizen, however, can only indirectly depose the ruler through popular discontent, generating governance costs which, if sufficiently large, can trigger defection to the opposition by political actors. A key factor that determines the success of reform is the degree of organization of civil society into particular groups. Wide-reaching groups whose membership spans political actors and ordinary citizens are most effective; groups composed of solely political actors are somewhat effective; while groups composed solely of ordinary citizens are the least effective. We apply this framework to explain key features of the Glorious Revolution in England in 1688. We also discuss two other examples: the People Power Revolution in the Philippines, and the Arab Spring.</w:t>
      </w:r>
    </w:p>
    <w:p/>
    <w:p>
      <w:r>
        <w:rPr>
          <w:rFonts w:ascii="Times New Roman" w:hAnsi="Times New Roman" w:eastAsia="黑体"/>
          <w:b/>
          <w:i w:val="0"/>
          <w:sz w:val="24"/>
        </w:rPr>
        <w:t>公共物品供给的接管：美国建国初期的灯塔</w:t>
      </w:r>
    </w:p>
    <w:p>
      <w:r>
        <w:rPr>
          <w:rFonts w:ascii="Times New Roman" w:hAnsi="Times New Roman" w:eastAsia="宋体"/>
          <w:b w:val="0"/>
          <w:i/>
          <w:color w:val="404040"/>
          <w:sz w:val="20"/>
        </w:rPr>
        <w:t>The takeover of public goods provision: Lighthouses in the Early American Republic</w:t>
      </w:r>
    </w:p>
    <w:p>
      <w:r>
        <w:rPr>
          <w:rFonts w:ascii="Times New Roman" w:hAnsi="Times New Roman" w:eastAsia="宋体"/>
          <w:b w:val="0"/>
          <w:i w:val="0"/>
          <w:color w:val="595959"/>
          <w:sz w:val="18"/>
        </w:rPr>
        <w:t>Vincent Geloso</w:t>
      </w:r>
    </w:p>
    <w:p>
      <w:r>
        <w:rPr>
          <w:rFonts w:ascii="Times New Roman" w:hAnsi="Times New Roman" w:eastAsia="宋体"/>
          <w:b w:val="0"/>
          <w:i w:val="0"/>
          <w:sz w:val="22"/>
        </w:rPr>
        <w:t>摘要：【摘译】作者以美国早期灯塔为例，说明在不诉诸公共利益或私人供给不足的情况下，国家接管公共物品供给的原因。</w:t>
      </w:r>
    </w:p>
    <w:p>
      <w:r>
        <w:rPr>
          <w:rFonts w:ascii="Times New Roman" w:hAnsi="Times New Roman" w:eastAsia="宋体"/>
          <w:b w:val="0"/>
          <w:i w:val="0"/>
          <w:sz w:val="20"/>
        </w:rPr>
        <w:t>If public provision of public goods is potentially suboptimal, then why do states still intervene to provide them? This question parallels the broader inquiry into whether state provision can be explained without resorting to justifications invoking the public interest, or suboptimal private provision. This paper shows that whether states take over the provision of public goods depends on the political rents that can be secured in markets beyond the one for the public good itself. This creates a redistribution that is wide enough to secure sufficient buy-in from key interests (sustaining an equilibrium). Using the federalization of American lighthouses in the Early Republic (1789–1815) as a case study makes clear that this shift was not merely administrative. Rather, federal control was part of a rent-seeking arrangement that embedded subtle, yet significant, protectionist measures for the domestic shipping industry, created a broader “hidden tariff” often overlooked in economic history, and expanded patronage opportunities for political machines at both the state and federal levels. This example can be extended to other key historical episodes with implications for our understanding of the causes and consequences of state takeovers of the provision of public goods.</w:t>
      </w:r>
    </w:p>
    <w:p/>
    <w:p>
      <w:r>
        <w:rPr>
          <w:rFonts w:ascii="Times New Roman" w:hAnsi="Times New Roman" w:eastAsia="黑体"/>
          <w:b/>
          <w:i w:val="0"/>
          <w:sz w:val="24"/>
        </w:rPr>
        <w:t>审查下的创新：对近代早期英格兰文化生产的影响</w:t>
      </w:r>
    </w:p>
    <w:p>
      <w:r>
        <w:rPr>
          <w:rFonts w:ascii="Times New Roman" w:hAnsi="Times New Roman" w:eastAsia="宋体"/>
          <w:b w:val="0"/>
          <w:i/>
          <w:color w:val="404040"/>
          <w:sz w:val="20"/>
        </w:rPr>
        <w:t>Innovation under censorship: Effects on cultural production in early modern England</w:t>
      </w:r>
    </w:p>
    <w:p>
      <w:r>
        <w:rPr>
          <w:rFonts w:ascii="Times New Roman" w:hAnsi="Times New Roman" w:eastAsia="宋体"/>
          <w:b w:val="0"/>
          <w:i w:val="0"/>
          <w:color w:val="595959"/>
          <w:sz w:val="18"/>
        </w:rPr>
        <w:t>Peter Grajzl；Peter Murrell</w:t>
      </w:r>
    </w:p>
    <w:p>
      <w:r>
        <w:rPr>
          <w:rFonts w:ascii="Times New Roman" w:hAnsi="Times New Roman" w:eastAsia="宋体"/>
          <w:b w:val="0"/>
          <w:i w:val="0"/>
          <w:sz w:val="22"/>
        </w:rPr>
        <w:t>摘要：【摘译】作者借大语言模型中编码的历史知识构建近代英格兰年度印刷审查指数，定量评估审查对文化生产的影响。</w:t>
      </w:r>
    </w:p>
    <w:p>
      <w:r>
        <w:rPr>
          <w:rFonts w:ascii="Times New Roman" w:hAnsi="Times New Roman" w:eastAsia="宋体"/>
          <w:b w:val="0"/>
          <w:i w:val="0"/>
          <w:sz w:val="20"/>
        </w:rPr>
        <w:t>The effects of print censorship on early modern England's cultural production have yet to be examined quantitatively. Doing so requires distilling dispersed qualitative information into numerical data. An annual index of print censorship is constructed by eliciting the historical knowledge encoded in a large language model (LLM) primed with evidence from secondary sources. Application of a machine-learning (ML) algorithm to a major corpus provides document-level measures of cultural innovativeness (quality) and volume (quantity). Pre-existing topic-model estimates apportion each document among distinct cultural themes—three affected by censorship and five unaffected. This yields a yearly theme-level panel for 1525–1700. Local projections estimate censorship's dynamic effects. Counterintuitively, censorship increases innovativeness in censorship-affected themes relative to non-affected themes. Censorship has a temporary chilling effect on the quantity of cultural production though output recovers within a decade. Results are robust to an instrumental-variable approach addressing the endogeneity of censorship. Findings are unchanged when the censorship index is constructed using three alternative LLMs. Leveraging LLMs and ML to measure hard-to-quantify phenomena, such as censorship and cultural production, illuminates the drivers of cultural evolution.</w:t>
      </w:r>
    </w:p>
    <w:p/>
    <w:p>
      <w:r>
        <w:rPr>
          <w:rFonts w:ascii="Times New Roman" w:hAnsi="Times New Roman" w:eastAsia="黑体"/>
          <w:b/>
          <w:i w:val="0"/>
          <w:sz w:val="24"/>
        </w:rPr>
        <w:t>经济全球化与收入份额</w:t>
      </w:r>
    </w:p>
    <w:p>
      <w:r>
        <w:rPr>
          <w:rFonts w:ascii="Times New Roman" w:hAnsi="Times New Roman" w:eastAsia="宋体"/>
          <w:b w:val="0"/>
          <w:i/>
          <w:color w:val="404040"/>
          <w:sz w:val="20"/>
        </w:rPr>
        <w:t>Economic globalization and income shares</w:t>
      </w:r>
    </w:p>
    <w:p>
      <w:r>
        <w:rPr>
          <w:rFonts w:ascii="Times New Roman" w:hAnsi="Times New Roman" w:eastAsia="宋体"/>
          <w:b w:val="0"/>
          <w:i w:val="0"/>
          <w:color w:val="595959"/>
          <w:sz w:val="18"/>
        </w:rPr>
        <w:t>Andreas Bergh；Christian Bjørnskov；Justin T. Callais</w:t>
      </w:r>
    </w:p>
    <w:p>
      <w:r>
        <w:rPr>
          <w:rFonts w:ascii="Times New Roman" w:hAnsi="Times New Roman" w:eastAsia="宋体"/>
          <w:b w:val="0"/>
          <w:i w:val="0"/>
          <w:sz w:val="22"/>
        </w:rPr>
        <w:t>摘要：【摘译】作者以匹配法考察全球化大幅提升对各收入五分位及顶层1%、5%五年收入增长的影响，未发现全球化损害OECD中产阶级的证据，多数估计为正但不显著。</w:t>
      </w:r>
    </w:p>
    <w:p>
      <w:r>
        <w:rPr>
          <w:rFonts w:ascii="Times New Roman" w:hAnsi="Times New Roman" w:eastAsia="宋体"/>
          <w:b w:val="0"/>
          <w:i w:val="0"/>
          <w:sz w:val="20"/>
        </w:rPr>
        <w:t>Low barriers to trade and access to international capital markets have long been argued to improve economic conditions in a country. However, there is less consensus on the impact of economic globalization on the distribution of those gains across society. There are several possible explanations for the conflicting findings in the existing literature, perhaps most notably endogeneity issues that plague the cross-country studies. To alleviate this, we utilize matching methods. Instead of using Gini coefficients, as much of the previous literature, we examine large increases in economic globalization’s impact on 5-year income growth in each quintile of the income distribution as well as top 1 and 5 percent. We find no evidence that income growth for the middle classes in OECD countries is hurt by economic globalization; if anything, some results indicate statistically positive effects. Most estimates, however, are positive but statistically and economically insignificant.</w:t>
      </w:r>
    </w:p>
    <w:p/>
    <w:p>
      <w:r>
        <w:rPr>
          <w:rFonts w:ascii="Times New Roman" w:hAnsi="Times New Roman" w:eastAsia="黑体"/>
          <w:b/>
          <w:i w:val="0"/>
          <w:sz w:val="24"/>
        </w:rPr>
        <w:t>早年经济或政治不确定性降低日后的宽容度</w:t>
      </w:r>
    </w:p>
    <w:p>
      <w:r>
        <w:rPr>
          <w:rFonts w:ascii="Times New Roman" w:hAnsi="Times New Roman" w:eastAsia="宋体"/>
          <w:b w:val="0"/>
          <w:i/>
          <w:color w:val="404040"/>
          <w:sz w:val="20"/>
        </w:rPr>
        <w:t>Economic or political uncertainty in early life reduces later tolerance</w:t>
      </w:r>
    </w:p>
    <w:p>
      <w:r>
        <w:rPr>
          <w:rFonts w:ascii="Times New Roman" w:hAnsi="Times New Roman" w:eastAsia="宋体"/>
          <w:b w:val="0"/>
          <w:i w:val="0"/>
          <w:color w:val="595959"/>
          <w:sz w:val="18"/>
        </w:rPr>
        <w:t>Niclas Berggren；Andreas Bergh；Therese Nilsson</w:t>
      </w:r>
    </w:p>
    <w:p>
      <w:r>
        <w:rPr>
          <w:rFonts w:ascii="Times New Roman" w:hAnsi="Times New Roman" w:eastAsia="宋体"/>
          <w:b w:val="0"/>
          <w:i w:val="0"/>
          <w:sz w:val="22"/>
        </w:rPr>
        <w:t>摘要：【摘译】作者将世界不确定性指数与个人印象期相匹配，发现青年时期经历的经济政治不确定性持久降低其宽容度。</w:t>
      </w:r>
    </w:p>
    <w:p>
      <w:r>
        <w:rPr>
          <w:rFonts w:ascii="Times New Roman" w:hAnsi="Times New Roman" w:eastAsia="宋体"/>
          <w:b w:val="0"/>
          <w:i w:val="0"/>
          <w:sz w:val="20"/>
        </w:rPr>
        <w:t>This study examines whether exposure to economic-political uncertainty during formative years has enduring effects on tolerance. To quantify uncertainty, we use the World Uncertainty Index, a text-based measure of the frequency of the term “uncertain” in the country report of the Economist Intelligence Unit. We link its mean value during six age intervals to later-in-life tolerance toward gays and lesbians, using data from the European Social Survey. Employing a quasi-experimental design, we document a robust negative relationship: more uncertainty during formative years predicts diminished tolerance in adulthood. This effect appears most clearly during middle childhood (ages 6–12) and the transition to adulthood (ages 18–25). Exposure after 25 almost never has an impact. The main result is moderated by democratic quality. In countries with robust democratic traditions, procedural legitimacy and participatory socialization seem to undo the negative impact of uncertainty. These findings demonstrate that uncertainty has long-term negative cultural consequences, but also that democratic institutions foster resilience.</w:t>
      </w:r>
    </w:p>
    <w:p/>
    <w:p>
      <w:r>
        <w:rPr>
          <w:rFonts w:ascii="Times New Roman" w:hAnsi="Times New Roman" w:eastAsia="宋体"/>
          <w:b/>
          <w:i w:val="0"/>
          <w:sz w:val="22"/>
        </w:rPr>
        <w:t>JCE： Vol. 54, No. 2, 2026</w:t>
      </w:r>
    </w:p>
    <w:p/>
    <w:p>
      <w:r>
        <w:rPr>
          <w:rFonts w:ascii="Times New Roman" w:hAnsi="Times New Roman" w:eastAsia="黑体"/>
          <w:b/>
          <w:i w:val="0"/>
          <w:sz w:val="24"/>
        </w:rPr>
        <w:t>碎片化还是不平等：撒哈拉以南非洲的族群分裂与冲突</w:t>
      </w:r>
    </w:p>
    <w:p>
      <w:r>
        <w:rPr>
          <w:rFonts w:ascii="Times New Roman" w:hAnsi="Times New Roman" w:eastAsia="宋体"/>
          <w:b w:val="0"/>
          <w:i/>
          <w:color w:val="404040"/>
          <w:sz w:val="20"/>
        </w:rPr>
        <w:t>Fragmentation or inequality: Ethnic divisions and conflict in Sub-Saharan Africa</w:t>
      </w:r>
    </w:p>
    <w:p>
      <w:r>
        <w:rPr>
          <w:rFonts w:ascii="Times New Roman" w:hAnsi="Times New Roman" w:eastAsia="宋体"/>
          <w:b w:val="0"/>
          <w:i w:val="0"/>
          <w:color w:val="595959"/>
          <w:sz w:val="18"/>
        </w:rPr>
        <w:t>Boris Gershman；Ameesh Upadhyay</w:t>
      </w:r>
    </w:p>
    <w:p>
      <w:r>
        <w:rPr>
          <w:rFonts w:ascii="Times New Roman" w:hAnsi="Times New Roman" w:eastAsia="宋体"/>
          <w:b w:val="0"/>
          <w:i w:val="0"/>
          <w:sz w:val="22"/>
        </w:rPr>
        <w:t>摘要：【摘译】作者构建撒哈拉以南非洲35国数百地区的族群不平等新数据，并借Ethnologue语言树区分深层与近期分裂，发现族群分化（尤其深层语言分裂）与冲突稳健正相关，族群不平等则无系统关联。</w:t>
      </w:r>
    </w:p>
    <w:p>
      <w:r>
        <w:rPr>
          <w:rFonts w:ascii="Times New Roman" w:hAnsi="Times New Roman" w:eastAsia="宋体"/>
          <w:b w:val="0"/>
          <w:i w:val="0"/>
          <w:sz w:val="20"/>
        </w:rPr>
        <w:t>This paper examines the relationship between local ethnic divisions and conflict in Sub-Saharan Africa. Using census subsamples and large-scale household surveys, we construct a new subnational dataset on ethnic inequality capturing group-level differences in education, asset ownership, and access to basic amenities for several hundred regions in thirty-five countries. To distinguish between deep-rooted and more recent ethnic divisions, we incorporate groups from our sample into Ethnologue’s linguistic tree model and generate alternative measures of both ethnic fractionalization and inequality based on ancestral languages. Our analysis, leveraging within-country variation and accounting for numerous regional characteristics, reveals a robust positive relationship between ethnic fractionalization and conflict, especially when using deeper linguistic cleavages to define distinct groups. In contrast, ethnic inequality shows no systematic association with conflict frequency or severity. These findings suggest the primacy of ethnolinguistic differences per se, rather than socioeconomic disparities between groups, as a driver of local conflict.</w:t>
      </w:r>
    </w:p>
    <w:p/>
    <w:p>
      <w:r>
        <w:rPr>
          <w:rFonts w:ascii="Times New Roman" w:hAnsi="Times New Roman" w:eastAsia="黑体"/>
          <w:b/>
          <w:i w:val="0"/>
          <w:sz w:val="24"/>
        </w:rPr>
        <w:t>分裂之路：埃塞俄比亚的族群偏袒与道路基础设施</w:t>
      </w:r>
    </w:p>
    <w:p>
      <w:r>
        <w:rPr>
          <w:rFonts w:ascii="Times New Roman" w:hAnsi="Times New Roman" w:eastAsia="宋体"/>
          <w:b w:val="0"/>
          <w:i/>
          <w:color w:val="404040"/>
          <w:sz w:val="20"/>
        </w:rPr>
        <w:t>Road to division: Ethnic favoritism and road infrastructure in Ethiopia</w:t>
      </w:r>
    </w:p>
    <w:p>
      <w:r>
        <w:rPr>
          <w:rFonts w:ascii="Times New Roman" w:hAnsi="Times New Roman" w:eastAsia="宋体"/>
          <w:b w:val="0"/>
          <w:i w:val="0"/>
          <w:color w:val="595959"/>
          <w:sz w:val="18"/>
        </w:rPr>
        <w:t>Elena Perra</w:t>
      </w:r>
    </w:p>
    <w:p>
      <w:r>
        <w:rPr>
          <w:rFonts w:ascii="Times New Roman" w:hAnsi="Times New Roman" w:eastAsia="宋体"/>
          <w:b w:val="0"/>
          <w:i w:val="0"/>
          <w:sz w:val="22"/>
        </w:rPr>
        <w:t>摘要：【摘译】作者构建埃塞俄比亚5平方公里网格面板，发现族群偏袒长期影响道路基础设施分配。</w:t>
      </w:r>
    </w:p>
    <w:p>
      <w:r>
        <w:rPr>
          <w:rFonts w:ascii="Times New Roman" w:hAnsi="Times New Roman" w:eastAsia="宋体"/>
          <w:b w:val="0"/>
          <w:i w:val="0"/>
          <w:sz w:val="20"/>
        </w:rPr>
        <w:t>This paper investigates the role of ethnic favoritism in the long run allocation of road infrastructure in Ethiopia. I construct a 5 km2 grid cell panel by merging road network data from the late 1960s to 2016 with high resolution maps of local ethnic composition. Using a quasi-experimental empirical design, the study finds that cells where the local majority shares the ethnicity with the ruling elite receive 8.7 percent additional road investments and see a 13.8 improvement in road surface quality than otherwise comparable non co-ethnic cells. Exploiting the phased rollout of the Road Sector Development Program between 1997 and 2016, I also document that new roads raise night lights intensity by 0.27 standard deviations in cells benefiting from the program and by 0.51 standard deviations in co-ethnic areas, with larger effects for earlier investments. These findings suggest that ethnic alignment and the availability of large public funds jointly shape the placement of road infrastructure, influencing local economic dynamics.</w:t>
      </w:r>
    </w:p>
    <w:p/>
    <w:p>
      <w:r>
        <w:rPr>
          <w:rFonts w:ascii="Times New Roman" w:hAnsi="Times New Roman" w:eastAsia="黑体"/>
          <w:b/>
          <w:i w:val="0"/>
          <w:sz w:val="24"/>
        </w:rPr>
        <w:t>定居者与规范</w:t>
      </w:r>
    </w:p>
    <w:p>
      <w:r>
        <w:rPr>
          <w:rFonts w:ascii="Times New Roman" w:hAnsi="Times New Roman" w:eastAsia="宋体"/>
          <w:b w:val="0"/>
          <w:i/>
          <w:color w:val="404040"/>
          <w:sz w:val="20"/>
        </w:rPr>
        <w:t>Settlers and norms</w:t>
      </w:r>
    </w:p>
    <w:p>
      <w:r>
        <w:rPr>
          <w:rFonts w:ascii="Times New Roman" w:hAnsi="Times New Roman" w:eastAsia="宋体"/>
          <w:b w:val="0"/>
          <w:i w:val="0"/>
          <w:color w:val="595959"/>
          <w:sz w:val="18"/>
        </w:rPr>
        <w:t>Joanne Haddad</w:t>
      </w:r>
    </w:p>
    <w:p>
      <w:r>
        <w:rPr>
          <w:rFonts w:ascii="Times New Roman" w:hAnsi="Times New Roman" w:eastAsia="宋体"/>
          <w:b w:val="0"/>
          <w:i w:val="0"/>
          <w:sz w:val="22"/>
        </w:rPr>
        <w:t>摘要：【摘译】作者检验“首批有效定居”学说，发现早期定居者特质对性别规范有短期与长期影响。</w:t>
      </w:r>
    </w:p>
    <w:p>
      <w:r>
        <w:rPr>
          <w:rFonts w:ascii="Times New Roman" w:hAnsi="Times New Roman" w:eastAsia="宋体"/>
          <w:b w:val="0"/>
          <w:i w:val="0"/>
          <w:sz w:val="20"/>
        </w:rPr>
        <w:t>The distinctive traits of early settlers at the initial stages of institutional development may be crucial for cultural formation. In 1973, cultural geographer Wilbur Zelinsky formalized this idea in his doctrine of “First Effective Settlement.” I examine this doctrine and identify its short- and long-run implications for gender norms in the United States. To capture counties at early stages of cultural and institutional development, I focus on county creation events and proxy early settlers’ gender norms using historical female labor force participation rates and women’s financial rights in their places of origin. I document the distinctive characteristics of early settler populations and provide suggestive evidence of the transmission of gender norms across space and time. The results show that women’s labor supply is higher, both in the short and long run, in United States counties that historically hosted larger foreign-born early settler populations from places with high female labor force participation. I provide evidence for four reinforcing mechanisms underlying this persistence: foundational influence during critical junctures, demographic dominance, intergenerational cultural transmission, and political dominance. Together, these findings shed new light on how immigrants’ cultural endowments can have durable effects when introduced during critical junctures of institutional formation in host societies.</w:t>
      </w:r>
    </w:p>
    <w:p/>
    <w:p>
      <w:r>
        <w:rPr>
          <w:rFonts w:ascii="Times New Roman" w:hAnsi="Times New Roman" w:eastAsia="黑体"/>
          <w:b/>
          <w:i w:val="0"/>
          <w:sz w:val="24"/>
        </w:rPr>
        <w:t>安顿繁荣：历史移民及其长期制度遗产</w:t>
      </w:r>
    </w:p>
    <w:p>
      <w:r>
        <w:rPr>
          <w:rFonts w:ascii="Times New Roman" w:hAnsi="Times New Roman" w:eastAsia="宋体"/>
          <w:b w:val="0"/>
          <w:i/>
          <w:color w:val="404040"/>
          <w:sz w:val="20"/>
        </w:rPr>
        <w:t>Settling prosperity: Historical immigration and its long-term institutional legacies</w:t>
      </w:r>
    </w:p>
    <w:p>
      <w:r>
        <w:rPr>
          <w:rFonts w:ascii="Times New Roman" w:hAnsi="Times New Roman" w:eastAsia="宋体"/>
          <w:b w:val="0"/>
          <w:i w:val="0"/>
          <w:color w:val="595959"/>
          <w:sz w:val="18"/>
        </w:rPr>
        <w:t>Amanda Guimbeau</w:t>
      </w:r>
    </w:p>
    <w:p>
      <w:r>
        <w:rPr>
          <w:rFonts w:ascii="Times New Roman" w:hAnsi="Times New Roman" w:eastAsia="宋体"/>
          <w:b w:val="0"/>
          <w:i w:val="0"/>
          <w:sz w:val="22"/>
        </w:rPr>
        <w:t>摘要：【摘译】作者发现巴西圣保罗靠近历史上国家资助的移民定居点的城市，如今公共物品供给更好。</w:t>
      </w:r>
    </w:p>
    <w:p>
      <w:r>
        <w:rPr>
          <w:rFonts w:ascii="Times New Roman" w:hAnsi="Times New Roman" w:eastAsia="宋体"/>
          <w:b w:val="0"/>
          <w:i w:val="0"/>
          <w:sz w:val="20"/>
        </w:rPr>
        <w:t>During Brazil’s Age of Mass Migration (1880s-1930s), the state sponsored immigrant settlements in São Paulo. Using a new dataset that combines historical and modern administrative records, this paper explores the institutional impact of these settlements. Municipalities closer to them now enjoy better public goods provision and more well-defined property rights, as reflected in structured contractual arrangements, fewer land invasions, and increased investments in high-stakes agricultural practices. Intermediate data show that settlement municipalities recorded higher notarial activity, more frequent legal transactions, and greater land tax revenues in the years following settlement. These changes supported improvements in local governance, legal certainty, and public investment. Overall, the findings highlight how state-led settlement shaped regional economic and institutional development, showing that the implementation of immigration policy had lasting effects on local growth trajectories.</w:t>
      </w:r>
    </w:p>
    <w:p/>
    <w:p>
      <w:r>
        <w:rPr>
          <w:rFonts w:ascii="Times New Roman" w:hAnsi="Times New Roman" w:eastAsia="黑体"/>
          <w:b/>
          <w:i w:val="0"/>
          <w:sz w:val="24"/>
        </w:rPr>
        <w:t>国内移民与劳动份额：理论与证据</w:t>
      </w:r>
    </w:p>
    <w:p>
      <w:r>
        <w:rPr>
          <w:rFonts w:ascii="Times New Roman" w:hAnsi="Times New Roman" w:eastAsia="宋体"/>
          <w:b w:val="0"/>
          <w:i/>
          <w:color w:val="404040"/>
          <w:sz w:val="20"/>
        </w:rPr>
        <w:t>Internal migration and labor share: Theory and evidence</w:t>
      </w:r>
    </w:p>
    <w:p>
      <w:r>
        <w:rPr>
          <w:rFonts w:ascii="Times New Roman" w:hAnsi="Times New Roman" w:eastAsia="宋体"/>
          <w:b w:val="0"/>
          <w:i w:val="0"/>
          <w:color w:val="595959"/>
          <w:sz w:val="18"/>
        </w:rPr>
        <w:t>Yang Yang；Qi Yu；Junsen Zhang；Kang Zhou</w:t>
      </w:r>
    </w:p>
    <w:p>
      <w:r>
        <w:rPr>
          <w:rFonts w:ascii="Times New Roman" w:hAnsi="Times New Roman" w:eastAsia="宋体"/>
          <w:b w:val="0"/>
          <w:i w:val="0"/>
          <w:sz w:val="22"/>
        </w:rPr>
        <w:t>摘要：【摘译】作者构建理论并用移位—份额工具变量，发现城乡迁移通过以劳动替代资本、提高技能溢价而提升企业劳动份额。</w:t>
      </w:r>
    </w:p>
    <w:p>
      <w:r>
        <w:rPr>
          <w:rFonts w:ascii="Times New Roman" w:hAnsi="Times New Roman" w:eastAsia="宋体"/>
          <w:b w:val="0"/>
          <w:i w:val="0"/>
          <w:sz w:val="20"/>
        </w:rPr>
        <w:t>This paper examines the effect of internal migration on firms’ labor share. We develop a theoretical framework in which rural-to-urban migration increases the labor share of local firms by substituting labor for capital and increasing the skill wage premium. Using a “shift-share” instrumental variable approach, we show that migration inflows increase the labor share of local firms in China. To test the mechanisms predicted by the model, we show that migration inflows reduce capital per worker, raising the relative wages of skilled labor while lowering the skill composition of firm employment. Finally, heterogeneity analysis reveals that the effect is more pronounced among private firms and highly educated migrants, with no significant gender differences.</w:t>
      </w:r>
    </w:p>
    <w:p/>
    <w:p>
      <w:r>
        <w:rPr>
          <w:rFonts w:ascii="Times New Roman" w:hAnsi="Times New Roman" w:eastAsia="黑体"/>
          <w:b/>
          <w:i w:val="0"/>
          <w:sz w:val="24"/>
        </w:rPr>
        <w:t>德国统一对经济自由的因果效应</w:t>
      </w:r>
    </w:p>
    <w:p>
      <w:r>
        <w:rPr>
          <w:rFonts w:ascii="Times New Roman" w:hAnsi="Times New Roman" w:eastAsia="宋体"/>
          <w:b w:val="0"/>
          <w:i/>
          <w:color w:val="404040"/>
          <w:sz w:val="20"/>
        </w:rPr>
        <w:t>The causal effect of German reunification on economic freedom</w:t>
      </w:r>
    </w:p>
    <w:p>
      <w:r>
        <w:rPr>
          <w:rFonts w:ascii="Times New Roman" w:hAnsi="Times New Roman" w:eastAsia="宋体"/>
          <w:b w:val="0"/>
          <w:i w:val="0"/>
          <w:color w:val="595959"/>
          <w:sz w:val="18"/>
        </w:rPr>
        <w:t>Vincent Geloso；Kevin Grier；Florence Muhoza</w:t>
      </w:r>
    </w:p>
    <w:p>
      <w:r>
        <w:rPr>
          <w:rFonts w:ascii="Times New Roman" w:hAnsi="Times New Roman" w:eastAsia="宋体"/>
          <w:b w:val="0"/>
          <w:i w:val="0"/>
          <w:sz w:val="22"/>
        </w:rPr>
        <w:t>摘要：【摘译】作者以德国统一（无族群差异的选民构成巨变）为例，因果评估其对经济自由度的影响。</w:t>
      </w:r>
    </w:p>
    <w:p>
      <w:r>
        <w:rPr>
          <w:rFonts w:ascii="Times New Roman" w:hAnsi="Times New Roman" w:eastAsia="宋体"/>
          <w:b w:val="0"/>
          <w:i w:val="0"/>
          <w:sz w:val="20"/>
        </w:rPr>
        <w:t>Do large changes in electorate composition affect institutional quality? In this paper, we causally consider a unique case of a large change in electorate composition that has no ethnic component: German reunification. As East and West Germans were ethnically similar, the main difference between both groups is tied to cultural differences that arose during Communist rule. We test whether reunification lowered economic freedom (our measure of institutional quality) in Germany using synthetic control methods. We find that there was a transitory effect of less than a decade whereby reunification significantly reduced economic freedom and institutional quality.</w:t>
      </w:r>
    </w:p>
    <w:p/>
    <w:p>
      <w:r>
        <w:rPr>
          <w:rFonts w:ascii="Times New Roman" w:hAnsi="Times New Roman" w:eastAsia="黑体"/>
          <w:b/>
          <w:i w:val="0"/>
          <w:sz w:val="24"/>
        </w:rPr>
        <w:t>工业化运动对人力资本积累的长期影响：来自中国“三线建设”的证据</w:t>
      </w:r>
    </w:p>
    <w:p>
      <w:r>
        <w:rPr>
          <w:rFonts w:ascii="Times New Roman" w:hAnsi="Times New Roman" w:eastAsia="宋体"/>
          <w:b w:val="0"/>
          <w:i/>
          <w:color w:val="404040"/>
          <w:sz w:val="20"/>
        </w:rPr>
        <w:t>The long-term impact of industrialization campaigns on human capital accumulation: Evidence from the “Construction of Third Front” in China</w:t>
      </w:r>
    </w:p>
    <w:p>
      <w:r>
        <w:rPr>
          <w:rFonts w:ascii="Times New Roman" w:hAnsi="Times New Roman" w:eastAsia="宋体"/>
          <w:b w:val="0"/>
          <w:i w:val="0"/>
          <w:color w:val="595959"/>
          <w:sz w:val="18"/>
        </w:rPr>
        <w:t>Guanghua Fang；Yinhe Liang；Fan Qin</w:t>
      </w:r>
    </w:p>
    <w:p>
      <w:r>
        <w:rPr>
          <w:rFonts w:ascii="Times New Roman" w:hAnsi="Times New Roman" w:eastAsia="宋体"/>
          <w:b w:val="0"/>
          <w:i w:val="0"/>
          <w:sz w:val="22"/>
        </w:rPr>
        <w:t>摘要：20世纪60年代初，中国出于国防考虑发起“三线建设”工业化运动，显著推动了欠发达腹地的制造业增长。利用各地级市与各出生队列受三线建设影响程度的差异，作者发现三线建设显著提高了长期人力资本积累，机制可能是教育与医疗可及性改善、收入效应，以及教育回报的正效应压过机会成本的负效应。进一步分析显示，受影响更深的儿童成年后劳动力市场表现更好、生育推迟、家庭规模更小。</w:t>
      </w:r>
    </w:p>
    <w:p>
      <w:r>
        <w:rPr>
          <w:rFonts w:ascii="Times New Roman" w:hAnsi="Times New Roman" w:eastAsia="宋体"/>
          <w:b w:val="0"/>
          <w:i w:val="0"/>
          <w:sz w:val="20"/>
        </w:rPr>
        <w:t>In the early 1960s, China launched the “Construction of Third Front” (TF) industrialization campaign for national defense considerations, which significantly spurred manufacturing growth in the underdeveloped hinterland. Exploiting variation in the exposure to the TF across prefectures and cohorts, we find that the TF significantly increased human capital accumulation in the long term. These effects were plausibly driven by improved access to education and healthcare, an income effect, and the dominance of the positive effect of educational returns over the negative impact of the opportunity cost. Further analysis reveals that children with greater exposure to the TF experienced better labor market outcomes, delayed fertility, and smaller family sizes in adulthood.</w:t>
      </w:r>
    </w:p>
    <w:p/>
    <w:p>
      <w:r>
        <w:rPr>
          <w:rFonts w:ascii="Times New Roman" w:hAnsi="Times New Roman" w:eastAsia="黑体"/>
          <w:b/>
          <w:i w:val="0"/>
          <w:sz w:val="24"/>
        </w:rPr>
        <w:t>中美紧张关系与中国STEM人才的全球再配置</w:t>
      </w:r>
    </w:p>
    <w:p>
      <w:r>
        <w:rPr>
          <w:rFonts w:ascii="Times New Roman" w:hAnsi="Times New Roman" w:eastAsia="宋体"/>
          <w:b w:val="0"/>
          <w:i/>
          <w:color w:val="404040"/>
          <w:sz w:val="20"/>
        </w:rPr>
        <w:t>The US–China tension and global reallocation of Chinese STEM talents</w:t>
      </w:r>
    </w:p>
    <w:p>
      <w:r>
        <w:rPr>
          <w:rFonts w:ascii="Times New Roman" w:hAnsi="Times New Roman" w:eastAsia="宋体"/>
          <w:b w:val="0"/>
          <w:i w:val="0"/>
          <w:color w:val="595959"/>
          <w:sz w:val="18"/>
        </w:rPr>
        <w:t>Weidi Yuan</w:t>
      </w:r>
    </w:p>
    <w:p>
      <w:r>
        <w:rPr>
          <w:rFonts w:ascii="Times New Roman" w:hAnsi="Times New Roman" w:eastAsia="宋体"/>
          <w:b w:val="0"/>
          <w:i w:val="0"/>
          <w:sz w:val="22"/>
        </w:rPr>
        <w:t>摘要：科学无国界，但从不脱离政治。作者研究2018年以来中美紧张的一个较少被关注的后果：STEM教育服务贸易下滑。中国赴美攻读研究生的STEM学生降幅超过40%。签证限制、地缘政治不确定性与反美情绪降低了美国教育的吸引力，促使学生转向其他国家或留在中国。两种再配置效应规模相当，表明替代弹性相近；女性比男性更倾向于转向其他国家。</w:t>
      </w:r>
    </w:p>
    <w:p>
      <w:r>
        <w:rPr>
          <w:rFonts w:ascii="Times New Roman" w:hAnsi="Times New Roman" w:eastAsia="宋体"/>
          <w:b w:val="0"/>
          <w:i w:val="0"/>
          <w:sz w:val="20"/>
        </w:rPr>
        <w:t>Science knows no borders, but is never detached from politics. We study a lesser-noticed consequence of the US–China tension since 2018: the downturn in STEM educational services trade. Our analysis reveals a pronounced drop, exceeding 40%, in Chinese STEM students pursuing graduate study in the US. Visa restrictions, geopolitical uncertainties and anti-US sentiments reduce the allure of US education, prompting students to seek alternatives in other foreign countries or China. The two reallocation effects are comparable, suggesting similar elasticities of substitution. Further analyses find that females tend to relocate to other foreign countries more than males do.</w:t>
      </w:r>
    </w:p>
    <w:p/>
    <w:p>
      <w:r>
        <w:rPr>
          <w:rFonts w:ascii="Times New Roman" w:hAnsi="Times New Roman" w:eastAsia="黑体"/>
          <w:b/>
          <w:i w:val="0"/>
          <w:sz w:val="24"/>
        </w:rPr>
        <w:t>技术进步与全球制造业劳动份额下降</w:t>
      </w:r>
    </w:p>
    <w:p>
      <w:r>
        <w:rPr>
          <w:rFonts w:ascii="Times New Roman" w:hAnsi="Times New Roman" w:eastAsia="宋体"/>
          <w:b w:val="0"/>
          <w:i/>
          <w:color w:val="404040"/>
          <w:sz w:val="20"/>
        </w:rPr>
        <w:t>Technological progress and the global decline in the manufacturing labour share</w:t>
      </w:r>
    </w:p>
    <w:p>
      <w:r>
        <w:rPr>
          <w:rFonts w:ascii="Times New Roman" w:hAnsi="Times New Roman" w:eastAsia="宋体"/>
          <w:b w:val="0"/>
          <w:i w:val="0"/>
          <w:color w:val="595959"/>
          <w:sz w:val="18"/>
        </w:rPr>
        <w:t>Jakob B. Madsen；Kesavarajah K. Mayandy</w:t>
      </w:r>
    </w:p>
    <w:p>
      <w:r>
        <w:rPr>
          <w:rFonts w:ascii="Times New Roman" w:hAnsi="Times New Roman" w:eastAsia="宋体"/>
          <w:b w:val="0"/>
          <w:i w:val="0"/>
          <w:sz w:val="22"/>
        </w:rPr>
        <w:t>摘要：【摘译】作者基于86国1963—2020年制造业面板，发现国内特别是外国技术进步降低了低技术与高技术制造业的劳动份额。</w:t>
      </w:r>
    </w:p>
    <w:p>
      <w:r>
        <w:rPr>
          <w:rFonts w:ascii="Times New Roman" w:hAnsi="Times New Roman" w:eastAsia="宋体"/>
          <w:b w:val="0"/>
          <w:i w:val="0"/>
          <w:sz w:val="20"/>
        </w:rPr>
        <w:t>Using manufacturing data for a panel of 86 low- , middle-, and high-income countries over the period 1963–2020, this study investigates the effects of domestic and foreign technological progress on the labour share dynamics in low- and high-tech manufacturing. We find that the increase in domestic and, in particular, foreign technological progress since approximately 1990, has reduced the labour share in high-income countries and contributed to an increase in the labour share in middle- and low-income countries. The positive effects in the low-income countries have been driven by high R&amp;D-intensity firms. Overall, we find that estimates for the US and other high-income countries cannot be used to project the underlying drivers of labour shares in the middle- and low-income countries.</w:t>
      </w:r>
    </w:p>
    <w:p/>
    <w:p>
      <w:r>
        <w:rPr>
          <w:rFonts w:ascii="Times New Roman" w:hAnsi="Times New Roman" w:eastAsia="黑体"/>
          <w:b/>
          <w:i w:val="0"/>
          <w:sz w:val="24"/>
        </w:rPr>
        <w:t>国际逃税、国家购买机密银行数据与自愿披露</w:t>
      </w:r>
    </w:p>
    <w:p>
      <w:r>
        <w:rPr>
          <w:rFonts w:ascii="Times New Roman" w:hAnsi="Times New Roman" w:eastAsia="宋体"/>
          <w:b w:val="0"/>
          <w:i/>
          <w:color w:val="404040"/>
          <w:sz w:val="20"/>
        </w:rPr>
        <w:t>International tax evasion, state purchases of confidential bank data and voluntary disclosures</w:t>
      </w:r>
    </w:p>
    <w:p>
      <w:r>
        <w:rPr>
          <w:rFonts w:ascii="Times New Roman" w:hAnsi="Times New Roman" w:eastAsia="宋体"/>
          <w:b w:val="0"/>
          <w:i w:val="0"/>
          <w:color w:val="595959"/>
          <w:sz w:val="18"/>
        </w:rPr>
        <w:t>Dirk Bethmann；Michael Kvasnicka</w:t>
      </w:r>
    </w:p>
    <w:p>
      <w:r>
        <w:rPr>
          <w:rFonts w:ascii="Times New Roman" w:hAnsi="Times New Roman" w:eastAsia="宋体"/>
          <w:b w:val="0"/>
          <w:i w:val="0"/>
          <w:sz w:val="22"/>
        </w:rPr>
        <w:t>摘要：【摘译】作者研究德国北威州购买离岸银行泄密数据这一单边工具对逃税者自愿披露的影响。</w:t>
      </w:r>
    </w:p>
    <w:p>
      <w:r>
        <w:rPr>
          <w:rFonts w:ascii="Times New Roman" w:hAnsi="Times New Roman" w:eastAsia="宋体"/>
          <w:b w:val="0"/>
          <w:i w:val="0"/>
          <w:sz w:val="20"/>
        </w:rPr>
        <w:t>International tax evasion is a major source of discontent for tax authorities worldwide. State purchases of whistleblower bank data on suspected tax evaders from international tax havens is a potentially powerful policy tool tax authorities may use unilaterally to combat such tax evasion. Tax authorities in North-Rhine Westphalia (NRW), Germany’s most populous federal state, have been the most active internationally in acquiring such confidential bank data in the first half of the 2010s. Using unique self-compiled press data on the timing and content of altogether 10 data acquisitions from Switzerland, a major offshore financial center and tax haven, and on monthly voluntary disclosures of international tax evasion involving Swiss banks, we study the response of voluntary disclosures to news of such acquisitions in the period 2010–2015. Our results show that media reports on new purchases of whistleblower data had a positive, immediate and sizeable effect on the number of voluntary disclosures filed. Various robustness checks and additional explorations corroborate this finding. For NRW, these purchases generated additional tax revenue of more than half a billion euros.</w:t>
      </w:r>
    </w:p>
    <w:p/>
    <w:p>
      <w:r>
        <w:rPr>
          <w:rFonts w:ascii="Times New Roman" w:hAnsi="Times New Roman" w:eastAsia="黑体"/>
          <w:b/>
          <w:i w:val="0"/>
          <w:sz w:val="24"/>
        </w:rPr>
        <w:t>进口中间数字投入与收入不平等</w:t>
      </w:r>
    </w:p>
    <w:p>
      <w:r>
        <w:rPr>
          <w:rFonts w:ascii="Times New Roman" w:hAnsi="Times New Roman" w:eastAsia="宋体"/>
          <w:b w:val="0"/>
          <w:i/>
          <w:color w:val="404040"/>
          <w:sz w:val="20"/>
        </w:rPr>
        <w:t>Imported intermediate digital inputs and income inequality</w:t>
      </w:r>
    </w:p>
    <w:p>
      <w:r>
        <w:rPr>
          <w:rFonts w:ascii="Times New Roman" w:hAnsi="Times New Roman" w:eastAsia="宋体"/>
          <w:b w:val="0"/>
          <w:i w:val="0"/>
          <w:color w:val="595959"/>
          <w:sz w:val="18"/>
        </w:rPr>
        <w:t>Yanne Gabriella Velomasy；Yueling Wei；Hongsheng Zhang；Laixun Zhao</w:t>
      </w:r>
    </w:p>
    <w:p>
      <w:r>
        <w:rPr>
          <w:rFonts w:ascii="Times New Roman" w:hAnsi="Times New Roman" w:eastAsia="宋体"/>
          <w:b w:val="0"/>
          <w:i w:val="0"/>
          <w:sz w:val="22"/>
        </w:rPr>
        <w:t>摘要：【摘译】作者利用29国15行业2008—2020年数据，发现进口数字中间投入显著扩大高低技能工人收入差距。</w:t>
      </w:r>
    </w:p>
    <w:p>
      <w:r>
        <w:rPr>
          <w:rFonts w:ascii="Times New Roman" w:hAnsi="Times New Roman" w:eastAsia="宋体"/>
          <w:b w:val="0"/>
          <w:i w:val="0"/>
          <w:sz w:val="20"/>
        </w:rPr>
        <w:t>This paper analyzes the impacts of importing intermediate digital inputs (IDIs) on income inequality between high-skilled and low-skilled workers, using a novel dataset that merges recent EU KLEMS and OECD data for 29 countries and 15 industries for 2008-2020. We find that IDI imports significantly widen income inequality, because such imports are associated with higher technology and capital intensities, which directly increase income inequality by complementing high-skilled labor while substituting for low-skilled labor, and indirectly exacerbate inequality through workforce skill upgrading. Heterogeneity analysis shows that these occur primarily in highly digitalized countries and industries, as well as technology-intensive sectors. We also construct two shift-share instrumental variables, namely the global imported IDI shocks and the global digital export shocks, to address endogeneity.</w:t>
      </w:r>
    </w:p>
    <w:p/>
    <w:p>
      <w:r>
        <w:rPr>
          <w:rFonts w:ascii="Times New Roman" w:hAnsi="Times New Roman" w:eastAsia="黑体"/>
          <w:b/>
          <w:i w:val="0"/>
          <w:sz w:val="24"/>
        </w:rPr>
        <w:t>外国直接投资如何传导至国内投资？探究行业内与金融渠道</w:t>
      </w:r>
    </w:p>
    <w:p>
      <w:r>
        <w:rPr>
          <w:rFonts w:ascii="Times New Roman" w:hAnsi="Times New Roman" w:eastAsia="宋体"/>
          <w:b w:val="0"/>
          <w:i/>
          <w:color w:val="404040"/>
          <w:sz w:val="20"/>
        </w:rPr>
        <w:t>How does FDI transmit into domestic investment? Exploring intra-industry and financial channels</w:t>
      </w:r>
    </w:p>
    <w:p>
      <w:r>
        <w:rPr>
          <w:rFonts w:ascii="Times New Roman" w:hAnsi="Times New Roman" w:eastAsia="宋体"/>
          <w:b w:val="0"/>
          <w:i w:val="0"/>
          <w:color w:val="595959"/>
          <w:sz w:val="18"/>
        </w:rPr>
        <w:t>Tim de Leeuw；Konstantin M. Wacker</w:t>
      </w:r>
    </w:p>
    <w:p>
      <w:r>
        <w:rPr>
          <w:rFonts w:ascii="Times New Roman" w:hAnsi="Times New Roman" w:eastAsia="宋体"/>
          <w:b w:val="0"/>
          <w:i w:val="0"/>
          <w:sz w:val="22"/>
        </w:rPr>
        <w:t>摘要：【摘译】作者认为FDI常流向资本投资较低的金融部门，故区分行业内与金融渠道分析FDI对国内投资的传导。</w:t>
      </w:r>
    </w:p>
    <w:p>
      <w:r>
        <w:rPr>
          <w:rFonts w:ascii="Times New Roman" w:hAnsi="Times New Roman" w:eastAsia="宋体"/>
          <w:b w:val="0"/>
          <w:i w:val="0"/>
          <w:sz w:val="20"/>
        </w:rPr>
        <w:t>Foreign direct investment (FDI) is often seen as a means to boost domestic investment and, hence, capital accumulation. Yet, the empirical support for such a positive investment effect of FDI is inconclusive. A possible reason is that FDI is often directed towards the financial sector, where capital investment tends to be low. In this paper, we develop a novel approach to analyse how FDI into the financial sector transmits into domestic investment by non-financial industries. Our approach uses shares of industries’ financial exposure to attribute shifts in financial FDI to individual non-financial industries. Using industry-level FDI and investment data from 12 Central and Eastern European countries between 1997 and 2019, we find that industries with close links to the financial sector increase domestic investment in the presence of financial FDI, particularly manufacturing, trade and real estate. Additionally, we provide suggestive evidence that this relationship operates through a liquidity channel.</w:t>
      </w:r>
    </w:p>
    <w:p/>
    <w:p>
      <w:r>
        <w:rPr>
          <w:rFonts w:ascii="Times New Roman" w:hAnsi="Times New Roman" w:eastAsia="黑体"/>
          <w:b/>
          <w:i w:val="0"/>
          <w:sz w:val="24"/>
        </w:rPr>
        <w:t>低碳试点政策对健康的影响</w:t>
      </w:r>
    </w:p>
    <w:p>
      <w:r>
        <w:rPr>
          <w:rFonts w:ascii="Times New Roman" w:hAnsi="Times New Roman" w:eastAsia="宋体"/>
          <w:b w:val="0"/>
          <w:i/>
          <w:color w:val="404040"/>
          <w:sz w:val="20"/>
        </w:rPr>
        <w:t>The impact of low-carbon pilots policy on health</w:t>
      </w:r>
    </w:p>
    <w:p>
      <w:r>
        <w:rPr>
          <w:rFonts w:ascii="Times New Roman" w:hAnsi="Times New Roman" w:eastAsia="宋体"/>
          <w:b w:val="0"/>
          <w:i w:val="0"/>
          <w:color w:val="595959"/>
          <w:sz w:val="18"/>
        </w:rPr>
        <w:t>Hong Cao；Liyan Han；Lei Li；Libo Yin；Peng Yin</w:t>
      </w:r>
    </w:p>
    <w:p>
      <w:r>
        <w:rPr>
          <w:rFonts w:ascii="Times New Roman" w:hAnsi="Times New Roman" w:eastAsia="宋体"/>
          <w:b w:val="0"/>
          <w:i w:val="0"/>
          <w:sz w:val="22"/>
        </w:rPr>
        <w:t>摘要：【摘译】作者利用个体死亡记录与交错DID，发现中国低碳城市试点降低了老年人污染相关死亡率。</w:t>
      </w:r>
    </w:p>
    <w:p>
      <w:r>
        <w:rPr>
          <w:rFonts w:ascii="Times New Roman" w:hAnsi="Times New Roman" w:eastAsia="宋体"/>
          <w:b w:val="0"/>
          <w:i w:val="0"/>
          <w:sz w:val="20"/>
        </w:rPr>
        <w:t>This paper quantifies the health benefits of China’s Low-Carbon Pilot (LCP) policy using individual-level mortality records. Exploiting staggered policy adoption and estimating dynamic treatment effects with the Sun and Abraham (2021) approach, we find that LCP implementation reduces pollution-related mortality among older adults by 12.6%, with the largest declines in cardiovascular, ischemic heart, and cerebrovascular deaths. The mechanism evidence points to improved air quality—achieved mainly through stronger fiscal support and tighter regulatory enforcement—and the effects are amplified in places led by younger, career-motivated officials, underscoring sizeable health benefits from climate-oriented environmental regulation.</w:t>
      </w:r>
    </w:p>
    <w:p/>
    <w:p>
      <w:r>
        <w:rPr>
          <w:rFonts w:ascii="Times New Roman" w:hAnsi="Times New Roman" w:eastAsia="黑体"/>
          <w:b/>
          <w:i w:val="0"/>
          <w:sz w:val="24"/>
        </w:rPr>
        <w:t>污染影响出口吗？来自中国的证据</w:t>
      </w:r>
    </w:p>
    <w:p>
      <w:r>
        <w:rPr>
          <w:rFonts w:ascii="Times New Roman" w:hAnsi="Times New Roman" w:eastAsia="宋体"/>
          <w:b w:val="0"/>
          <w:i/>
          <w:color w:val="404040"/>
          <w:sz w:val="20"/>
        </w:rPr>
        <w:t>Does pollution affect exports? Evidence from China</w:t>
      </w:r>
    </w:p>
    <w:p>
      <w:r>
        <w:rPr>
          <w:rFonts w:ascii="Times New Roman" w:hAnsi="Times New Roman" w:eastAsia="宋体"/>
          <w:b w:val="0"/>
          <w:i w:val="0"/>
          <w:color w:val="595959"/>
          <w:sz w:val="18"/>
        </w:rPr>
        <w:t>Jie Bai；Larry D. Qiu；Junji Xiao</w:t>
      </w:r>
    </w:p>
    <w:p>
      <w:r>
        <w:rPr>
          <w:rFonts w:ascii="Times New Roman" w:hAnsi="Times New Roman" w:eastAsia="宋体"/>
          <w:b w:val="0"/>
          <w:i w:val="0"/>
          <w:sz w:val="22"/>
        </w:rPr>
        <w:t>摘要：【摘译】作者以逆温为工具变量，发现PM2.5上升1%使企业出口下降0.65%。</w:t>
      </w:r>
    </w:p>
    <w:p>
      <w:r>
        <w:rPr>
          <w:rFonts w:ascii="Times New Roman" w:hAnsi="Times New Roman" w:eastAsia="宋体"/>
          <w:b w:val="0"/>
          <w:i w:val="0"/>
          <w:sz w:val="20"/>
        </w:rPr>
        <w:t>This paper examines the effects and mechanisms of air pollution on firm exports using Chinese firm–product data (2000–2007) and thermal inversion as an instrumental variable. We find that a 1% increase in PM2.5 reduces export values by 0.65%, with the 28% pollution increase over our sample period reducing overall exports by 18.30%. We identify two channels through which pollution affects exports: Pollution reduces labor productivity (0.83% decrease per 1% increase in PM2.5) and trigger environmental regulations (lowering exports by 20%–25% based on spatial regression discontinuity estimates). The effects are stronger for low-productivity firms and labor-intensive industries. Our results highlight significant economic costs of air pollution as it reduces international trade.</w:t>
      </w:r>
    </w:p>
    <w:p/>
    <w:p>
      <w:r>
        <w:rPr>
          <w:rFonts w:ascii="Times New Roman" w:hAnsi="Times New Roman" w:eastAsia="黑体"/>
          <w:b/>
          <w:i w:val="0"/>
          <w:sz w:val="24"/>
        </w:rPr>
        <w:t>经济学“五大”期刊的网络分析</w:t>
      </w:r>
    </w:p>
    <w:p>
      <w:r>
        <w:rPr>
          <w:rFonts w:ascii="Times New Roman" w:hAnsi="Times New Roman" w:eastAsia="宋体"/>
          <w:b w:val="0"/>
          <w:i/>
          <w:color w:val="404040"/>
          <w:sz w:val="20"/>
        </w:rPr>
        <w:t>Network analysis of “top-five” economics journals</w:t>
      </w:r>
    </w:p>
    <w:p>
      <w:r>
        <w:rPr>
          <w:rFonts w:ascii="Times New Roman" w:hAnsi="Times New Roman" w:eastAsia="宋体"/>
          <w:b w:val="0"/>
          <w:i w:val="0"/>
          <w:color w:val="595959"/>
          <w:sz w:val="18"/>
        </w:rPr>
        <w:t>Gregori Galofré-Vilà</w:t>
      </w:r>
    </w:p>
    <w:p>
      <w:r>
        <w:rPr>
          <w:rFonts w:ascii="Times New Roman" w:hAnsi="Times New Roman" w:eastAsia="宋体"/>
          <w:b w:val="0"/>
          <w:i w:val="0"/>
          <w:sz w:val="22"/>
        </w:rPr>
        <w:t>摘要：【摘译】作者以文献计量与网络分析考察2000—2024年经济学五大刊的引用、合作与机构格局，记录研究取向的显著变化。</w:t>
      </w:r>
    </w:p>
    <w:p>
      <w:r>
        <w:rPr>
          <w:rFonts w:ascii="Times New Roman" w:hAnsi="Times New Roman" w:eastAsia="宋体"/>
          <w:b w:val="0"/>
          <w:i w:val="0"/>
          <w:sz w:val="20"/>
        </w:rPr>
        <w:t>This paper examines patterns in knowledge production within the top-five economics journals from 2000 to 2024. Drawing on the full set of published articles and associated bibliometric details, citations, co-authorship links, and institutional affiliations, I document notable shifts in the orientation of research. The share of theoretical work has declined, while empirical fields, particularly development, labor, and public economics, have expanded. Network analysis shows that although the substantive questions and analytical approaches in top-five journals are changing, a small group of U.S. universities continues to account for a disproportionate share of highly cited work and occupies central positions in citation networks, a core that at the same time facilitates communication and exchange across fields.</w:t>
      </w:r>
    </w:p>
    <w:p/>
    <w:p>
      <w:r>
        <w:rPr>
          <w:rFonts w:ascii="Times New Roman" w:hAnsi="Times New Roman" w:eastAsia="黑体"/>
          <w:b/>
          <w:i w:val="0"/>
          <w:sz w:val="24"/>
        </w:rPr>
        <w:t>有条件的持续性？历史疾病暴露与政府对新冠的应对</w:t>
      </w:r>
    </w:p>
    <w:p>
      <w:r>
        <w:rPr>
          <w:rFonts w:ascii="Times New Roman" w:hAnsi="Times New Roman" w:eastAsia="宋体"/>
          <w:b w:val="0"/>
          <w:i/>
          <w:color w:val="404040"/>
          <w:sz w:val="20"/>
        </w:rPr>
        <w:t>Conditional persistence? Historical disease exposure and government response to COVID-19</w:t>
      </w:r>
    </w:p>
    <w:p>
      <w:r>
        <w:rPr>
          <w:rFonts w:ascii="Times New Roman" w:hAnsi="Times New Roman" w:eastAsia="宋体"/>
          <w:b w:val="0"/>
          <w:i w:val="0"/>
          <w:color w:val="595959"/>
          <w:sz w:val="18"/>
        </w:rPr>
        <w:t>Annika Lindskog；Ola Olsson</w:t>
      </w:r>
    </w:p>
    <w:p>
      <w:r>
        <w:rPr>
          <w:rFonts w:ascii="Times New Roman" w:hAnsi="Times New Roman" w:eastAsia="宋体"/>
          <w:b w:val="0"/>
          <w:i w:val="0"/>
          <w:sz w:val="22"/>
        </w:rPr>
        <w:t>摘要：【摘译】作者发现历史疾病暴露更高的国家在新冠早期对死亡人数的防控反应更强。</w:t>
      </w:r>
    </w:p>
    <w:p>
      <w:r>
        <w:rPr>
          <w:rFonts w:ascii="Times New Roman" w:hAnsi="Times New Roman" w:eastAsia="宋体"/>
          <w:b w:val="0"/>
          <w:i w:val="0"/>
          <w:sz w:val="20"/>
        </w:rPr>
        <w:t>Drawing on the literature on cultural adaptations to historical disease exposure, we investigate differences in government containment policies during the COVID-19 pandemic. We hypothesize that a higher historical exposure to disease resulted in a stronger government response to recent COVID deaths, particularly during the first year of the pandemic characterized by fundamental uncertainty. Our empirical analysis confirms this hypothesis, both for differences in government responses to disease dynamics between countries and for differences in state-level containment policies within the United States. Our results suggest that the impact of historical health legacies on contemporary policy may be conditional on the character of the public health risk at hand. Deep cultural norms, determined by historical experiences, may play a minor role most of the time but are activated in times of fundamental uncertainty.</w:t>
      </w:r>
    </w:p>
    <w:p/>
    <w:p>
      <w:r>
        <w:rPr>
          <w:rFonts w:ascii="Times New Roman" w:hAnsi="Times New Roman" w:eastAsia="宋体"/>
          <w:b/>
          <w:i w:val="0"/>
          <w:sz w:val="22"/>
        </w:rPr>
        <w:t>JCE： Vol. 54, No. 1, 2026</w:t>
      </w:r>
    </w:p>
    <w:p/>
    <w:p>
      <w:r>
        <w:rPr>
          <w:rFonts w:ascii="Times New Roman" w:hAnsi="Times New Roman" w:eastAsia="黑体"/>
          <w:b/>
          <w:i w:val="0"/>
          <w:sz w:val="24"/>
        </w:rPr>
        <w:t>大规模移民与本地人出生时健康：来自叙利亚难民涌入土耳其的证据</w:t>
      </w:r>
    </w:p>
    <w:p>
      <w:r>
        <w:rPr>
          <w:rFonts w:ascii="Times New Roman" w:hAnsi="Times New Roman" w:eastAsia="宋体"/>
          <w:b w:val="0"/>
          <w:i/>
          <w:color w:val="404040"/>
          <w:sz w:val="20"/>
        </w:rPr>
        <w:t>Mass migration and natives’ health at birth: Evidence from Syrian refugee inflows to Turkey</w:t>
      </w:r>
    </w:p>
    <w:p>
      <w:r>
        <w:rPr>
          <w:rFonts w:ascii="Times New Roman" w:hAnsi="Times New Roman" w:eastAsia="宋体"/>
          <w:b w:val="0"/>
          <w:i w:val="0"/>
          <w:color w:val="595959"/>
          <w:sz w:val="18"/>
        </w:rPr>
        <w:t>Siwar Khelifa</w:t>
      </w:r>
    </w:p>
    <w:p>
      <w:r>
        <w:rPr>
          <w:rFonts w:ascii="Times New Roman" w:hAnsi="Times New Roman" w:eastAsia="宋体"/>
          <w:b w:val="0"/>
          <w:i w:val="0"/>
          <w:sz w:val="22"/>
        </w:rPr>
        <w:t>摘要：【摘译】作者以距离工具变量，评估逾三百万叙利亚难民涌入土耳其对本地人新生儿健康的影响。</w:t>
      </w:r>
    </w:p>
    <w:p>
      <w:r>
        <w:rPr>
          <w:rFonts w:ascii="Times New Roman" w:hAnsi="Times New Roman" w:eastAsia="宋体"/>
          <w:b w:val="0"/>
          <w:i w:val="0"/>
          <w:sz w:val="20"/>
        </w:rPr>
        <w:t>This study examines the effects of prenatal exposure to the sudden arrival of more than three million Syrian refugees in Turkey on natives’ health at birth. The empirical strategy exploits the geographical variation in refugee intensity across provinces and employs a distance-based instrument to address endogeneity in settlement patterns. Results show that higher refugee intensity is associated with a decrease in average birth weight and an increase in the prevalence of low birth weight, along with suggestive evidence of shorter gestational length. However, no significant relationship is found with prematurity or male-selective fetal loss. These findings suggest that the health impacts of refugee inflows on host communities may emerge earlier and be more pervasive than previously recognized.</w:t>
      </w:r>
    </w:p>
    <w:p/>
    <w:p>
      <w:r>
        <w:rPr>
          <w:rFonts w:ascii="Times New Roman" w:hAnsi="Times New Roman" w:eastAsia="黑体"/>
          <w:b/>
          <w:i w:val="0"/>
          <w:sz w:val="24"/>
        </w:rPr>
        <w:t>东欧受苏联共产主义影响对不平等与流动性的效应</w:t>
      </w:r>
    </w:p>
    <w:p>
      <w:r>
        <w:rPr>
          <w:rFonts w:ascii="Times New Roman" w:hAnsi="Times New Roman" w:eastAsia="宋体"/>
          <w:b w:val="0"/>
          <w:i/>
          <w:color w:val="404040"/>
          <w:sz w:val="20"/>
        </w:rPr>
        <w:t>The effects on inequality and mobility of exposure to Soviet Communism in Eastern Europe</w:t>
      </w:r>
    </w:p>
    <w:p>
      <w:r>
        <w:rPr>
          <w:rFonts w:ascii="Times New Roman" w:hAnsi="Times New Roman" w:eastAsia="宋体"/>
          <w:b w:val="0"/>
          <w:i w:val="0"/>
          <w:color w:val="595959"/>
          <w:sz w:val="18"/>
        </w:rPr>
        <w:t>Joan Costa-Font；Anna Nicińska；Melcior Rossello Roig</w:t>
      </w:r>
    </w:p>
    <w:p>
      <w:r>
        <w:rPr>
          <w:rFonts w:ascii="Times New Roman" w:hAnsi="Times New Roman" w:eastAsia="宋体"/>
          <w:b w:val="0"/>
          <w:i w:val="0"/>
          <w:sz w:val="22"/>
        </w:rPr>
        <w:t>摘要：【摘译】作者利用回顾性福利数据，比较受苏联共产主义统治与未受统治的欧洲国家的不平等与社会流动趋势。</w:t>
      </w:r>
    </w:p>
    <w:p>
      <w:r>
        <w:rPr>
          <w:rFonts w:ascii="Times New Roman" w:hAnsi="Times New Roman" w:eastAsia="宋体"/>
          <w:b w:val="0"/>
          <w:i w:val="0"/>
          <w:sz w:val="20"/>
        </w:rPr>
        <w:t>We compare inequality and social mobility trends in European countries exposed to Soviet Communist (SC) regimes with those not exposed, using similar welfare measures. We draw upon a rich retrospective dataset that collects relevant welfare measures across regimes including information on living space and self-reported health, and relevant inequality and mobility indices for ordinal and categorical data. Our results suggest evidence of comparable welfare inequality trends in countries exposed to SC and those unexposed. Although individuals exposed to SC enjoyed higher levels of social mobility, differences in inequality across countries exposed to different regimes were negligible. A plausible explanation lies in the countervailing role of the welfare state in countries not exposed to SC and the inefficiency of the bureaucratic allocation of private goods aimed at reducing inequality in countries exposed to SC.</w:t>
      </w:r>
    </w:p>
    <w:p/>
    <w:p>
      <w:r>
        <w:rPr>
          <w:rFonts w:ascii="Times New Roman" w:hAnsi="Times New Roman" w:eastAsia="黑体"/>
          <w:b/>
          <w:i w:val="0"/>
          <w:sz w:val="24"/>
        </w:rPr>
        <w:t>把和平带回家！政治偏袒对冲突的影响</w:t>
      </w:r>
    </w:p>
    <w:p>
      <w:r>
        <w:rPr>
          <w:rFonts w:ascii="Times New Roman" w:hAnsi="Times New Roman" w:eastAsia="宋体"/>
          <w:b w:val="0"/>
          <w:i/>
          <w:color w:val="404040"/>
          <w:sz w:val="20"/>
        </w:rPr>
        <w:t>Sending peace home! The effect of political favoritism on conflict</w:t>
      </w:r>
    </w:p>
    <w:p>
      <w:r>
        <w:rPr>
          <w:rFonts w:ascii="Times New Roman" w:hAnsi="Times New Roman" w:eastAsia="宋体"/>
          <w:b w:val="0"/>
          <w:i w:val="0"/>
          <w:color w:val="595959"/>
          <w:sz w:val="18"/>
        </w:rPr>
        <w:t>Andreas Kammerlander；Kerstin Unfried</w:t>
      </w:r>
    </w:p>
    <w:p>
      <w:r>
        <w:rPr>
          <w:rFonts w:ascii="Times New Roman" w:hAnsi="Times New Roman" w:eastAsia="宋体"/>
          <w:b w:val="0"/>
          <w:i w:val="0"/>
          <w:sz w:val="22"/>
        </w:rPr>
        <w:t>摘要：【摘译】作者利用全球样本，比较领导人所属身份群体地区与其他地区冲突概率与强度随时间的变化，评估政治偏袒与国内冲突的关系。</w:t>
      </w:r>
    </w:p>
    <w:p>
      <w:r>
        <w:rPr>
          <w:rFonts w:ascii="Times New Roman" w:hAnsi="Times New Roman" w:eastAsia="宋体"/>
          <w:b w:val="0"/>
          <w:i w:val="0"/>
          <w:sz w:val="20"/>
        </w:rPr>
        <w:t>In this paper we investigate and assess the link between political favoritism and domestic conflict. In particular, we compare the difference in the likelihood and intensity of conflict between regions in which citizens reside that belong to identity groups of political leaders and others over time in a global sample for autocracies and non-autocratic regimes.</w:t>
      </w:r>
    </w:p>
    <w:p/>
    <w:p>
      <w:r>
        <w:rPr>
          <w:rFonts w:ascii="Times New Roman" w:hAnsi="Times New Roman" w:eastAsia="黑体"/>
          <w:b/>
          <w:i w:val="0"/>
          <w:sz w:val="24"/>
        </w:rPr>
        <w:t>投入品贸易自由化对企业借贷的影响</w:t>
      </w:r>
    </w:p>
    <w:p>
      <w:r>
        <w:rPr>
          <w:rFonts w:ascii="Times New Roman" w:hAnsi="Times New Roman" w:eastAsia="宋体"/>
          <w:b w:val="0"/>
          <w:i/>
          <w:color w:val="404040"/>
          <w:sz w:val="20"/>
        </w:rPr>
        <w:t>The impact of input-trade liberalization on firms’ borrowings</w:t>
      </w:r>
    </w:p>
    <w:p>
      <w:r>
        <w:rPr>
          <w:rFonts w:ascii="Times New Roman" w:hAnsi="Times New Roman" w:eastAsia="宋体"/>
          <w:b w:val="0"/>
          <w:i w:val="0"/>
          <w:color w:val="595959"/>
          <w:sz w:val="18"/>
        </w:rPr>
        <w:t>Farida Abdelsalam；Maria Bas</w:t>
      </w:r>
    </w:p>
    <w:p>
      <w:r>
        <w:rPr>
          <w:rFonts w:ascii="Times New Roman" w:hAnsi="Times New Roman" w:eastAsia="宋体"/>
          <w:b w:val="0"/>
          <w:i w:val="0"/>
          <w:sz w:val="22"/>
        </w:rPr>
        <w:t>摘要：【摘译】作者发现投入品贸易自由化通过技术升级融资需求增加企业借贷。</w:t>
      </w:r>
    </w:p>
    <w:p>
      <w:r>
        <w:rPr>
          <w:rFonts w:ascii="Times New Roman" w:hAnsi="Times New Roman" w:eastAsia="宋体"/>
          <w:b w:val="0"/>
          <w:i w:val="0"/>
          <w:sz w:val="20"/>
        </w:rPr>
        <w:t>Trade liberalization creates incentives for firms to upgrade domestic and foreign technology, embodied in imported intermediate and capital goods, which play a central role in the economic growth of developing countries. Firms require access to financial resources to pay the fixed cost of technology upgrading and sourcing foreign inputs from abroad. This paper investigates the micro-economic effects of input-trade liberalization on firms’ demand of external finance. Relying on firm-level data during India’s trade liberalization episode in the early 1990s, we present novel evidence on the relationship between exogenous changes in input tariffs across industries over time and within-firm changes in borrowings. We demonstrate that firms sourcing inputs from abroad and producing in industries that have experienced greater input tariff reductions experienced a higher increase in borrowings. The 33 percentage points decrease in input tariffs over the period is associated with almost 13 percent increase in the borrowings of firms that source inputs from abroad. This empirical finding is robust to alternative specifications that control for alternative explanations.</w:t>
      </w:r>
    </w:p>
    <w:p/>
    <w:p>
      <w:r>
        <w:rPr>
          <w:rFonts w:ascii="Times New Roman" w:hAnsi="Times New Roman" w:eastAsia="黑体"/>
          <w:b/>
          <w:i w:val="0"/>
          <w:sz w:val="24"/>
        </w:rPr>
        <w:t>关税与增长：按经济结构区分的异质性</w:t>
      </w:r>
    </w:p>
    <w:p>
      <w:r>
        <w:rPr>
          <w:rFonts w:ascii="Times New Roman" w:hAnsi="Times New Roman" w:eastAsia="宋体"/>
          <w:b w:val="0"/>
          <w:i/>
          <w:color w:val="404040"/>
          <w:sz w:val="20"/>
        </w:rPr>
        <w:t>Tariffs and growth: Heterogeneity by economic structure</w:t>
      </w:r>
    </w:p>
    <w:p>
      <w:r>
        <w:rPr>
          <w:rFonts w:ascii="Times New Roman" w:hAnsi="Times New Roman" w:eastAsia="宋体"/>
          <w:b w:val="0"/>
          <w:i w:val="0"/>
          <w:color w:val="595959"/>
          <w:sz w:val="18"/>
        </w:rPr>
        <w:t>Mateo Hoyos</w:t>
      </w:r>
    </w:p>
    <w:p>
      <w:r>
        <w:rPr>
          <w:rFonts w:ascii="Times New Roman" w:hAnsi="Times New Roman" w:eastAsia="宋体"/>
          <w:b w:val="0"/>
          <w:i w:val="0"/>
          <w:sz w:val="22"/>
        </w:rPr>
        <w:t>摘要：【摘译】作者以161国1960—2019年面板，发现关税削减与中期增长的关系因经济结构而显著不同。</w:t>
      </w:r>
    </w:p>
    <w:p>
      <w:r>
        <w:rPr>
          <w:rFonts w:ascii="Times New Roman" w:hAnsi="Times New Roman" w:eastAsia="宋体"/>
          <w:b w:val="0"/>
          <w:i w:val="0"/>
          <w:sz w:val="20"/>
        </w:rPr>
        <w:t>This paper provides novel empirical evidence that the medium-term relationship between trade liberalization and growth varies substantially with countries’ economic structure. Using a multi-method strategy, I examine per capita income dynamics after tariff reductions in a panel of 161 countries from 1960 to 2019. Baseline local projections reveal a sharp divergence: GDP per capita rises in manufacturer countries following tariff reductions, and notably falls in nonmanufacturers. A local projections difference-in-differences framework strengthens the analysis by accounting for treatment effect heterogeneity and variation in treatment timing. Finally, I study tariff reductions during the WTO-era reform period (1986 to 1994), a policy episode that historical evidence supports as plausibly exogenous, providing complementary evidence that confirms the observed heterogeneity. An exploration of mechanisms using local projections links these patterns to shifts in productivity, capital stocks, and manufacturing shares in GDP, consistent with theoretical expectations. The findings suggest that rising protectionism in manufacturer countries may be harmful, while further liberalization in nonmanufacturers could have unintended consequences.</w:t>
      </w:r>
    </w:p>
    <w:p/>
    <w:p>
      <w:r>
        <w:rPr>
          <w:rFonts w:ascii="Times New Roman" w:hAnsi="Times New Roman" w:eastAsia="黑体"/>
          <w:b/>
          <w:i w:val="0"/>
          <w:sz w:val="24"/>
        </w:rPr>
        <w:t>贸易开放对金融发展的分配后果</w:t>
      </w:r>
    </w:p>
    <w:p>
      <w:r>
        <w:rPr>
          <w:rFonts w:ascii="Times New Roman" w:hAnsi="Times New Roman" w:eastAsia="宋体"/>
          <w:b w:val="0"/>
          <w:i/>
          <w:color w:val="404040"/>
          <w:sz w:val="20"/>
        </w:rPr>
        <w:t>The distributional consequences of trade openness on financial development</w:t>
      </w:r>
    </w:p>
    <w:p>
      <w:r>
        <w:rPr>
          <w:rFonts w:ascii="Times New Roman" w:hAnsi="Times New Roman" w:eastAsia="宋体"/>
          <w:b w:val="0"/>
          <w:i w:val="0"/>
          <w:color w:val="595959"/>
          <w:sz w:val="18"/>
        </w:rPr>
        <w:t>Dong-Hyeon Kim；Shu-Chin Lin；Peiyao Liu</w:t>
      </w:r>
    </w:p>
    <w:p>
      <w:r>
        <w:rPr>
          <w:rFonts w:ascii="Times New Roman" w:hAnsi="Times New Roman" w:eastAsia="宋体"/>
          <w:b w:val="0"/>
          <w:i w:val="0"/>
          <w:sz w:val="22"/>
        </w:rPr>
        <w:t>摘要：【摘译】作者认为贸易开放通过竞争强化制度，推动金融发展从富人特权转向更广泛的普惠。</w:t>
      </w:r>
    </w:p>
    <w:p>
      <w:r>
        <w:rPr>
          <w:rFonts w:ascii="Times New Roman" w:hAnsi="Times New Roman" w:eastAsia="宋体"/>
          <w:b w:val="0"/>
          <w:i w:val="0"/>
          <w:sz w:val="20"/>
        </w:rPr>
        <w:t>Financial development occurs at either the intensive or extensive margin, depending on institutional quality. Weak institutions favor the wealthy with privileged financial access. Trade openness fosters competition and strengthens institutions, improving financial development at the extensive margin, which broadens financial access and helps reduce inequality. This paper provides robust empirical evidence to support the argument. Using dynamic panel estimation techniques on a sample consisting of both developed and developing countries, the analysis finds that financial development generally exacerbates income and wealth inequality. However, when trade openness exceeds a certain threshold, financial development can even reverse these negative trends. These findings highlight that trade openness is essential to ensure financial development promotes more equitable income and wealth distribution.</w:t>
      </w:r>
    </w:p>
    <w:p/>
    <w:p>
      <w:r>
        <w:rPr>
          <w:rFonts w:ascii="Times New Roman" w:hAnsi="Times New Roman" w:eastAsia="黑体"/>
          <w:b/>
          <w:i w:val="0"/>
          <w:sz w:val="24"/>
        </w:rPr>
        <w:t>中小学生在线教育的学业与健康结果：来自新冠疫情的证据</w:t>
      </w:r>
    </w:p>
    <w:p>
      <w:r>
        <w:rPr>
          <w:rFonts w:ascii="Times New Roman" w:hAnsi="Times New Roman" w:eastAsia="宋体"/>
          <w:b w:val="0"/>
          <w:i/>
          <w:color w:val="404040"/>
          <w:sz w:val="20"/>
        </w:rPr>
        <w:t>Academic and health outcomes of online education for primary and secondary students: Evidence from COVID-19</w:t>
      </w:r>
    </w:p>
    <w:p>
      <w:r>
        <w:rPr>
          <w:rFonts w:ascii="Times New Roman" w:hAnsi="Times New Roman" w:eastAsia="宋体"/>
          <w:b w:val="0"/>
          <w:i w:val="0"/>
          <w:color w:val="595959"/>
          <w:sz w:val="18"/>
        </w:rPr>
        <w:t>Yueqin Wang；Chuanchuan Zhang；Junsen Zhang</w:t>
      </w:r>
    </w:p>
    <w:p>
      <w:r>
        <w:rPr>
          <w:rFonts w:ascii="Times New Roman" w:hAnsi="Times New Roman" w:eastAsia="宋体"/>
          <w:b w:val="0"/>
          <w:i w:val="0"/>
          <w:sz w:val="22"/>
        </w:rPr>
        <w:t>摘要：【摘译】作者借新冠疫情评估中国中小学在线教育对学业与健康的影响。</w:t>
      </w:r>
    </w:p>
    <w:p>
      <w:r>
        <w:rPr>
          <w:rFonts w:ascii="Times New Roman" w:hAnsi="Times New Roman" w:eastAsia="宋体"/>
          <w:b w:val="0"/>
          <w:i w:val="0"/>
          <w:sz w:val="20"/>
        </w:rPr>
        <w:t>Online education is rapidly expanding due to technological advancements and increased demand for quality education. However, its effectiveness and impact on student behavior are not well understood. The COVID-19 pandemic has accelerated online education and offered a unique opportunity to evaluate its effects. Using nationwide longitudinal survey data from China, we find that online education during the pandemic significantly diminished academic performance and worsened mental health outcomes, including increased depressive symptoms and decreased well-being. Our analysis explores four behavioral mechanisms: interpersonal needs and relationships, parent-child interactions, teacher-student dynamics, and time allocation. We demonstrate that online education reduces effective peer interaction, deteriorates self-reported interpersonal and familial relationships, and leads to inefficient time allocation. Students also substantially increased their entertainment internet use, including video watching and gaming. These factors contributed to declines in academic performance and mental health. Our findings underscore the critical role of social networks and time allocation in maximizing the benefits of online education.</w:t>
      </w:r>
    </w:p>
    <w:p/>
    <w:p>
      <w:r>
        <w:rPr>
          <w:rFonts w:ascii="Times New Roman" w:hAnsi="Times New Roman" w:eastAsia="黑体"/>
          <w:b/>
          <w:i w:val="0"/>
          <w:sz w:val="24"/>
        </w:rPr>
        <w:t>教育、意愿生育率与艾滋病：来自中国义务教育法的证据</w:t>
      </w:r>
    </w:p>
    <w:p>
      <w:r>
        <w:rPr>
          <w:rFonts w:ascii="Times New Roman" w:hAnsi="Times New Roman" w:eastAsia="宋体"/>
          <w:b w:val="0"/>
          <w:i/>
          <w:color w:val="404040"/>
          <w:sz w:val="20"/>
        </w:rPr>
        <w:t>Education, desired fertility, and HIV/AIDS: Evidence from China’s compulsory schooling law</w:t>
      </w:r>
    </w:p>
    <w:p>
      <w:r>
        <w:rPr>
          <w:rFonts w:ascii="Times New Roman" w:hAnsi="Times New Roman" w:eastAsia="宋体"/>
          <w:b w:val="0"/>
          <w:i w:val="0"/>
          <w:color w:val="595959"/>
          <w:sz w:val="18"/>
        </w:rPr>
        <w:t>Xiaoyan Lei；Guangjun Shen；Ang Sun；Wang Xiang；Huili Zhang</w:t>
      </w:r>
    </w:p>
    <w:p>
      <w:r>
        <w:rPr>
          <w:rFonts w:ascii="Times New Roman" w:hAnsi="Times New Roman" w:eastAsia="宋体"/>
          <w:b w:val="0"/>
          <w:i w:val="0"/>
          <w:sz w:val="22"/>
        </w:rPr>
        <w:t>摘要：【摘译】作者以中国义务教育法为准自然实验，发现教育提高了艾滋病知识并降低感染。</w:t>
      </w:r>
    </w:p>
    <w:p>
      <w:r>
        <w:rPr>
          <w:rFonts w:ascii="Times New Roman" w:hAnsi="Times New Roman" w:eastAsia="宋体"/>
          <w:b w:val="0"/>
          <w:i w:val="0"/>
          <w:sz w:val="20"/>
        </w:rPr>
        <w:t>We investigate the impact of education on stemming human immunodeficiency virus/acquired immunodeficiency syndrome (HIV/AIDS) infection. Using China’s Compulsory Schooling Law (CSL) as a quasi-natural experiment, we find that mass education significantly enhances knowledge about HIV/AIDS, and that each additional year of exposure to the CSL reduces HIV/AIDS contraction and mortality rates by 6.51 % and 2.15 %, respectively. Further analyses suggest that these reductions are primarily driven by a reduction in blood-borne transmission. In contrast, the effect of CSL on sexual transmission is ambiguous. Drawing on detailed data on individuals’ sexual behaviors and attitudes toward sex and fertility, we find that the CSL significantly lowers women’s desired fertility without affecting that of men. Consequently, women become the more active contraception seekers within households, leading to a substitution of female-controlled contraceptive methods for condoms. This behavioral shift may increase the risk of sexually transmitted infections, potentially offsetting or even muting the CSL’s positive effect on reducing the sexual transmission of HIV/AIDS.</w:t>
      </w:r>
    </w:p>
    <w:p/>
    <w:p>
      <w:r>
        <w:rPr>
          <w:rFonts w:ascii="Times New Roman" w:hAnsi="Times New Roman" w:eastAsia="黑体"/>
          <w:b/>
          <w:i w:val="0"/>
          <w:sz w:val="24"/>
        </w:rPr>
        <w:t>女性政治参与对“消失的女性”的影响：来自2011—2014年埃及抗议的证据</w:t>
      </w:r>
    </w:p>
    <w:p>
      <w:r>
        <w:rPr>
          <w:rFonts w:ascii="Times New Roman" w:hAnsi="Times New Roman" w:eastAsia="宋体"/>
          <w:b w:val="0"/>
          <w:i/>
          <w:color w:val="404040"/>
          <w:sz w:val="20"/>
        </w:rPr>
        <w:t>The effects of female political participation on missing women: Evidence from the Egyptian protests of 2011–2014</w:t>
      </w:r>
    </w:p>
    <w:p>
      <w:r>
        <w:rPr>
          <w:rFonts w:ascii="Times New Roman" w:hAnsi="Times New Roman" w:eastAsia="宋体"/>
          <w:b w:val="0"/>
          <w:i w:val="0"/>
          <w:color w:val="595959"/>
          <w:sz w:val="18"/>
        </w:rPr>
        <w:t>Firat Demir；Pallab Ghosh；Zhengang Xu</w:t>
      </w:r>
    </w:p>
    <w:p>
      <w:r>
        <w:rPr>
          <w:rFonts w:ascii="Times New Roman" w:hAnsi="Times New Roman" w:eastAsia="宋体"/>
          <w:b w:val="0"/>
          <w:i w:val="0"/>
          <w:sz w:val="22"/>
        </w:rPr>
        <w:t>摘要：【摘译】作者研究埃及革命期间的抗议对“消失的女性”的影响。</w:t>
      </w:r>
    </w:p>
    <w:p>
      <w:r>
        <w:rPr>
          <w:rFonts w:ascii="Times New Roman" w:hAnsi="Times New Roman" w:eastAsia="宋体"/>
          <w:b w:val="0"/>
          <w:i w:val="0"/>
          <w:sz w:val="20"/>
        </w:rPr>
        <w:t>This paper examines the effects of political protests during the Egyptian revolution between 2011 and 2014 on “missing women” in Egypt. The term “missing women” refers to the number of women missing in population because of sex-selective abortions, excess female mortality and lower survival rates caused by gender discrimination, infanticide, neglect, malnutrition, domestic violence, unequal healthcare access and provision, and poor treatment. We hypothesize that increased female participation in these protests improved women’s empowerment and helped reduce missing women. Using a difference-in-differences analysis, our identification strategy is based on protest intensity heterogeneity, and changes in missing women for the age group of [0–1] before and after the protests across different governorates in urban and rural areas. We find convincing causal evidence that the number of missing women decreased significantly in high protest intensity governorates. Based on protest heterogeneity across different periods, we also show that this effect was most visible after the fourth and final phase of protests. As for possible channels, we find that domestic violence during pregnancy incidence fell significantly in treatment areas, while both relative vaccination rate of girls aged [0–1] as well as women’s empowerment increased significantly.</w:t>
      </w:r>
    </w:p>
    <w:p/>
    <w:p>
      <w:r>
        <w:rPr>
          <w:rFonts w:ascii="Times New Roman" w:hAnsi="Times New Roman" w:eastAsia="黑体"/>
          <w:b/>
          <w:i w:val="0"/>
          <w:sz w:val="24"/>
        </w:rPr>
        <w:t>宪法、教育与性别规范变迁：来自哥伦比亚的证据</w:t>
      </w:r>
    </w:p>
    <w:p>
      <w:r>
        <w:rPr>
          <w:rFonts w:ascii="Times New Roman" w:hAnsi="Times New Roman" w:eastAsia="宋体"/>
          <w:b w:val="0"/>
          <w:i/>
          <w:color w:val="404040"/>
          <w:sz w:val="20"/>
        </w:rPr>
        <w:t>Constitutions, education and gender norms change: Evidence from Colombia</w:t>
      </w:r>
    </w:p>
    <w:p>
      <w:r>
        <w:rPr>
          <w:rFonts w:ascii="Times New Roman" w:hAnsi="Times New Roman" w:eastAsia="宋体"/>
          <w:b w:val="0"/>
          <w:i w:val="0"/>
          <w:color w:val="595959"/>
          <w:sz w:val="18"/>
        </w:rPr>
        <w:t>Hector Galindo-Silva；Paula Herrera-Idárraga</w:t>
      </w:r>
    </w:p>
    <w:p>
      <w:r>
        <w:rPr>
          <w:rFonts w:ascii="Times New Roman" w:hAnsi="Times New Roman" w:eastAsia="宋体"/>
          <w:b w:val="0"/>
          <w:i w:val="0"/>
          <w:sz w:val="22"/>
        </w:rPr>
        <w:t>摘要：【摘译】作者以DID发现接受1991年哥伦比亚宪法必修课的群体性别平等观念更强。</w:t>
      </w:r>
    </w:p>
    <w:p>
      <w:r>
        <w:rPr>
          <w:rFonts w:ascii="Times New Roman" w:hAnsi="Times New Roman" w:eastAsia="宋体"/>
          <w:b w:val="0"/>
          <w:i w:val="0"/>
          <w:sz w:val="20"/>
        </w:rPr>
        <w:t>How do gender norms change? This paper provides evidence that exposure to mandatory high school courses on the 1991 Colombian Constitution—which incorporated principles of gender equality—significantly influenced attitudes toward gender roles. Using a difference-in-differences framework, we compare individuals who were exposed to these courses with those who were not. The results show that constitutional education increased support for gender equality, particularly among men. The effect is stronger when a younger woman is present in the household, suggesting a possible motivation to support the empowerment of younger female relatives. We also document important gender differences in how these shifts manifest within households: women exposed to the courses were more likely to reject the idea that men should be the head of the household, whereas men’s views on intra-household roles remained largely unchanged. This contrast points to persistent resistance to gender norm change within the private sphere, even as broader attitudes become more egalitarian. Taken together, the findings underscore the role of institutional and cultural change—through constitutional reform and civic education—in fostering more egalitarian gender norms, while also highlighting the complexity of such transformations.</w:t>
      </w:r>
    </w:p>
    <w:p/>
    <w:p>
      <w:r>
        <w:rPr>
          <w:rFonts w:ascii="Times New Roman" w:hAnsi="Times New Roman" w:eastAsia="黑体"/>
          <w:b/>
          <w:i w:val="0"/>
          <w:sz w:val="24"/>
        </w:rPr>
        <w:t>中国共产党如何吸纳民营部门？</w:t>
      </w:r>
    </w:p>
    <w:p>
      <w:r>
        <w:rPr>
          <w:rFonts w:ascii="Times New Roman" w:hAnsi="Times New Roman" w:eastAsia="宋体"/>
          <w:b w:val="0"/>
          <w:i/>
          <w:color w:val="404040"/>
          <w:sz w:val="20"/>
        </w:rPr>
        <w:t>How does the Chinese communist party embrace the private sector?</w:t>
      </w:r>
    </w:p>
    <w:p>
      <w:r>
        <w:rPr>
          <w:rFonts w:ascii="Times New Roman" w:hAnsi="Times New Roman" w:eastAsia="宋体"/>
          <w:b w:val="0"/>
          <w:i w:val="0"/>
          <w:color w:val="595959"/>
          <w:sz w:val="18"/>
        </w:rPr>
        <w:t>Kun Jiang；Frank M. Song；Peng Zhou</w:t>
      </w:r>
    </w:p>
    <w:p>
      <w:r>
        <w:rPr>
          <w:rFonts w:ascii="Times New Roman" w:hAnsi="Times New Roman" w:eastAsia="宋体"/>
          <w:b w:val="0"/>
          <w:i w:val="0"/>
          <w:sz w:val="22"/>
        </w:rPr>
        <w:t>摘要：民营企业扩张给中国共产党在民营部门的领导带来新的动态。利用2006—2016年17681家民营企业数据，本研究考察党如何通过在企业内设立基层党支部强化存在。研究发现，设有党支部的民营企业获得可观的金融支持，同时并未面临更多政府攫取，这增强了党支部对企业家的吸引力。在民营经济占比大、企业家精神活跃的地区，党支部的作用更大。党支部还引导民企投向社会回报更高的项目，可能挪用其主营业务资源；这种资源再配置提升了面临融资约束的民企绩效。</w:t>
      </w:r>
    </w:p>
    <w:p>
      <w:r>
        <w:rPr>
          <w:rFonts w:ascii="Times New Roman" w:hAnsi="Times New Roman" w:eastAsia="宋体"/>
          <w:b w:val="0"/>
          <w:i w:val="0"/>
          <w:sz w:val="20"/>
        </w:rPr>
        <w:t>The expansion of private firms presents new dynamics for the leadership of the Chinese Communist Party (CCP) in the private sector. Utilizing data from 17,681 private firms spanning from 2006 to 2016, this study examines how the CCP reinforces its presence in the private sector by the extension of grassroots party branches into private firms. Our findings suggest that private firms with in-house party branches receive considerable financial support without facing increased government expropriation, which enhances the appeal of such branches to entrepreneurs. Furthermore, the presence of party branches has a greater impact in regions where the private sector plays a larger role and entrepreneurship is flourishing. We also find that in-house party branches tend to steer private firms to investments that generate higher social returns, potentially diverting resources away from their ongoing business activities. Such resource reallocation enhances the performance of private firms facing financing constraints.</w:t>
      </w:r>
    </w:p>
    <w:p/>
    <w:p>
      <w:r>
        <w:rPr>
          <w:rFonts w:ascii="Times New Roman" w:hAnsi="Times New Roman" w:eastAsia="黑体"/>
          <w:b/>
          <w:i w:val="0"/>
          <w:sz w:val="24"/>
        </w:rPr>
        <w:t>出口扩张、外部融资需求与地区金融发展：来自中国的证据</w:t>
      </w:r>
    </w:p>
    <w:p>
      <w:r>
        <w:rPr>
          <w:rFonts w:ascii="Times New Roman" w:hAnsi="Times New Roman" w:eastAsia="宋体"/>
          <w:b w:val="0"/>
          <w:i/>
          <w:color w:val="404040"/>
          <w:sz w:val="20"/>
        </w:rPr>
        <w:t>Export expansion, demand for external finance, and regional financial development: Evidence from China</w:t>
      </w:r>
    </w:p>
    <w:p>
      <w:r>
        <w:rPr>
          <w:rFonts w:ascii="Times New Roman" w:hAnsi="Times New Roman" w:eastAsia="宋体"/>
          <w:b w:val="0"/>
          <w:i w:val="0"/>
          <w:color w:val="595959"/>
          <w:sz w:val="18"/>
        </w:rPr>
        <w:t>Dahai Fu；Yi Lu；Shufei Wang</w:t>
      </w:r>
    </w:p>
    <w:p>
      <w:r>
        <w:rPr>
          <w:rFonts w:ascii="Times New Roman" w:hAnsi="Times New Roman" w:eastAsia="宋体"/>
          <w:b w:val="0"/>
          <w:i w:val="0"/>
          <w:sz w:val="22"/>
        </w:rPr>
        <w:t>摘要：【摘译】作者将地区出口冲击分解为高、低外部融资依赖两部分，发现前者促进而后者抑制金融发展；中国多数地区专业化于低依赖行业，因而出口扩张未带动金融发展。</w:t>
      </w:r>
    </w:p>
    <w:p>
      <w:r>
        <w:rPr>
          <w:rFonts w:ascii="Times New Roman" w:hAnsi="Times New Roman" w:eastAsia="宋体"/>
          <w:b w:val="0"/>
          <w:i w:val="0"/>
          <w:sz w:val="20"/>
        </w:rPr>
        <w:t>Why did China’s export boom not boost its financial development? This paper offers a novel explanation from a regional perspective. We leverage variations in industries’ external finance dependence (EFD) and decompose a region’s export shock into two additive subcomponents: high-EFD and low-EFD export shocks. Our findings reveal that the export expansion of high-EFD industries significantly enhances financial development, while that of low-EFD industries diminishes it. Therefore, the lack of response in China’s financial development to its export expansion stems from the prevalence of regions specializing in low-EFD industries. Our study highlights the importance of accounting for industry-specific variations in external finance dependence when analyzing the demand effects of regional export expansion.</w:t>
      </w:r>
    </w:p>
    <w:p/>
    <w:p>
      <w:r>
        <w:rPr>
          <w:rFonts w:ascii="Times New Roman" w:hAnsi="Times New Roman" w:eastAsia="黑体"/>
          <w:b/>
          <w:i w:val="0"/>
          <w:sz w:val="24"/>
        </w:rPr>
        <w:t>贸易自由化与性别动态：政策不确定性对中国出生性别比的影响</w:t>
      </w:r>
    </w:p>
    <w:p>
      <w:r>
        <w:rPr>
          <w:rFonts w:ascii="Times New Roman" w:hAnsi="Times New Roman" w:eastAsia="宋体"/>
          <w:b w:val="0"/>
          <w:i/>
          <w:color w:val="404040"/>
          <w:sz w:val="20"/>
        </w:rPr>
        <w:t>Trade liberalization and gender dynamics: The impact of policy uncertainty on sex ratios at birth in China</w:t>
      </w:r>
    </w:p>
    <w:p>
      <w:r>
        <w:rPr>
          <w:rFonts w:ascii="Times New Roman" w:hAnsi="Times New Roman" w:eastAsia="宋体"/>
          <w:b w:val="0"/>
          <w:i w:val="0"/>
          <w:color w:val="595959"/>
          <w:sz w:val="18"/>
        </w:rPr>
        <w:t>Fan He；Wei Huang；Tim F. Liao；Yuanyuan Ma</w:t>
      </w:r>
    </w:p>
    <w:p>
      <w:r>
        <w:rPr>
          <w:rFonts w:ascii="Times New Roman" w:hAnsi="Times New Roman" w:eastAsia="宋体"/>
          <w:b w:val="0"/>
          <w:i w:val="0"/>
          <w:sz w:val="22"/>
        </w:rPr>
        <w:t>摘要：【摘译】作者结合普查与调查数据，发现贸易政策不确定性下降对中国出生性别失衡有关键影响。</w:t>
      </w:r>
    </w:p>
    <w:p>
      <w:r>
        <w:rPr>
          <w:rFonts w:ascii="Times New Roman" w:hAnsi="Times New Roman" w:eastAsia="宋体"/>
          <w:b w:val="0"/>
          <w:i w:val="0"/>
          <w:sz w:val="20"/>
        </w:rPr>
        <w:t>This paper investigates how trade liberalization affects gender imbalance at birth in China. By combining Census data with household and firm survey data as well as regional data and employing the linear probability difference-in-differences method, we provide evidence for the pivotal role of declining trade policy uncertainty in reducing the sex ratio at birth in China since the establishment of permanent normal trade relations between China and the United States in 2002. Our results show that a one standard deviation decline in trade policy uncertainty leads to a decline of 11.7% in the sex ratio of second births when the first child is a girl in rural households in China. This decline accounts for approximately 60% of the overall reduction in the sex ratio for this type of birth during this period, a period prior to the ease of China’s one-child policy. More importantly, further analyses reveal that enhanced female bargaining power and cultural diffusion are two critical mechanisms. Our research fills an important gap in the literature by providing a perspective to the understanding of the alleviation of gender imbalance, and our findings have direct relevance for international trade governance and national population policies.</w:t>
      </w:r>
    </w:p>
    <w:p/>
    <w:p>
      <w:r>
        <w:rPr>
          <w:rFonts w:ascii="Times New Roman" w:hAnsi="Times New Roman" w:eastAsia="黑体"/>
          <w:b/>
          <w:i w:val="0"/>
          <w:sz w:val="24"/>
        </w:rPr>
        <w:t>教育政策对犯罪的长期与异质性影响</w:t>
      </w:r>
    </w:p>
    <w:p>
      <w:r>
        <w:rPr>
          <w:rFonts w:ascii="Times New Roman" w:hAnsi="Times New Roman" w:eastAsia="宋体"/>
          <w:b w:val="0"/>
          <w:i/>
          <w:color w:val="404040"/>
          <w:sz w:val="20"/>
        </w:rPr>
        <w:t>The long-run and heterogeneous impact of educational policy on crime</w:t>
      </w:r>
    </w:p>
    <w:p>
      <w:r>
        <w:rPr>
          <w:rFonts w:ascii="Times New Roman" w:hAnsi="Times New Roman" w:eastAsia="宋体"/>
          <w:b w:val="0"/>
          <w:i w:val="0"/>
          <w:color w:val="595959"/>
          <w:sz w:val="18"/>
        </w:rPr>
        <w:t>Yu Bai；Yanjun Li；Xinyan Liu；Ryuichi Tanaka</w:t>
      </w:r>
    </w:p>
    <w:p>
      <w:r>
        <w:rPr>
          <w:rFonts w:ascii="Times New Roman" w:hAnsi="Times New Roman" w:eastAsia="宋体"/>
          <w:b w:val="0"/>
          <w:i w:val="0"/>
          <w:sz w:val="22"/>
        </w:rPr>
        <w:t>摘要：【摘译】作者利用中国义务教育法交错实施与裁判文书网数据，发现义务教育对财产犯罪有长期异质性影响。</w:t>
      </w:r>
    </w:p>
    <w:p>
      <w:r>
        <w:rPr>
          <w:rFonts w:ascii="Times New Roman" w:hAnsi="Times New Roman" w:eastAsia="宋体"/>
          <w:b w:val="0"/>
          <w:i w:val="0"/>
          <w:sz w:val="20"/>
        </w:rPr>
        <w:t>This study investigates the heterogeneous long-term effects of compulsory education on property crime by exploiting the staggered implementation of China’s Compulsory Schooling Law (CSL) as a natural experiment. Using a novel panel dataset of criminal court verdicts from the China Judgments Online platform, we find that CSL significantly increased educational attainment and reduced property crime rates in affected cohorts. This reduction is concentrated in low-skill theft crimes, with no significant effect on high-skill fraud crimes, suggesting that basic education primarily deters entry-level criminal activity. These results suggest that displacement effects may play a role, highlighting the importance of considering the differential reach of education policies, such as basic compulsory schooling versus higher education expansions, when designing crime prevention strategies.</w:t>
      </w:r>
    </w:p>
    <w:p/>
    <w:p>
      <w:r>
        <w:rPr>
          <w:rFonts w:ascii="Times New Roman" w:hAnsi="Times New Roman" w:eastAsia="宋体"/>
          <w:b/>
          <w:i w:val="0"/>
          <w:sz w:val="22"/>
        </w:rPr>
        <w:t>JCE： Vol. 53, No. 4, 2025</w:t>
      </w:r>
    </w:p>
    <w:p/>
    <w:p>
      <w:r>
        <w:rPr>
          <w:rFonts w:ascii="Times New Roman" w:hAnsi="Times New Roman" w:eastAsia="黑体"/>
          <w:b/>
          <w:i w:val="0"/>
          <w:sz w:val="24"/>
        </w:rPr>
        <w:t>工业化是否增加了对激进左翼的支持？来自1917年俄国革命的证据</w:t>
      </w:r>
    </w:p>
    <w:p>
      <w:r>
        <w:rPr>
          <w:rFonts w:ascii="Times New Roman" w:hAnsi="Times New Roman" w:eastAsia="宋体"/>
          <w:b w:val="0"/>
          <w:i/>
          <w:color w:val="404040"/>
          <w:sz w:val="20"/>
        </w:rPr>
        <w:t>Did Industrialization increase support for the radical left? Evidence from the 1917 Russian revolution</w:t>
      </w:r>
    </w:p>
    <w:p>
      <w:r>
        <w:rPr>
          <w:rFonts w:ascii="Times New Roman" w:hAnsi="Times New Roman" w:eastAsia="宋体"/>
          <w:b w:val="0"/>
          <w:i w:val="0"/>
          <w:color w:val="595959"/>
          <w:sz w:val="18"/>
        </w:rPr>
        <w:t>Paul Castañeda Dower；Andrei Markevich</w:t>
      </w:r>
    </w:p>
    <w:p>
      <w:r>
        <w:rPr>
          <w:rFonts w:ascii="Times New Roman" w:hAnsi="Times New Roman" w:eastAsia="宋体"/>
          <w:b w:val="0"/>
          <w:i w:val="0"/>
          <w:sz w:val="22"/>
        </w:rPr>
        <w:t>摘要：【摘译】作者利用1917年俄国立宪会议选举与基于地理距离的工具变量，估计后发工业化对选民激进化的效应。</w:t>
      </w:r>
    </w:p>
    <w:p>
      <w:r>
        <w:rPr>
          <w:rFonts w:ascii="Times New Roman" w:hAnsi="Times New Roman" w:eastAsia="宋体"/>
          <w:b w:val="0"/>
          <w:i w:val="0"/>
          <w:sz w:val="20"/>
        </w:rPr>
        <w:t>We analyze the 1917 Constituent Assembly elections – the only free universal elections in Russia before the 1990s – to estimate the effect of industrialization on the radicalization of the electorate in a late industrializing economy. Our empirical strategy exploits IV estimation based on the proximity of Carboniferous strata and other initial conditions of industrialization. We find that a larger share of industrial workers increases voting for the radical left, and the effect is stronger in places that exhibited more pronounced features of late industrialization. We also show that industrialization increases electoral polarization rather than simply shifting the electorate to the left.</w:t>
      </w:r>
    </w:p>
    <w:p/>
    <w:p>
      <w:r>
        <w:rPr>
          <w:rFonts w:ascii="Times New Roman" w:hAnsi="Times New Roman" w:eastAsia="黑体"/>
          <w:b/>
          <w:i w:val="0"/>
          <w:sz w:val="24"/>
        </w:rPr>
        <w:t>同步选举强化政党显著性：来自分权民主国家的证据</w:t>
      </w:r>
    </w:p>
    <w:p>
      <w:r>
        <w:rPr>
          <w:rFonts w:ascii="Times New Roman" w:hAnsi="Times New Roman" w:eastAsia="宋体"/>
          <w:b w:val="0"/>
          <w:i/>
          <w:color w:val="404040"/>
          <w:sz w:val="20"/>
        </w:rPr>
        <w:t>Synchronized elections strengthen party salience: Evidence from a decentralized democracy</w:t>
      </w:r>
    </w:p>
    <w:p>
      <w:r>
        <w:rPr>
          <w:rFonts w:ascii="Times New Roman" w:hAnsi="Times New Roman" w:eastAsia="宋体"/>
          <w:b w:val="0"/>
          <w:i w:val="0"/>
          <w:color w:val="595959"/>
          <w:sz w:val="18"/>
        </w:rPr>
        <w:t>Vimal Balasubramaniam；Apurav Yash Bhatiya；Sabyasachi Das</w:t>
      </w:r>
    </w:p>
    <w:p>
      <w:r>
        <w:rPr>
          <w:rFonts w:ascii="Times New Roman" w:hAnsi="Times New Roman" w:eastAsia="宋体"/>
          <w:b w:val="0"/>
          <w:i w:val="0"/>
          <w:sz w:val="22"/>
        </w:rPr>
        <w:t>摘要：【摘译】作者利用印度国家与邦选举时间的变化，发现同步选举强化政党显著性，使投票更趋一致。</w:t>
      </w:r>
    </w:p>
    <w:p>
      <w:r>
        <w:rPr>
          <w:rFonts w:ascii="Times New Roman" w:hAnsi="Times New Roman" w:eastAsia="宋体"/>
          <w:b w:val="0"/>
          <w:i w:val="0"/>
          <w:sz w:val="20"/>
        </w:rPr>
        <w:t>Voters participate in multiple elections across governance tiers, often on the same day. We investigate how synchronizing two salient elections influences voter behavior and electoral outcomes, leveraging variation in the timing of national and state elections in India. We find that synchronized elections, compared to closely timed but asynchronous elections, increase political parties’ salience among voters, boosting straight-ticket voting with a small increase in turnout. These effects result in a 21% higher probability of the same political party winning across tiers, without altering candidate composition. While synchronization significantly influences state government formation, it does not affect development outcomes. We provide suggestive evidence that voters’ cognitive constraints and increased party campaigning are likely mechanisms. A synchronized election design in decentralized democracies like India can therefore affect the relative importance of parties vis-a-vis candidates during elections and potentially shape the nature of political decentralization.</w:t>
      </w:r>
    </w:p>
    <w:p/>
    <w:p>
      <w:r>
        <w:rPr>
          <w:rFonts w:ascii="Times New Roman" w:hAnsi="Times New Roman" w:eastAsia="黑体"/>
          <w:b/>
          <w:i w:val="0"/>
          <w:sz w:val="24"/>
        </w:rPr>
        <w:t>早年创伤暴露的代际影响：母亲经历朝鲜战争与风险规避</w:t>
      </w:r>
    </w:p>
    <w:p>
      <w:r>
        <w:rPr>
          <w:rFonts w:ascii="Times New Roman" w:hAnsi="Times New Roman" w:eastAsia="宋体"/>
          <w:b w:val="0"/>
          <w:i/>
          <w:color w:val="404040"/>
          <w:sz w:val="20"/>
        </w:rPr>
        <w:t>Intergenerational impact of early life exposure to trauma: Maternal exposure to the Korean War and risk aversion</w:t>
      </w:r>
    </w:p>
    <w:p>
      <w:r>
        <w:rPr>
          <w:rFonts w:ascii="Times New Roman" w:hAnsi="Times New Roman" w:eastAsia="宋体"/>
          <w:b w:val="0"/>
          <w:i w:val="0"/>
          <w:color w:val="595959"/>
          <w:sz w:val="18"/>
        </w:rPr>
        <w:t>Young-Il Albert Kim；Dongyoung Kim</w:t>
      </w:r>
    </w:p>
    <w:p>
      <w:r>
        <w:rPr>
          <w:rFonts w:ascii="Times New Roman" w:hAnsi="Times New Roman" w:eastAsia="宋体"/>
          <w:b w:val="0"/>
          <w:i w:val="0"/>
          <w:sz w:val="22"/>
        </w:rPr>
        <w:t>摘要：【摘译】作者发现朝鲜战争暴露只使母亲更规避风险，其子女风险偏好受到显著代际影响。</w:t>
      </w:r>
    </w:p>
    <w:p>
      <w:r>
        <w:rPr>
          <w:rFonts w:ascii="Times New Roman" w:hAnsi="Times New Roman" w:eastAsia="宋体"/>
          <w:b w:val="0"/>
          <w:i w:val="0"/>
          <w:sz w:val="20"/>
        </w:rPr>
        <w:t>This paper investigates the intergenerational effects of the Korean War exposure on risk aversion. We find that, in the first generation, the Korean War exposure made only mothers more risk-averse. However, the children of the affected mothers show significant negative intergenerational effects on risk attitudes. Parent-child attachment emerges as the key mechanism, consistent with the psychology literature. Both disassortative mating and differential fertility are ruled out as potential mechanisms, given that the treatment group neither exhibits disassortative mating nor has a different number of siblings. The adverse effects of early-life Korean War exposure on health capital may explain the poor parent–child attachment.</w:t>
      </w:r>
    </w:p>
    <w:p/>
    <w:p>
      <w:r>
        <w:rPr>
          <w:rFonts w:ascii="Times New Roman" w:hAnsi="Times New Roman" w:eastAsia="黑体"/>
          <w:b/>
          <w:i w:val="0"/>
          <w:sz w:val="24"/>
        </w:rPr>
        <w:t>咬了教书的手：解析中国禁止校外培训的经济影响</w:t>
      </w:r>
    </w:p>
    <w:p>
      <w:r>
        <w:rPr>
          <w:rFonts w:ascii="Times New Roman" w:hAnsi="Times New Roman" w:eastAsia="宋体"/>
          <w:b w:val="0"/>
          <w:i/>
          <w:color w:val="404040"/>
          <w:sz w:val="20"/>
        </w:rPr>
        <w:t>Biting the hand that teaches: Unraveling the economic impact of banning private tutoring in China</w:t>
      </w:r>
    </w:p>
    <w:p>
      <w:r>
        <w:rPr>
          <w:rFonts w:ascii="Times New Roman" w:hAnsi="Times New Roman" w:eastAsia="宋体"/>
          <w:b w:val="0"/>
          <w:i w:val="0"/>
          <w:color w:val="595959"/>
          <w:sz w:val="18"/>
        </w:rPr>
        <w:t>Zibin Huang；Yinan Liu；Mingming Ma；Leo Yang Yang</w:t>
      </w:r>
    </w:p>
    <w:p>
      <w:r>
        <w:rPr>
          <w:rFonts w:ascii="Times New Roman" w:hAnsi="Times New Roman" w:eastAsia="宋体"/>
          <w:b w:val="0"/>
          <w:i w:val="0"/>
          <w:sz w:val="22"/>
        </w:rPr>
        <w:t>摘要：【摘译】作者估计2021年“双减”禁止营利性学科培训政策的经济成本。</w:t>
      </w:r>
    </w:p>
    <w:p>
      <w:r>
        <w:rPr>
          <w:rFonts w:ascii="Times New Roman" w:hAnsi="Times New Roman" w:eastAsia="宋体"/>
          <w:b w:val="0"/>
          <w:i w:val="0"/>
          <w:sz w:val="20"/>
        </w:rPr>
        <w:t>Shadow education in China is a significant social issue and a leading factor in exacerbating education inequality that fosters over-competition. In July 2021, the Chinese government implemented the Double Reduction Policy, which banned for-profit academic private tutoring. We estimate the economic consequences of this policy on the education industry in China by employing two novel datasets containing online job postings and firm registration information. We find that within four months after the policy implementation, online job postings for tutoring-related firms decreased by 89%, tutoring-related firm entries decreased by 50%, and their exits tripled. Cities with 10,000 (2%) more children lost 50 (2.2%) more education-related job opportunities, experienced 0.4 (2.8%) fewer firm entries, and 0.03 (0.8%) more firm exits per month. Surprisingly, not only academic tutoring firms were impacted, but also untargeted businesses involving in arts and sports tutoring were heavily struck, although they were encouraged by the policy to promote children’s non-academic ability. This negative spillover can be partly explained by the interconnected ownership structure among academic and non-academic tutoring firms. Back-of-the-envelope calculations show that this policy led to 3 million job losses in four months and at least 11 billion RMB Value Added Tax losses in 18 months nationally.</w:t>
      </w:r>
    </w:p>
    <w:p/>
    <w:p>
      <w:r>
        <w:rPr>
          <w:rFonts w:ascii="Times New Roman" w:hAnsi="Times New Roman" w:eastAsia="黑体"/>
          <w:b/>
          <w:i w:val="0"/>
          <w:sz w:val="24"/>
        </w:rPr>
        <w:t>知识产权保护与企业创新：来自中国50万家企业的证据</w:t>
      </w:r>
    </w:p>
    <w:p>
      <w:r>
        <w:rPr>
          <w:rFonts w:ascii="Times New Roman" w:hAnsi="Times New Roman" w:eastAsia="宋体"/>
          <w:b w:val="0"/>
          <w:i/>
          <w:color w:val="404040"/>
          <w:sz w:val="20"/>
        </w:rPr>
        <w:t>Intellectual property rights protection and firm innovation: Evidence from half million firms in China</w:t>
      </w:r>
    </w:p>
    <w:p>
      <w:r>
        <w:rPr>
          <w:rFonts w:ascii="Times New Roman" w:hAnsi="Times New Roman" w:eastAsia="宋体"/>
          <w:b w:val="0"/>
          <w:i w:val="0"/>
          <w:color w:val="595959"/>
          <w:sz w:val="18"/>
        </w:rPr>
        <w:t>Bochuan Dai；George Chao Ma；Tao Shen</w:t>
      </w:r>
    </w:p>
    <w:p>
      <w:r>
        <w:rPr>
          <w:rFonts w:ascii="Times New Roman" w:hAnsi="Times New Roman" w:eastAsia="宋体"/>
          <w:b w:val="0"/>
          <w:i w:val="0"/>
          <w:sz w:val="22"/>
        </w:rPr>
        <w:t>摘要：【摘译】作者以中国地方专利纠纷管辖权设立为外生冲击，发现知识产权保护显著促进民营企业创新。</w:t>
      </w:r>
    </w:p>
    <w:p>
      <w:r>
        <w:rPr>
          <w:rFonts w:ascii="Times New Roman" w:hAnsi="Times New Roman" w:eastAsia="宋体"/>
          <w:b w:val="0"/>
          <w:i w:val="0"/>
          <w:sz w:val="20"/>
        </w:rPr>
        <w:t>We examine the impact of intellectual property rights (IPR) protection on local private firm innovation. Using the implementation of local patent dispute jurisdiction in China as exogenous shocks, we show that private firm patenting activities in cities with jurisdiction are significantly higher than those in cities without local jurisdiction. Consistent with our hypotheses, the effect is more prominent for firms in cities that have different cultural disparity from their provincial capital cities and in cities with a better judicial environment. We provide additional evidence that access to capital, innovation efficiency, city development, and industry competition can influence the effect of local IPR protection in the expected way. Our paper highlights the importance of proximity and accessibility to local patent dispute jurisdiction for promoting private firm innovation in China.</w:t>
      </w:r>
    </w:p>
    <w:p/>
    <w:p>
      <w:r>
        <w:rPr>
          <w:rFonts w:ascii="Times New Roman" w:hAnsi="Times New Roman" w:eastAsia="黑体"/>
          <w:b/>
          <w:i w:val="0"/>
          <w:sz w:val="24"/>
        </w:rPr>
        <w:t>全球价值链会影响对外援助分配吗？</w:t>
      </w:r>
    </w:p>
    <w:p>
      <w:r>
        <w:rPr>
          <w:rFonts w:ascii="Times New Roman" w:hAnsi="Times New Roman" w:eastAsia="宋体"/>
          <w:b w:val="0"/>
          <w:i/>
          <w:color w:val="404040"/>
          <w:sz w:val="20"/>
        </w:rPr>
        <w:t>Global value chains: Do they impact the allocation of foreign aid?</w:t>
      </w:r>
    </w:p>
    <w:p>
      <w:r>
        <w:rPr>
          <w:rFonts w:ascii="Times New Roman" w:hAnsi="Times New Roman" w:eastAsia="宋体"/>
          <w:b w:val="0"/>
          <w:i w:val="0"/>
          <w:color w:val="595959"/>
          <w:sz w:val="18"/>
        </w:rPr>
        <w:t>Basak Bayramoglu；Jean-François Jacques；Julie Lochard</w:t>
      </w:r>
    </w:p>
    <w:p>
      <w:r>
        <w:rPr>
          <w:rFonts w:ascii="Times New Roman" w:hAnsi="Times New Roman" w:eastAsia="宋体"/>
          <w:b w:val="0"/>
          <w:i w:val="0"/>
          <w:sz w:val="22"/>
        </w:rPr>
        <w:t>摘要：全球价值链的兴起显著改变了世界生产格局，并影响双边关系。基于2000—2018年22个援助国对127个受援国的双边援助数据，作者发现（在处理内生性后依然稳健）受援国更深地参与全球价值链会增加其获得的援助额。作者构建理论模型解释：援助使生产最终品的援助国能以更低成本从上游国家购买中间投入品。总体表明，援助国策略性地分配援助以降低进口投入成本。</w:t>
      </w:r>
    </w:p>
    <w:p>
      <w:r>
        <w:rPr>
          <w:rFonts w:ascii="Times New Roman" w:hAnsi="Times New Roman" w:eastAsia="宋体"/>
          <w:b w:val="0"/>
          <w:i w:val="0"/>
          <w:sz w:val="20"/>
        </w:rPr>
        <w:t>The rise of global value chains (GVCs) in recent decades has induced significant changes in the geography of world production, with consequences for bilateral relations. What are the consequences of GVC-related bilateral trade for the allocation of bilateral foreign aid? Using data on bilateral aid from 22 donors to 127 recipient countries over 2000-2018, our findings, robust to endogeneity, show that a larger participation of the recipient country in GVCs increases the amount of aid allocated to that country. To rationalize these findings, we develop a theoretical model that provides a simple explanation for the existence of transfers among countries: foreign aid allows a donor country producing a final good to buy less expensive intermediate inputs from an upstream country. Overall, this suggests that donors allocate aid strategically to import inputs at a lower cost.</w:t>
      </w:r>
    </w:p>
    <w:p/>
    <w:p>
      <w:r>
        <w:rPr>
          <w:rFonts w:ascii="Times New Roman" w:hAnsi="Times New Roman" w:eastAsia="黑体"/>
          <w:b/>
          <w:i w:val="0"/>
          <w:sz w:val="24"/>
        </w:rPr>
        <w:t>开源信息与镇压</w:t>
      </w:r>
    </w:p>
    <w:p>
      <w:r>
        <w:rPr>
          <w:rFonts w:ascii="Times New Roman" w:hAnsi="Times New Roman" w:eastAsia="宋体"/>
          <w:b w:val="0"/>
          <w:i/>
          <w:color w:val="404040"/>
          <w:sz w:val="20"/>
        </w:rPr>
        <w:t>Open-source information and repression</w:t>
      </w:r>
    </w:p>
    <w:p>
      <w:r>
        <w:rPr>
          <w:rFonts w:ascii="Times New Roman" w:hAnsi="Times New Roman" w:eastAsia="宋体"/>
          <w:b w:val="0"/>
          <w:i w:val="0"/>
          <w:color w:val="595959"/>
          <w:sz w:val="18"/>
        </w:rPr>
        <w:t>Manuel Oechslin</w:t>
      </w:r>
    </w:p>
    <w:p>
      <w:r>
        <w:rPr>
          <w:rFonts w:ascii="Times New Roman" w:hAnsi="Times New Roman" w:eastAsia="宋体"/>
          <w:b w:val="0"/>
          <w:i w:val="0"/>
          <w:sz w:val="22"/>
        </w:rPr>
        <w:t>摘要：【摘译】作者构建博弈模型，分析智能手机与无人机等使政府失误留痕的情况下，在任者如何选择镇压。</w:t>
      </w:r>
    </w:p>
    <w:p>
      <w:r>
        <w:rPr>
          <w:rFonts w:ascii="Times New Roman" w:hAnsi="Times New Roman" w:eastAsia="宋体"/>
          <w:b w:val="0"/>
          <w:i w:val="0"/>
          <w:sz w:val="20"/>
        </w:rPr>
        <w:t>With information-gathering devices like smartphones and drones proliferating, the likelihood that acts of government incompetence or wrongdoing leave relevant traces in the public domain steadily rises. The current paper proposes an applied game-theoretic model to explore how an incumbent politician with reelection concerns responds to this rise in open-source information. The analysis shows that an inherent aspect of the rise is a tendency towards heightened repression. In the model, if executive power is not sufficiently checked, the incumbent escalates hidden repression against free speech. Consequently, the electorate receives less, rather than more, information about the type of the incumbent – and the prospect of electoral defeat due to incompetence diminishes. The model’s predictions align with recent global trends in freedom of expression. The analysis stresses the rising importance of fortifying institutions that safeguard free speech and warns that international bodies like the European Union will be subject to growing centrifugal forces.</w:t>
      </w:r>
    </w:p>
    <w:p/>
    <w:p>
      <w:r>
        <w:rPr>
          <w:rFonts w:ascii="Times New Roman" w:hAnsi="Times New Roman" w:eastAsia="黑体"/>
          <w:b/>
          <w:i w:val="0"/>
          <w:sz w:val="24"/>
        </w:rPr>
        <w:t>灾难、共同利益与共享认同：什么塑造了欧洲的社会凝聚力？</w:t>
      </w:r>
    </w:p>
    <w:p>
      <w:r>
        <w:rPr>
          <w:rFonts w:ascii="Times New Roman" w:hAnsi="Times New Roman" w:eastAsia="宋体"/>
          <w:b w:val="0"/>
          <w:i/>
          <w:color w:val="404040"/>
          <w:sz w:val="20"/>
        </w:rPr>
        <w:t>Calamities, common interests, shared identity: What shapes social cohesion in Europe?</w:t>
      </w:r>
    </w:p>
    <w:p>
      <w:r>
        <w:rPr>
          <w:rFonts w:ascii="Times New Roman" w:hAnsi="Times New Roman" w:eastAsia="宋体"/>
          <w:b w:val="0"/>
          <w:i w:val="0"/>
          <w:color w:val="595959"/>
          <w:sz w:val="18"/>
        </w:rPr>
        <w:t>Cevat Giray Aksoy；Antonio Cabrales；Mathias Dolls；Ruben Durante；Lisa Windsteiger</w:t>
      </w:r>
    </w:p>
    <w:p>
      <w:r>
        <w:rPr>
          <w:rFonts w:ascii="Times New Roman" w:hAnsi="Times New Roman" w:eastAsia="宋体"/>
          <w:b w:val="0"/>
          <w:i w:val="0"/>
          <w:sz w:val="22"/>
        </w:rPr>
        <w:t>摘要：【摘译】作者在欧盟9国开展激励调查实验，比较启动共同经济利益、共同价值认同与新冠危机对利他、互惠与信任的影响。</w:t>
      </w:r>
    </w:p>
    <w:p>
      <w:r>
        <w:rPr>
          <w:rFonts w:ascii="Times New Roman" w:hAnsi="Times New Roman" w:eastAsia="宋体"/>
          <w:b w:val="0"/>
          <w:i w:val="0"/>
          <w:sz w:val="20"/>
        </w:rPr>
        <w:t>We conduct a large-scale incentivized survey experiment in nine EU countries to study how priming common economic interests (EU trade), a shared identity (EU common values), and a major health crisis (COVID-19), influences altruism, reciprocity and trust of EU citizens. We find that the COVID-19 treatment increases altruism and reciprocity towards compatriots, as well as altruism towards citizens of other EU countries. The EU common values treatment has similar effects and in addition also boosts reciprocity towards fellow Europeans. The EU trade treatment has no tangible impact on behavior. Trust in others is not affected by any treatment. Our results suggest that both a shared identity and a shared crisis can have a unifying effect among EU citizens, while shared economic interests (alone) do not significantly affect European cohesion.</w:t>
      </w:r>
    </w:p>
    <w:p/>
    <w:p>
      <w:r>
        <w:rPr>
          <w:rFonts w:ascii="Times New Roman" w:hAnsi="Times New Roman" w:eastAsia="黑体"/>
          <w:b/>
          <w:i w:val="0"/>
          <w:sz w:val="24"/>
        </w:rPr>
        <w:t>身份政治的跨国扩散</w:t>
      </w:r>
    </w:p>
    <w:p>
      <w:r>
        <w:rPr>
          <w:rFonts w:ascii="Times New Roman" w:hAnsi="Times New Roman" w:eastAsia="宋体"/>
          <w:b w:val="0"/>
          <w:i/>
          <w:color w:val="404040"/>
          <w:sz w:val="20"/>
        </w:rPr>
        <w:t>Transnational diffusion of identity politics</w:t>
      </w:r>
    </w:p>
    <w:p>
      <w:r>
        <w:rPr>
          <w:rFonts w:ascii="Times New Roman" w:hAnsi="Times New Roman" w:eastAsia="宋体"/>
          <w:b w:val="0"/>
          <w:i w:val="0"/>
          <w:color w:val="595959"/>
          <w:sz w:val="18"/>
        </w:rPr>
        <w:t>Soeren C. Schwuchow</w:t>
      </w:r>
    </w:p>
    <w:p>
      <w:r>
        <w:rPr>
          <w:rFonts w:ascii="Times New Roman" w:hAnsi="Times New Roman" w:eastAsia="宋体"/>
          <w:b w:val="0"/>
          <w:i w:val="0"/>
          <w:sz w:val="22"/>
        </w:rPr>
        <w:t>摘要：【摘译】作者构建多维政治模型，选民可用再分配物质收益交换民族认同的非物质收益，并分析民族主义身份政治的跨国扩散。</w:t>
      </w:r>
    </w:p>
    <w:p>
      <w:r>
        <w:rPr>
          <w:rFonts w:ascii="Times New Roman" w:hAnsi="Times New Roman" w:eastAsia="宋体"/>
          <w:b w:val="0"/>
          <w:i w:val="0"/>
          <w:sz w:val="20"/>
        </w:rPr>
        <w:t>We study a model of multidimensional politics in which voting decisions are shaped not only by voters’ preferences regarding redistribution but also by their identities. In our framework, which focus on nationalism, voters can trade material gains from redistribution for immaterial benefits from identity politics (i.e. more/less nationalism). Building on this widely accepted approach, we propose a novel channel for the transnational diffusion of identity politics. Specifically, we argue that changes in identity-related policies abroad can affect domestic voting behaviour through two mechanisms: First, by changing voters’ perceptions of the social acceptability of identities, and second, by changing the perceived relative benefits of adopting particular identities. Both mechanisms yield positive spillovers from foreign to domestic identity politics that originate from the domestic voters. Based on this approach, our model shows that temporary shocks (i.e. events that induce more/less domestic identity politics) can lead to permanent changes in the composition of the domestic society and thus in domestic identity politics. This result is driven by cultural rigidity when voters are able to intentionally adopt new identities. Such rigidity helps to stabilise the society by reducing extreme swings in societal identity composition, but also prevents voters from adopting individually optimal identities. Our model also highlights the influence of identity-based groups. Even without direct political influence, they can provide intrinsic benefits to members and consolidate group power, thereby becoming catalysts for future political influence. Finally, we discuss the implications of our findings for policy making, highlighting the role of access to information and education.</w:t>
      </w:r>
    </w:p>
    <w:p/>
    <w:p>
      <w:r>
        <w:rPr>
          <w:rFonts w:ascii="Times New Roman" w:hAnsi="Times New Roman" w:eastAsia="黑体"/>
          <w:b/>
          <w:i w:val="0"/>
          <w:sz w:val="24"/>
        </w:rPr>
        <w:t>（市场）权力就是（政治）权力！竞争下降对民主的压力</w:t>
      </w:r>
    </w:p>
    <w:p>
      <w:r>
        <w:rPr>
          <w:rFonts w:ascii="Times New Roman" w:hAnsi="Times New Roman" w:eastAsia="宋体"/>
          <w:b w:val="0"/>
          <w:i/>
          <w:color w:val="404040"/>
          <w:sz w:val="20"/>
        </w:rPr>
        <w:t>(Market) power is (political) power! The pressure of declining competition on democracy</w:t>
      </w:r>
    </w:p>
    <w:p>
      <w:r>
        <w:rPr>
          <w:rFonts w:ascii="Times New Roman" w:hAnsi="Times New Roman" w:eastAsia="宋体"/>
          <w:b w:val="0"/>
          <w:i w:val="0"/>
          <w:color w:val="595959"/>
          <w:sz w:val="18"/>
        </w:rPr>
        <w:t>Seda Basihos</w:t>
      </w:r>
    </w:p>
    <w:p>
      <w:r>
        <w:rPr>
          <w:rFonts w:ascii="Times New Roman" w:hAnsi="Times New Roman" w:eastAsia="宋体"/>
          <w:b w:val="0"/>
          <w:i w:val="0"/>
          <w:sz w:val="22"/>
        </w:rPr>
        <w:t>摘要：【摘译】作者实证检验企业市场势力集中转化为政治权力集中并削弱民主的机制。</w:t>
      </w:r>
    </w:p>
    <w:p>
      <w:r>
        <w:rPr>
          <w:rFonts w:ascii="Times New Roman" w:hAnsi="Times New Roman" w:eastAsia="宋体"/>
          <w:b w:val="0"/>
          <w:i w:val="0"/>
          <w:sz w:val="20"/>
        </w:rPr>
        <w:t>I study how the concentration of market power among a restricted set of corporates leads to a concentration of political power that ultimately undermines democracy. Despite being a topic of longstanding discussion, this type of mechanism lacks empirical confirmation or rejection. My paper addresses this gap by shedding light on two global trends: increasing aggregate markups and democratic backsliding. Using panel data covering 80 countries (1990–2019), I identify a negative relationship between market power and democracy. After correcting for potential endogeneity, counterfactual estimates reveal that around a quarter of the recent democratic decline can be attributed to the concentration of market power. A detailed firm-level analysis confirms that the democracy-weakening effect is driven by the increasing political influence of high-markup firms at the very top of the size distribution. The findings show that this concentration of power undermines democracy directly through institutional erosion—by increasing corruption in electoral processes and across multiple dimensions of democratic governance, such as policy-making, implementation, and regulation.</w:t>
      </w:r>
    </w:p>
    <w:p/>
    <w:p>
      <w:r>
        <w:rPr>
          <w:rFonts w:ascii="Times New Roman" w:hAnsi="Times New Roman" w:eastAsia="黑体"/>
          <w:b/>
          <w:i w:val="0"/>
          <w:sz w:val="24"/>
        </w:rPr>
        <w:t>以钱换爱？欧盟凝聚政策与疑欧主义的地区分析</w:t>
      </w:r>
    </w:p>
    <w:p>
      <w:r>
        <w:rPr>
          <w:rFonts w:ascii="Times New Roman" w:hAnsi="Times New Roman" w:eastAsia="宋体"/>
          <w:b w:val="0"/>
          <w:i/>
          <w:color w:val="404040"/>
          <w:sz w:val="20"/>
        </w:rPr>
        <w:t>Exchanging money for love? A regional analysis of EU cohesion policy and Euroscepticism</w:t>
      </w:r>
    </w:p>
    <w:p>
      <w:r>
        <w:rPr>
          <w:rFonts w:ascii="Times New Roman" w:hAnsi="Times New Roman" w:eastAsia="宋体"/>
          <w:b w:val="0"/>
          <w:i w:val="0"/>
          <w:color w:val="595959"/>
          <w:sz w:val="18"/>
        </w:rPr>
        <w:t>Michael Bayerlein；Matthias Diermeier</w:t>
      </w:r>
    </w:p>
    <w:p>
      <w:r>
        <w:rPr>
          <w:rFonts w:ascii="Times New Roman" w:hAnsi="Times New Roman" w:eastAsia="宋体"/>
          <w:b w:val="0"/>
          <w:i w:val="0"/>
          <w:sz w:val="22"/>
        </w:rPr>
        <w:t>摘要：过去欧盟能借地区“趋同”资金驯服疑欧主义，但新成员国成为最大受援者后，却从最支持一体化转为反对最强。受此困惑驱动，作者重新检视趋同资金与疑欧主义的关系。与功利主义经济理论相反，实证未发现欧盟资金与支持度之间存在一般关系；但考虑资助后的成功趋同及民众对欧盟资金的知晓后，可识别出资金驯服疑欧主义的条件：成功趋同地区的统一偏好呈上升趋势；在民众更了解欧盟投资的东欧，欧盟能赢得支持。布鲁塞尔应聚焦于刺激增长且明确与欧盟相关联的地方性趋同资金，而非扩大财政能力。</w:t>
      </w:r>
    </w:p>
    <w:p>
      <w:r>
        <w:rPr>
          <w:rFonts w:ascii="Times New Roman" w:hAnsi="Times New Roman" w:eastAsia="宋体"/>
          <w:b w:val="0"/>
          <w:i w:val="0"/>
          <w:sz w:val="20"/>
        </w:rPr>
        <w:t>In the past, the European Union was able to tame Euroscepticism through regional ‘convergence’ funding. Meanwhile, new member states became the largest recipients of EU funding, but shifted from being the most supportive of integration to showing the strongest opposition. Motivated by this puzzle, we revisit the relationship between ‘convergence’ funding and Euroscepticism. In contrast to utilitarian economic theory, our empirical analysis finds no general relationship between EU funding and support for the EU. Nevertheless, by accounting for successful post-funding convergence and awareness of EU funding, we identify under which conditions ‘convergence’ funding can tame Euroscepticism. Focusing on successfully converging regions after receiving EU funding, we uncover positive trends in EU unification preferences. Finally, we show that the EU is able to win support in Eastern Europe where people are more aware of EU investments. Rather than expanding its fiscal capacity, Brussels must focus on place-based ‘convergence’ funding that stimulates economic growth and is unambiguously associated with the EU.</w:t>
      </w:r>
    </w:p>
    <w:p/>
    <w:p>
      <w:r>
        <w:rPr>
          <w:rFonts w:ascii="Times New Roman" w:hAnsi="Times New Roman" w:eastAsia="黑体"/>
          <w:b/>
          <w:i w:val="0"/>
          <w:sz w:val="24"/>
        </w:rPr>
        <w:t>均衡中的高等教育经费、福利与不平等</w:t>
      </w:r>
    </w:p>
    <w:p>
      <w:r>
        <w:rPr>
          <w:rFonts w:ascii="Times New Roman" w:hAnsi="Times New Roman" w:eastAsia="宋体"/>
          <w:b w:val="0"/>
          <w:i/>
          <w:color w:val="404040"/>
          <w:sz w:val="20"/>
        </w:rPr>
        <w:t>Higher education funding, welfare and inequality in equilibrium</w:t>
      </w:r>
    </w:p>
    <w:p>
      <w:r>
        <w:rPr>
          <w:rFonts w:ascii="Times New Roman" w:hAnsi="Times New Roman" w:eastAsia="宋体"/>
          <w:b w:val="0"/>
          <w:i w:val="0"/>
          <w:color w:val="595959"/>
          <w:sz w:val="18"/>
        </w:rPr>
        <w:t>Gustavo Mellior</w:t>
      </w:r>
    </w:p>
    <w:p>
      <w:r>
        <w:rPr>
          <w:rFonts w:ascii="Times New Roman" w:hAnsi="Times New Roman" w:eastAsia="宋体"/>
          <w:b w:val="0"/>
          <w:i w:val="0"/>
          <w:sz w:val="22"/>
        </w:rPr>
        <w:t>摘要：【摘译】作者以连续时间异质主体模型比较五种高等教育融资方案对福利与不平等的影响。</w:t>
      </w:r>
    </w:p>
    <w:p>
      <w:r>
        <w:rPr>
          <w:rFonts w:ascii="Times New Roman" w:hAnsi="Times New Roman" w:eastAsia="宋体"/>
          <w:b w:val="0"/>
          <w:i w:val="0"/>
          <w:sz w:val="20"/>
        </w:rPr>
        <w:t>This paper analyses quantitatively the effect that higher education funding policies have on welfare and inequality. We evaluate five different higher education financing schemes with a heterogeneous agent model in continuous time. When educational costs are small, differences in outcomes across systems are negligible. As the cost of education and the share of debtors in society rises, it becomes preferable to fund education with subsidies, instead of student loans, as there is a pecuniary externality that arises with debt. Although subsidies can generate large steady state welfare gains, transition costs can be large enough to justify the status quo. The exception, full subsidy with graduate taxes, yields substantial welfare gains, even when taking into account transitional dynamics.</w:t>
      </w:r>
    </w:p>
    <w:p/>
    <w:p>
      <w:r>
        <w:rPr>
          <w:rFonts w:ascii="Times New Roman" w:hAnsi="Times New Roman" w:eastAsia="宋体"/>
          <w:b/>
          <w:i w:val="0"/>
          <w:sz w:val="22"/>
        </w:rPr>
        <w:t>JCE： Vol. 53, No. 3, 2025</w:t>
      </w:r>
    </w:p>
    <w:p/>
    <w:p>
      <w:r>
        <w:rPr>
          <w:rFonts w:ascii="Times New Roman" w:hAnsi="Times New Roman" w:eastAsia="黑体"/>
          <w:b/>
          <w:i w:val="0"/>
          <w:sz w:val="24"/>
        </w:rPr>
        <w:t>全球化加剧中国村庄的代际不平等传递</w:t>
      </w:r>
    </w:p>
    <w:p>
      <w:r>
        <w:rPr>
          <w:rFonts w:ascii="Times New Roman" w:hAnsi="Times New Roman" w:eastAsia="宋体"/>
          <w:b w:val="0"/>
          <w:i/>
          <w:color w:val="404040"/>
          <w:sz w:val="20"/>
        </w:rPr>
        <w:t>Globalization raises intergenerational inequality transmission in chinese villages</w:t>
      </w:r>
    </w:p>
    <w:p>
      <w:r>
        <w:rPr>
          <w:rFonts w:ascii="Times New Roman" w:hAnsi="Times New Roman" w:eastAsia="宋体"/>
          <w:b w:val="0"/>
          <w:i w:val="0"/>
          <w:color w:val="595959"/>
          <w:sz w:val="18"/>
        </w:rPr>
        <w:t>Yewen Yu；Liutang Gong；Junjian Yi</w:t>
      </w:r>
    </w:p>
    <w:p>
      <w:r>
        <w:rPr>
          <w:rFonts w:ascii="Times New Roman" w:hAnsi="Times New Roman" w:eastAsia="宋体"/>
          <w:b w:val="0"/>
          <w:i w:val="0"/>
          <w:sz w:val="22"/>
        </w:rPr>
        <w:t>摘要：【摘译】作者以中国入世为准实验，发现全球化加剧了中国村庄的代际不平等传递。</w:t>
      </w:r>
    </w:p>
    <w:p>
      <w:r>
        <w:rPr>
          <w:rFonts w:ascii="Times New Roman" w:hAnsi="Times New Roman" w:eastAsia="宋体"/>
          <w:b w:val="0"/>
          <w:i w:val="0"/>
          <w:sz w:val="20"/>
        </w:rPr>
        <w:t>Using China’s accession to World Trade Organization (WTO) in 2001, an epoch in the globalization process in recent decades, as a quasi-experiment, this paper studies the impact of globalization on intergenerational transmission of inequality in Chinese villages. Based on nationally representative rural household survey data, this study documents that the trade shocks brought about by China’s WTO accession has amplified economic inequality across generations in Chinese villages. The WTO accession enhanced international trade between China and the rest of the world by reducing trade barriers. The booming of the export-oriented manufacturing located in coastal and urban areas led to unprecedented rural-to-urban migration in human history. We find that migration leads to large income benefit. We also find that sons from wealthy and better-educated families in rural areas are more likely to grab the job opportunities brought about by the WTO accession and are more likely to migrate, compared with sons from less-wealthy and less-educated families. Policies are called for to address the concern that inequality would be persisting across generations along with globalization.</w:t>
      </w:r>
    </w:p>
    <w:p/>
    <w:p>
      <w:r>
        <w:rPr>
          <w:rFonts w:ascii="Times New Roman" w:hAnsi="Times New Roman" w:eastAsia="黑体"/>
          <w:b/>
          <w:i w:val="0"/>
          <w:sz w:val="24"/>
        </w:rPr>
        <w:t>出生地多样性对亲社会性的影响：内群体与外群体</w:t>
      </w:r>
    </w:p>
    <w:p>
      <w:r>
        <w:rPr>
          <w:rFonts w:ascii="Times New Roman" w:hAnsi="Times New Roman" w:eastAsia="宋体"/>
          <w:b w:val="0"/>
          <w:i/>
          <w:color w:val="404040"/>
          <w:sz w:val="20"/>
        </w:rPr>
        <w:t>The impact of birthplace diversity on prosociality: Ingroups versus outgroups</w:t>
      </w:r>
    </w:p>
    <w:p>
      <w:r>
        <w:rPr>
          <w:rFonts w:ascii="Times New Roman" w:hAnsi="Times New Roman" w:eastAsia="宋体"/>
          <w:b w:val="0"/>
          <w:i w:val="0"/>
          <w:color w:val="595959"/>
          <w:sz w:val="18"/>
        </w:rPr>
        <w:t>Zhijian Zhang；Yuli Ding；Shu Wu</w:t>
      </w:r>
    </w:p>
    <w:p>
      <w:r>
        <w:rPr>
          <w:rFonts w:ascii="Times New Roman" w:hAnsi="Times New Roman" w:eastAsia="宋体"/>
          <w:b w:val="0"/>
          <w:i w:val="0"/>
          <w:sz w:val="22"/>
        </w:rPr>
        <w:t>摘要：【摘译】作者结合全国调查与普查数据，考察移民带来的出生地多样性对家庭向内外群体提供资助的影响。</w:t>
      </w:r>
    </w:p>
    <w:p>
      <w:r>
        <w:rPr>
          <w:rFonts w:ascii="Times New Roman" w:hAnsi="Times New Roman" w:eastAsia="宋体"/>
          <w:b w:val="0"/>
          <w:i w:val="0"/>
          <w:sz w:val="20"/>
        </w:rPr>
        <w:t>How does immigration shape prosociality? This study investigates the impact of birthplace diversity on households’ private provision of financial support to different social groups in China. Linking nationally representative surveys with prefectural socio-economic data and census information, we employ a shift-share instrumental variable approach alongside fixed effects to explore this relationship. Exposure to increased birthplace diversity leads to more households providing financial assistance to friends and strangers, but not to relatives. The favorable impacts stem primarily from within-group diversity and fractionalization, rather than from between-group diversity and polarization. Economic interdependence and broader inclusiveness, as opposed to social trust or outgroup threat, likely drive these effects. The observed effect is more pronounced among households with higher educational attainment, superior economic status, and in cities receiving fewer distant immigrants. Distinguishing dimensions of diversity and their contexts is crucial for understanding immigration’s social implications.</w:t>
      </w:r>
    </w:p>
    <w:p/>
    <w:p>
      <w:r>
        <w:rPr>
          <w:rFonts w:ascii="Times New Roman" w:hAnsi="Times New Roman" w:eastAsia="黑体"/>
          <w:b/>
          <w:i w:val="0"/>
          <w:sz w:val="24"/>
        </w:rPr>
        <w:t>国际桥梁与非正规就业</w:t>
      </w:r>
    </w:p>
    <w:p>
      <w:r>
        <w:rPr>
          <w:rFonts w:ascii="Times New Roman" w:hAnsi="Times New Roman" w:eastAsia="宋体"/>
          <w:b w:val="0"/>
          <w:i/>
          <w:color w:val="404040"/>
          <w:sz w:val="20"/>
        </w:rPr>
        <w:t>International bridges and informal employment</w:t>
      </w:r>
    </w:p>
    <w:p>
      <w:r>
        <w:rPr>
          <w:rFonts w:ascii="Times New Roman" w:hAnsi="Times New Roman" w:eastAsia="宋体"/>
          <w:b w:val="0"/>
          <w:i w:val="0"/>
          <w:color w:val="595959"/>
          <w:sz w:val="18"/>
        </w:rPr>
        <w:t>Kazunobu Hayakawa；Souknilanh Keola；Sasatra Sudsawasd；Kenta Yamanouchi</w:t>
      </w:r>
    </w:p>
    <w:p>
      <w:r>
        <w:rPr>
          <w:rFonts w:ascii="Times New Roman" w:hAnsi="Times New Roman" w:eastAsia="宋体"/>
          <w:b w:val="0"/>
          <w:i w:val="0"/>
          <w:sz w:val="22"/>
        </w:rPr>
        <w:t>摘要：本文实证考察2006年12月泰国与老挝间第二座泰老友谊大桥开通对正规—非正规工资差距的影响。作者使用2006年与2011年泰国非正规就业调查的个体数据，考察边境地区正规与非正规工人工资差距，以家庭中是否有正规工人作为工具变量并引入省份时变固定效应处理内生性。结果显示，大桥开通使正规工人工资增幅大于非正规工人，扩大了正规—非正规工资差距；该效应具有地方性，仅在距大桥100公里范围内可见。</w:t>
      </w:r>
    </w:p>
    <w:p>
      <w:r>
        <w:rPr>
          <w:rFonts w:ascii="Times New Roman" w:hAnsi="Times New Roman" w:eastAsia="宋体"/>
          <w:b w:val="0"/>
          <w:i w:val="0"/>
          <w:sz w:val="20"/>
        </w:rPr>
        <w:t>This study empirically investigates the effects on the formal–informal wage gap of the opening of an international bridge, specifically the second Thai–Lao Friendship Bridge, between Thailand and Laos in December 2006. We examine the wage gap between formal and informal workers in the border regions of Thailand using individual-level data from the Informal Employment Surveys for 2006 and 2011. We address endogeneity issues by using the instrumental variable method and introducing time-variant province fixed effects. As an instrument, we use the existence of formal workers in each family. Our findings can be summarized as follows. We find that the opening of the second bridge increased wages to a greater extent for formal workers than for informal workers; that is, it expanded the formal–informal wage gap. Such an effect is localized and can be observed up to 100 km from the bridge.</w:t>
      </w:r>
    </w:p>
    <w:p/>
    <w:p>
      <w:r>
        <w:rPr>
          <w:rFonts w:ascii="Times New Roman" w:hAnsi="Times New Roman" w:eastAsia="黑体"/>
          <w:b/>
          <w:i w:val="0"/>
          <w:sz w:val="24"/>
        </w:rPr>
        <w:t>走向正规之路：信贷市场准入如何塑造非正规工人的选择</w:t>
      </w:r>
    </w:p>
    <w:p>
      <w:r>
        <w:rPr>
          <w:rFonts w:ascii="Times New Roman" w:hAnsi="Times New Roman" w:eastAsia="宋体"/>
          <w:b w:val="0"/>
          <w:i/>
          <w:color w:val="404040"/>
          <w:sz w:val="20"/>
        </w:rPr>
        <w:t>The journey to formality: How credit market access shapes informal workers' choices</w:t>
      </w:r>
    </w:p>
    <w:p>
      <w:r>
        <w:rPr>
          <w:rFonts w:ascii="Times New Roman" w:hAnsi="Times New Roman" w:eastAsia="宋体"/>
          <w:b w:val="0"/>
          <w:i w:val="0"/>
          <w:color w:val="595959"/>
          <w:sz w:val="18"/>
        </w:rPr>
        <w:t>Alina Malkova；Klara Peter</w:t>
      </w:r>
    </w:p>
    <w:p>
      <w:r>
        <w:rPr>
          <w:rFonts w:ascii="Times New Roman" w:hAnsi="Times New Roman" w:eastAsia="宋体"/>
          <w:b w:val="0"/>
          <w:i w:val="0"/>
          <w:sz w:val="22"/>
        </w:rPr>
        <w:t>摘要：【摘译】作者发现俄罗斯正规贷款机构依据核实收入定额度，促使非正规工人正规化收入以获得贷款。</w:t>
      </w:r>
    </w:p>
    <w:p>
      <w:r>
        <w:rPr>
          <w:rFonts w:ascii="Times New Roman" w:hAnsi="Times New Roman" w:eastAsia="宋体"/>
          <w:b w:val="0"/>
          <w:i w:val="0"/>
          <w:sz w:val="20"/>
        </w:rPr>
        <w:t>We analyze how credit market accessibility affects the transition of informal workers to the formal sector in Russia. Formal lenders determine credit limits based on verified income and incentivize informal workers to formalize their income in order to qualify for a loan. Better credit accessibility increases the likelihood of transitioning from informal to formal work. It also decreases tax evasion and raises the share of income being declared for tax purposes. Findings are robust across different model specifications, including dynamic multinomial logit model and event study approach. Simulated interventions suggest that more bank competition and a shorter distance to banks reduce the size of the informal sector and increase the tax-declared share of income.</w:t>
      </w:r>
    </w:p>
    <w:p/>
    <w:p>
      <w:r>
        <w:rPr>
          <w:rFonts w:ascii="Times New Roman" w:hAnsi="Times New Roman" w:eastAsia="黑体"/>
          <w:b/>
          <w:i w:val="0"/>
          <w:sz w:val="24"/>
        </w:rPr>
        <w:t>旧制度法国的司法卖官：理性选择分析</w:t>
      </w:r>
    </w:p>
    <w:p>
      <w:r>
        <w:rPr>
          <w:rFonts w:ascii="Times New Roman" w:hAnsi="Times New Roman" w:eastAsia="宋体"/>
          <w:b w:val="0"/>
          <w:i/>
          <w:color w:val="404040"/>
          <w:sz w:val="20"/>
        </w:rPr>
        <w:t>Judicial venality in Old Regime France: A rational choice analysis</w:t>
      </w:r>
    </w:p>
    <w:p>
      <w:r>
        <w:rPr>
          <w:rFonts w:ascii="Times New Roman" w:hAnsi="Times New Roman" w:eastAsia="宋体"/>
          <w:b w:val="0"/>
          <w:i w:val="0"/>
          <w:color w:val="595959"/>
          <w:sz w:val="18"/>
        </w:rPr>
        <w:t>Bertrand Crettez；Bruno Deffains；Olivier Musy；Ronan Tallec</w:t>
      </w:r>
    </w:p>
    <w:p>
      <w:r>
        <w:rPr>
          <w:rFonts w:ascii="Times New Roman" w:hAnsi="Times New Roman" w:eastAsia="宋体"/>
          <w:b w:val="0"/>
          <w:i w:val="0"/>
          <w:sz w:val="22"/>
        </w:rPr>
        <w:t>摘要：【摘译】作者以理性选择分析旧制度法国司法卖官制度的逻辑。</w:t>
      </w:r>
    </w:p>
    <w:p>
      <w:r>
        <w:rPr>
          <w:rFonts w:ascii="Times New Roman" w:hAnsi="Times New Roman" w:eastAsia="宋体"/>
          <w:b w:val="0"/>
          <w:i w:val="0"/>
          <w:sz w:val="20"/>
        </w:rPr>
        <w:t>Venality, i.e., the sale of public positions, was widely used in the judicial sector in France between the 16th and 18th centuries. In a venal system, litigants finance the justice system by paying the judges directly. In France, moreover, the right to judge was sold by the ruler, who indirectly levied part of the legal costs. Here, instead of the state funding justice, justice funds the state. The cost to the King was a loss of control over the judiciary and biased legal decisions. We develop a model of judicial venality and build on this model to provide an analytical narrative of the rise and decline of judicial venality in Old Regime France. Historically, judicial venality enhanced legal capacity whereas the French kings faced with limited opportunities to raise taxes and to borrow. Lack of control over the judiciary, however, led to overly costly and time-consuming trials, resulting in its final demise during the 1789 Revolution.</w:t>
      </w:r>
    </w:p>
    <w:p/>
    <w:p>
      <w:r>
        <w:rPr>
          <w:rFonts w:ascii="Times New Roman" w:hAnsi="Times New Roman" w:eastAsia="黑体"/>
          <w:b/>
          <w:i w:val="0"/>
          <w:sz w:val="24"/>
        </w:rPr>
        <w:t>绿色退休：退休通过消费与收入动态对碳排放的影响</w:t>
      </w:r>
    </w:p>
    <w:p>
      <w:r>
        <w:rPr>
          <w:rFonts w:ascii="Times New Roman" w:hAnsi="Times New Roman" w:eastAsia="宋体"/>
          <w:b w:val="0"/>
          <w:i/>
          <w:color w:val="404040"/>
          <w:sz w:val="20"/>
        </w:rPr>
        <w:t>Green retirement: The impact of retirement on carbon emissions through consumption and income dynamics</w:t>
      </w:r>
    </w:p>
    <w:p>
      <w:r>
        <w:rPr>
          <w:rFonts w:ascii="Times New Roman" w:hAnsi="Times New Roman" w:eastAsia="宋体"/>
          <w:b w:val="0"/>
          <w:i w:val="0"/>
          <w:color w:val="595959"/>
          <w:sz w:val="18"/>
        </w:rPr>
        <w:t>Wei Huang；Xiaoyan Lei；Chunfeng Zhang</w:t>
      </w:r>
    </w:p>
    <w:p>
      <w:r>
        <w:rPr>
          <w:rFonts w:ascii="Times New Roman" w:hAnsi="Times New Roman" w:eastAsia="宋体"/>
          <w:b w:val="0"/>
          <w:i w:val="0"/>
          <w:sz w:val="22"/>
        </w:rPr>
        <w:t>摘要：【摘译】作者以中国强制退休年龄做断点回归，发现退休者碳排放下降的“绿色退休”效应。</w:t>
      </w:r>
    </w:p>
    <w:p>
      <w:r>
        <w:rPr>
          <w:rFonts w:ascii="Times New Roman" w:hAnsi="Times New Roman" w:eastAsia="宋体"/>
          <w:b w:val="0"/>
          <w:i w:val="0"/>
          <w:sz w:val="20"/>
        </w:rPr>
        <w:t>This paper investigates the impact of retirement on carbon emissions, using China's compulsory retirement age policy as an exogenous source of variation. By applying a regression discontinuity design (RDD) to individual-level data, we identify a "green retirement" effect, where retirees reduce their carbon emissions due to income declines and changes in consumption behavior. For men, this reduction primarily stems from a decrease in consumption quantity, while for women, both a reduction in quantity and a shift toward more environmentally friendly consumption play a role. The effect is more pronounced among individuals with higher educational attainment, indicating that socioeconomic factors influence the environmental impact of retirement. These results suggest that demographic shifts could support sustainability efforts by aligning retirement policies with environmental goals.</w:t>
      </w:r>
    </w:p>
    <w:p/>
    <w:p>
      <w:r>
        <w:rPr>
          <w:rFonts w:ascii="Times New Roman" w:hAnsi="Times New Roman" w:eastAsia="黑体"/>
          <w:b/>
          <w:i w:val="0"/>
          <w:sz w:val="24"/>
        </w:rPr>
        <w:t>职业动机与数量—质量权衡</w:t>
      </w:r>
    </w:p>
    <w:p>
      <w:r>
        <w:rPr>
          <w:rFonts w:ascii="Times New Roman" w:hAnsi="Times New Roman" w:eastAsia="宋体"/>
          <w:b w:val="0"/>
          <w:i/>
          <w:color w:val="404040"/>
          <w:sz w:val="20"/>
        </w:rPr>
        <w:t>Professional motivation and the quantity–quality trade-off</w:t>
      </w:r>
    </w:p>
    <w:p>
      <w:r>
        <w:rPr>
          <w:rFonts w:ascii="Times New Roman" w:hAnsi="Times New Roman" w:eastAsia="宋体"/>
          <w:b w:val="0"/>
          <w:i w:val="0"/>
          <w:color w:val="595959"/>
          <w:sz w:val="18"/>
        </w:rPr>
        <w:t>J. Michelle Brock</w:t>
      </w:r>
    </w:p>
    <w:p>
      <w:r>
        <w:rPr>
          <w:rFonts w:ascii="Times New Roman" w:hAnsi="Times New Roman" w:eastAsia="宋体"/>
          <w:b w:val="0"/>
          <w:i w:val="0"/>
          <w:sz w:val="22"/>
        </w:rPr>
        <w:t>摘要：【摘译】作者对塔吉克斯坦逾百名法官开展实地实验，检验货币奖金与同行匿名监督对工作数量与质量的影响。</w:t>
      </w:r>
    </w:p>
    <w:p>
      <w:r>
        <w:rPr>
          <w:rFonts w:ascii="Times New Roman" w:hAnsi="Times New Roman" w:eastAsia="宋体"/>
          <w:b w:val="0"/>
          <w:i w:val="0"/>
          <w:sz w:val="20"/>
        </w:rPr>
        <w:t>How can professionals be motivated to do better quality work? This paper examines this question through a unique lab-in-the-field experiment on more than 100 judges in a lower middle income country, Tajikistan. I test how judges respond both to monetary bonuses and to anonymous monitoring by peers of the quality of their work. I find that the provision of bonuses leads to much lower quality than in a control group where bonuses are not given. However, offering a bonus while also making work visible to peers motivates the judges to increase both quantity and quality. Random peer monitoring of work is likely triggering concerns about self-image which mitigate the negative effect of bonuses on quality. The results have important implications in labor market settings where strict monitoring of quality is not possible.</w:t>
      </w:r>
    </w:p>
    <w:p/>
    <w:p>
      <w:r>
        <w:rPr>
          <w:rFonts w:ascii="Times New Roman" w:hAnsi="Times New Roman" w:eastAsia="黑体"/>
          <w:b/>
          <w:i w:val="0"/>
          <w:sz w:val="24"/>
        </w:rPr>
        <w:t>不确定时期与对少数群体更高的接纳度相关</w:t>
      </w:r>
    </w:p>
    <w:p>
      <w:r>
        <w:rPr>
          <w:rFonts w:ascii="Times New Roman" w:hAnsi="Times New Roman" w:eastAsia="宋体"/>
          <w:b w:val="0"/>
          <w:i/>
          <w:color w:val="404040"/>
          <w:sz w:val="20"/>
        </w:rPr>
        <w:t>Periods of uncertainty are linked to greater acceptance of minorities</w:t>
      </w:r>
    </w:p>
    <w:p>
      <w:r>
        <w:rPr>
          <w:rFonts w:ascii="Times New Roman" w:hAnsi="Times New Roman" w:eastAsia="宋体"/>
          <w:b w:val="0"/>
          <w:i w:val="0"/>
          <w:color w:val="595959"/>
          <w:sz w:val="18"/>
        </w:rPr>
        <w:t>Niclas Berggren；Andreas Bergh；Therese Nilsson</w:t>
      </w:r>
    </w:p>
    <w:p>
      <w:r>
        <w:rPr>
          <w:rFonts w:ascii="Times New Roman" w:hAnsi="Times New Roman" w:eastAsia="宋体"/>
          <w:b w:val="0"/>
          <w:i w:val="0"/>
          <w:sz w:val="22"/>
        </w:rPr>
        <w:t>摘要：【摘译】作者发现不确定时期与对穆斯林和犹太人的更高宽容相关。</w:t>
      </w:r>
    </w:p>
    <w:p>
      <w:r>
        <w:rPr>
          <w:rFonts w:ascii="Times New Roman" w:hAnsi="Times New Roman" w:eastAsia="宋体"/>
          <w:b w:val="0"/>
          <w:i w:val="0"/>
          <w:sz w:val="20"/>
        </w:rPr>
        <w:t>Uncertainty affects people in various ways. It is frequently found to hinder investment and production in the economic sphere. In this study, we examine the empirical relationship between uncertainty and tolerance toward Muslims and Jews. Does uncertainty make people more or less tolerant? This question is particularly relevant given the prevalence of pandemics, wars, and financial crises. We investigate this relationship using the World Uncertainty Index, which measures the frequency of the word “uncertain” (and its variants) in The Economist Intelligence Unit country reports. By analyzing quarterly data from up to 56 countries between 1990 and 2020, we link country-level uncertainty to approximately 227,000 individual responses from the World Values Survey/European Values Study regarding whether respondents would like to have Jews or Muslims as neighbors. Leveraging the precise timing of survey interviews, we relate individual attitudes to prevailing uncertainty levels. Our results indicate a positive relationship between uncertainty and both tolerance indicators. Thus, for those concerned with attitudes toward minorities often subjected to prejudice, calm periods may pose greater risks to tolerance than volatile periods.</w:t>
      </w:r>
    </w:p>
    <w:p/>
    <w:p>
      <w:r>
        <w:rPr>
          <w:rFonts w:ascii="Times New Roman" w:hAnsi="Times New Roman" w:eastAsia="黑体"/>
          <w:b/>
          <w:i w:val="0"/>
          <w:sz w:val="24"/>
        </w:rPr>
        <w:t>过去的非正规性会阻碍注册企业获得信贷吗？</w:t>
      </w:r>
    </w:p>
    <w:p>
      <w:r>
        <w:rPr>
          <w:rFonts w:ascii="Times New Roman" w:hAnsi="Times New Roman" w:eastAsia="宋体"/>
          <w:b w:val="0"/>
          <w:i/>
          <w:color w:val="404040"/>
          <w:sz w:val="20"/>
        </w:rPr>
        <w:t>Can past informality impede registered firms’ access to credit?</w:t>
      </w:r>
    </w:p>
    <w:p>
      <w:r>
        <w:rPr>
          <w:rFonts w:ascii="Times New Roman" w:hAnsi="Times New Roman" w:eastAsia="宋体"/>
          <w:b w:val="0"/>
          <w:i w:val="0"/>
          <w:color w:val="595959"/>
          <w:sz w:val="18"/>
        </w:rPr>
        <w:t>Dorgyles C.M. Kouakou</w:t>
      </w:r>
    </w:p>
    <w:p>
      <w:r>
        <w:rPr>
          <w:rFonts w:ascii="Times New Roman" w:hAnsi="Times New Roman" w:eastAsia="宋体"/>
          <w:b w:val="0"/>
          <w:i w:val="0"/>
          <w:sz w:val="22"/>
        </w:rPr>
        <w:t>摘要：【摘译】作者基于世界银行134国企业调查与熵平衡法，发现曾经非正规的注册企业面临更多信贷约束。</w:t>
      </w:r>
    </w:p>
    <w:p>
      <w:r>
        <w:rPr>
          <w:rFonts w:ascii="Times New Roman" w:hAnsi="Times New Roman" w:eastAsia="宋体"/>
          <w:b w:val="0"/>
          <w:i w:val="0"/>
          <w:sz w:val="20"/>
        </w:rPr>
        <w:t>Using a large firm-level dataset from the World Bank Enterprise Surveys, which covers 134 countries and includes over 134,000 observations, we examine whether past informality affects the credit constraints of registered firms. Estimations, based on the entropy balancing method, indicate that registered firms that began operations informally are more likely to be credit-constrained than those that started in the formal sector. This finding is extremely robust to a variety of robustness tests, including instrumental variable, propensity score matching, alternative balancing methods that combine weighting and regression, potential omitted variables, restricted samples, alternative measures of credit constraints, different specifications such as Linear Probability, Logit, and Probit models, and clustering standard errors at the country level. Heterogeneity analysis reveals that the detrimental impact of past informality lessens with firm size, firm age, and better structural factors like regulatory quality, trade openness, entrepreneurial dynamism, and public spending. Productivity, competition from the informal sector, and the quality of financial statements are key channels through which past informality increases credit constraints for registered firms.</w:t>
      </w:r>
    </w:p>
    <w:p/>
    <w:p>
      <w:r>
        <w:rPr>
          <w:rFonts w:ascii="Times New Roman" w:hAnsi="Times New Roman" w:eastAsia="黑体"/>
          <w:b/>
          <w:i w:val="0"/>
          <w:sz w:val="24"/>
        </w:rPr>
        <w:t>预防胜于治疗吗？来自中国大规模疫苗接种实验的证据</w:t>
      </w:r>
    </w:p>
    <w:p>
      <w:r>
        <w:rPr>
          <w:rFonts w:ascii="Times New Roman" w:hAnsi="Times New Roman" w:eastAsia="宋体"/>
          <w:b w:val="0"/>
          <w:i/>
          <w:color w:val="404040"/>
          <w:sz w:val="20"/>
        </w:rPr>
        <w:t>Is an ounce of prevention worth a pound of cure? Evidence from a large-scale vaccination experiment in China</w:t>
      </w:r>
    </w:p>
    <w:p>
      <w:r>
        <w:rPr>
          <w:rFonts w:ascii="Times New Roman" w:hAnsi="Times New Roman" w:eastAsia="宋体"/>
          <w:b w:val="0"/>
          <w:i w:val="0"/>
          <w:color w:val="595959"/>
          <w:sz w:val="18"/>
        </w:rPr>
        <w:t>Yuyu Chen；Eik Leong Swee；Hui Wang；Qingqing Zong</w:t>
      </w:r>
    </w:p>
    <w:p>
      <w:r>
        <w:rPr>
          <w:rFonts w:ascii="Times New Roman" w:hAnsi="Times New Roman" w:eastAsia="宋体"/>
          <w:b w:val="0"/>
          <w:i w:val="0"/>
          <w:sz w:val="22"/>
        </w:rPr>
        <w:t>摘要：【摘译】作者在中国开展大规模实验，估计流感与肺炎疫苗对慢阻肺老年患者的成本效益。</w:t>
      </w:r>
    </w:p>
    <w:p>
      <w:r>
        <w:rPr>
          <w:rFonts w:ascii="Times New Roman" w:hAnsi="Times New Roman" w:eastAsia="宋体"/>
          <w:b w:val="0"/>
          <w:i w:val="0"/>
          <w:sz w:val="20"/>
        </w:rPr>
        <w:t>Can publicly-funded immunization programs in developing countries be cost-effective? To answer this, we run a large-scale experiment in China to estimate the cost-effectiveness of influenza and pneumococcal vaccines on elderly patients with chronic obstructive pulmonary diseases (COPD). Vaccinated patients – relative to the control group – experienced improvements in their COPD condition, which led to a substantial decrease in their medical expenditure (public medical insurance reimbursements and out-of-pocket expenses). Our conservative difference-in-differences estimates imply that every dollar spent making vaccination freely available reduced public medical insurance reimbursements by at least 10 to 33 dollars, and reduced total medical expenditure by 15 to 46 dollars. Comparing across beneficiaries, we find that patients aged 70 and above, those with more severe COPD symptoms, and those residing in rural areas, benefitted the most from immunization. Our results shed light on the long-run viability of public immunization programs, and for whom should immunization be prioritized.</w:t>
      </w:r>
    </w:p>
    <w:p/>
    <w:p>
      <w:r>
        <w:rPr>
          <w:rFonts w:ascii="Times New Roman" w:hAnsi="Times New Roman" w:eastAsia="黑体"/>
          <w:b/>
          <w:i w:val="0"/>
          <w:sz w:val="24"/>
        </w:rPr>
        <w:t>性别少数：一种非金钱的政治资本路径</w:t>
      </w:r>
    </w:p>
    <w:p>
      <w:r>
        <w:rPr>
          <w:rFonts w:ascii="Times New Roman" w:hAnsi="Times New Roman" w:eastAsia="宋体"/>
          <w:b w:val="0"/>
          <w:i/>
          <w:color w:val="404040"/>
          <w:sz w:val="20"/>
        </w:rPr>
        <w:t>Gender minority: A non-pecuniary approach to political capital</w:t>
      </w:r>
    </w:p>
    <w:p>
      <w:r>
        <w:rPr>
          <w:rFonts w:ascii="Times New Roman" w:hAnsi="Times New Roman" w:eastAsia="宋体"/>
          <w:b w:val="0"/>
          <w:i w:val="0"/>
          <w:color w:val="595959"/>
          <w:sz w:val="18"/>
        </w:rPr>
        <w:t>Qingfeng Cai；Dongxu Li；Hao Liu</w:t>
      </w:r>
    </w:p>
    <w:p>
      <w:r>
        <w:rPr>
          <w:rFonts w:ascii="Times New Roman" w:hAnsi="Times New Roman" w:eastAsia="宋体"/>
          <w:b w:val="0"/>
          <w:i w:val="0"/>
          <w:sz w:val="22"/>
        </w:rPr>
        <w:t>摘要：【摘译】作者发现城市领导由男性换为女性时，企业以任命女性高管作为获取政治资本的非金钱策略。</w:t>
      </w:r>
    </w:p>
    <w:p>
      <w:r>
        <w:rPr>
          <w:rFonts w:ascii="Times New Roman" w:hAnsi="Times New Roman" w:eastAsia="宋体"/>
          <w:b w:val="0"/>
          <w:i w:val="0"/>
          <w:sz w:val="20"/>
        </w:rPr>
        <w:t>Social minority benefits from in-group favoritism, and companies may leverage it as a non-pecuniary strategy to access political capital. We examine gendered implications of corporate responses to city-level political turnovers, specifically when the leadership shifts from male to female politician. We show that the politician turnover induces firms headquartered in that city to increase the presence of women on the board of directors, particularly in the chairman or CEO position. This result is unlikely driven by gender equality concerns or other firm characteristics. Firms selecting a female director witness significantly increased financial support from the government. This paper suggests that gender minority can be a subtle way accessing political capital, and boosting female representation can help curb the in-group favoritism.</w:t>
      </w:r>
    </w:p>
    <w:p/>
    <w:p>
      <w:r>
        <w:rPr>
          <w:rFonts w:ascii="Times New Roman" w:hAnsi="Times New Roman" w:eastAsia="黑体"/>
          <w:b/>
          <w:i w:val="0"/>
          <w:sz w:val="24"/>
        </w:rPr>
        <w:t>新冠疫情与健康不平等：来自风险行为的证据</w:t>
      </w:r>
    </w:p>
    <w:p>
      <w:r>
        <w:rPr>
          <w:rFonts w:ascii="Times New Roman" w:hAnsi="Times New Roman" w:eastAsia="宋体"/>
          <w:b w:val="0"/>
          <w:i/>
          <w:color w:val="404040"/>
          <w:sz w:val="20"/>
        </w:rPr>
        <w:t>COVID-19 and health inequality: Evidence from risky behaviors</w:t>
      </w:r>
    </w:p>
    <w:p>
      <w:r>
        <w:rPr>
          <w:rFonts w:ascii="Times New Roman" w:hAnsi="Times New Roman" w:eastAsia="宋体"/>
          <w:b w:val="0"/>
          <w:i w:val="0"/>
          <w:color w:val="595959"/>
          <w:sz w:val="18"/>
        </w:rPr>
        <w:t>Chen Huang；Cong Li；Feng Liu；Sijie Wei；Ruofei Xu</w:t>
      </w:r>
    </w:p>
    <w:p>
      <w:r>
        <w:rPr>
          <w:rFonts w:ascii="Times New Roman" w:hAnsi="Times New Roman" w:eastAsia="宋体"/>
          <w:b w:val="0"/>
          <w:i w:val="0"/>
          <w:sz w:val="22"/>
        </w:rPr>
        <w:t>摘要：【摘译】作者以合成双重差分法从风险行为角度考察新冠疫情对健康不平等的影响。</w:t>
      </w:r>
    </w:p>
    <w:p>
      <w:r>
        <w:rPr>
          <w:rFonts w:ascii="Times New Roman" w:hAnsi="Times New Roman" w:eastAsia="宋体"/>
          <w:b w:val="0"/>
          <w:i w:val="0"/>
          <w:sz w:val="20"/>
        </w:rPr>
        <w:t>The COVID-19 pandemic has created unprecedented disruption along many dimensions, yet we do not fully understand how it might shape health inequalities. This paper studies the impact of COVID-19 outbreak on health inequality from the perspective of risky behaviors. We adopt the novel synthetic difference-in-differences approach based on longitudinal data in China. The uniqueness of China’s COVID-19 outbreak in 2020 helps disentangle the demand-side reasons from supply-side restrictions. Results show that people with more advantaged backgrounds reduced cigarette and alcohol consumption following the pandemic, while the disadvantaged were little affected. The disparities in risky behaviors are unlikely driven by unequal income reduction and we find null pandemic effect on mental health. However, there is suggestive evidence of heterogeneous responses in social activities and health attention. While social activities may eventually return to the pre-pandemic level, enlarged gap in attention to personal health likely persists, leading to widened health inequality.</w:t>
      </w:r>
    </w:p>
    <w:p/>
    <w:p>
      <w:r>
        <w:rPr>
          <w:rFonts w:ascii="Times New Roman" w:hAnsi="Times New Roman" w:eastAsia="宋体"/>
          <w:b/>
          <w:i w:val="0"/>
          <w:sz w:val="22"/>
        </w:rPr>
        <w:t>JCE： Vol. 53, No. 2, 2025</w:t>
      </w:r>
    </w:p>
    <w:p/>
    <w:p>
      <w:r>
        <w:rPr>
          <w:rFonts w:ascii="Times New Roman" w:hAnsi="Times New Roman" w:eastAsia="黑体"/>
          <w:b/>
          <w:i w:val="0"/>
          <w:sz w:val="24"/>
        </w:rPr>
        <w:t>降雨冲击对离婚请求的影响：来自殖民时期塞内加尔的证据</w:t>
      </w:r>
    </w:p>
    <w:p>
      <w:r>
        <w:rPr>
          <w:rFonts w:ascii="Times New Roman" w:hAnsi="Times New Roman" w:eastAsia="宋体"/>
          <w:b w:val="0"/>
          <w:i/>
          <w:color w:val="404040"/>
          <w:sz w:val="20"/>
        </w:rPr>
        <w:t>The effects of rainfall shocks on divorce requests: Evidence from Colonial Senegal</w:t>
      </w:r>
    </w:p>
    <w:p>
      <w:r>
        <w:rPr>
          <w:rFonts w:ascii="Times New Roman" w:hAnsi="Times New Roman" w:eastAsia="宋体"/>
          <w:b w:val="0"/>
          <w:i w:val="0"/>
          <w:color w:val="595959"/>
          <w:sz w:val="18"/>
        </w:rPr>
        <w:t>Karine Marazyan</w:t>
      </w:r>
    </w:p>
    <w:p>
      <w:r>
        <w:rPr>
          <w:rFonts w:ascii="Times New Roman" w:hAnsi="Times New Roman" w:eastAsia="宋体"/>
          <w:b w:val="0"/>
          <w:i w:val="0"/>
          <w:sz w:val="22"/>
        </w:rPr>
        <w:t>摘要：【摘译】作者利用殖民时期塞内加尔本地法院档案，发现负向降雨冲击增加离婚请求。</w:t>
      </w:r>
    </w:p>
    <w:p>
      <w:r>
        <w:rPr>
          <w:rFonts w:ascii="Times New Roman" w:hAnsi="Times New Roman" w:eastAsia="宋体"/>
          <w:b w:val="0"/>
          <w:i w:val="0"/>
          <w:sz w:val="20"/>
        </w:rPr>
        <w:t>This paper examines the impact of rainfall variations, as a proxy for agricultural income changes, on divorce requests in colonial Senegal, utilising judicial records from native courts during the period 1906–1922. A major finding is that negative precipitation shocks during the third quarter, which coincides with the growing season of the majority of crops cultivated in Senegal, result in an increase in the number of requests for divorce brought before courts in the following year. The impact appears to be concentrated in specific regions of Senegal and during a period when the agricultural income of farmers may be particularly susceptible to fluctuations in precipitation. The rise in marital dissolution can be attributed to an increase in intra-household conflicts over reduced resource allocation. In the context under consideration, the bride price frequently paid on the occasion of marriage may be viewed by husbands as a transferable asset which they may wish to recuperate by pressuring their wives into filing for divorce. This may serve to exacerbate the issue. This study contributes to the economic history literature by utilising unique colonial court records to document family dynamics in interaction with the economic environment.</w:t>
      </w:r>
    </w:p>
    <w:p/>
    <w:p>
      <w:r>
        <w:rPr>
          <w:rFonts w:ascii="Times New Roman" w:hAnsi="Times New Roman" w:eastAsia="黑体"/>
          <w:b/>
          <w:i w:val="0"/>
          <w:sz w:val="24"/>
        </w:rPr>
        <w:t>父母人力资本对子女的代际效应：来自马拉维的证据</w:t>
      </w:r>
    </w:p>
    <w:p>
      <w:r>
        <w:rPr>
          <w:rFonts w:ascii="Times New Roman" w:hAnsi="Times New Roman" w:eastAsia="宋体"/>
          <w:b w:val="0"/>
          <w:i/>
          <w:color w:val="404040"/>
          <w:sz w:val="20"/>
        </w:rPr>
        <w:t>Intergenerational effects of parental human capital on children: Evidence from Malawi</w:t>
      </w:r>
    </w:p>
    <w:p>
      <w:r>
        <w:rPr>
          <w:rFonts w:ascii="Times New Roman" w:hAnsi="Times New Roman" w:eastAsia="宋体"/>
          <w:b w:val="0"/>
          <w:i w:val="0"/>
          <w:color w:val="595959"/>
          <w:sz w:val="18"/>
        </w:rPr>
        <w:t>Youjin Hahn；Minji Kwak；Hyelim Son</w:t>
      </w:r>
    </w:p>
    <w:p>
      <w:r>
        <w:rPr>
          <w:rFonts w:ascii="Times New Roman" w:hAnsi="Times New Roman" w:eastAsia="宋体"/>
          <w:b w:val="0"/>
          <w:i w:val="0"/>
          <w:sz w:val="22"/>
        </w:rPr>
        <w:t>摘要：【摘译】作者以马拉维1994年免费初等教育改革为工具，估计父母教育对子女的代际效应。</w:t>
      </w:r>
    </w:p>
    <w:p>
      <w:r>
        <w:rPr>
          <w:rFonts w:ascii="Times New Roman" w:hAnsi="Times New Roman" w:eastAsia="宋体"/>
          <w:b w:val="0"/>
          <w:i w:val="0"/>
          <w:sz w:val="20"/>
        </w:rPr>
        <w:t>We investigate the intergenerational transmission of parental education on children’s outcomes in Malawi. Using the variations induced by the Free Primary Education reform implemented in 1994, we find that an extra year of mothers’ and fathers’ schooling increases children’s schooling years by 0.19 and 0.16 years, respectively. Children with more educated mothers are less likely to work, while no such evidence is found for children with more educated fathers. We examine an array of potential mechanisms, including assortative mating, reduced fertility, and improvements in family resources. We find that spousal quality, fertility response, and a narrower age gap between spouses may be the underlying channels for the intergenerational transmission of education.</w:t>
      </w:r>
    </w:p>
    <w:p/>
    <w:p>
      <w:r>
        <w:rPr>
          <w:rFonts w:ascii="Times New Roman" w:hAnsi="Times New Roman" w:eastAsia="黑体"/>
          <w:b/>
          <w:i w:val="0"/>
          <w:sz w:val="24"/>
        </w:rPr>
        <w:t>黑人经济赋权对南非上市公司绩效的影响</w:t>
      </w:r>
    </w:p>
    <w:p>
      <w:r>
        <w:rPr>
          <w:rFonts w:ascii="Times New Roman" w:hAnsi="Times New Roman" w:eastAsia="宋体"/>
          <w:b w:val="0"/>
          <w:i/>
          <w:color w:val="404040"/>
          <w:sz w:val="20"/>
        </w:rPr>
        <w:t>The impact of black economic empowerment on the performance of listed firms in South Africa</w:t>
      </w:r>
    </w:p>
    <w:p>
      <w:r>
        <w:rPr>
          <w:rFonts w:ascii="Times New Roman" w:hAnsi="Times New Roman" w:eastAsia="宋体"/>
          <w:b w:val="0"/>
          <w:i w:val="0"/>
          <w:color w:val="595959"/>
          <w:sz w:val="18"/>
        </w:rPr>
        <w:t>Matthias Busse；Nina Kupzig；Tim Vogel</w:t>
      </w:r>
    </w:p>
    <w:p>
      <w:r>
        <w:rPr>
          <w:rFonts w:ascii="Times New Roman" w:hAnsi="Times New Roman" w:eastAsia="宋体"/>
          <w:b w:val="0"/>
          <w:i w:val="0"/>
          <w:sz w:val="22"/>
        </w:rPr>
        <w:t>摘要：【摘译】作者考察南非黑人经济赋权政策对上市公司营收与绩效的影响。</w:t>
      </w:r>
    </w:p>
    <w:p>
      <w:r>
        <w:rPr>
          <w:rFonts w:ascii="Times New Roman" w:hAnsi="Times New Roman" w:eastAsia="宋体"/>
          <w:b w:val="0"/>
          <w:i w:val="0"/>
          <w:sz w:val="20"/>
        </w:rPr>
        <w:t>Black Economic Empowerment (BEE) is a policy that aims to empower previously disadvantaged individuals and decrease racial economic inequality in South Africa. As the program puts reformation pressure on firms, it might strongly influence firm performance. This article examines how BEE affects turnover, profits, and labour productivity of firms listed on the Johannesburg Stock Exchange (JSE). We use an extensive dataset covering a major share of listed firms between 2004 and 2019. The analysis employs fixed-effects regressions and the system GMM approach to account for endogeneity. Subsample analyses are used to account for heterogeneity in BEE scores. Overall, we find that BEE tends to have a small positive impact on firms’ turnover, a positive but not robust impact on labour productivity, and no impact on profits. Larger JSE-listed firms drive the positive effect on turnover. We conclude that BEE had a slightly positive effect on large JSE firms in the best case but also did not harm JSE firms in the worst case. To increase the benefits of BEE, we propose that the policy should be further adapted to reduce the cost of compliance and focus on areas that enhance structural change in South African companies, like skills development.</w:t>
      </w:r>
    </w:p>
    <w:p/>
    <w:p>
      <w:r>
        <w:rPr>
          <w:rFonts w:ascii="Times New Roman" w:hAnsi="Times New Roman" w:eastAsia="黑体"/>
          <w:b/>
          <w:i w:val="0"/>
          <w:sz w:val="24"/>
        </w:rPr>
        <w:t>降雨对生产率的影响：对中国制造业的启示</w:t>
      </w:r>
    </w:p>
    <w:p>
      <w:r>
        <w:rPr>
          <w:rFonts w:ascii="Times New Roman" w:hAnsi="Times New Roman" w:eastAsia="宋体"/>
          <w:b w:val="0"/>
          <w:i/>
          <w:color w:val="404040"/>
          <w:sz w:val="20"/>
        </w:rPr>
        <w:t>The impact of rainfall on productivity: Implications for Chinese manufacturing</w:t>
      </w:r>
    </w:p>
    <w:p>
      <w:r>
        <w:rPr>
          <w:rFonts w:ascii="Times New Roman" w:hAnsi="Times New Roman" w:eastAsia="宋体"/>
          <w:b w:val="0"/>
          <w:i w:val="0"/>
          <w:color w:val="595959"/>
          <w:sz w:val="18"/>
        </w:rPr>
        <w:t>Xiaodong Chen；Yatang Lin；Pengyu Zhu</w:t>
      </w:r>
    </w:p>
    <w:p>
      <w:r>
        <w:rPr>
          <w:rFonts w:ascii="Times New Roman" w:hAnsi="Times New Roman" w:eastAsia="宋体"/>
          <w:b w:val="0"/>
          <w:i w:val="0"/>
          <w:sz w:val="22"/>
        </w:rPr>
        <w:t>摘要：【摘译】作者结合站点气候数据与中国制造业企业微观数据，估计降雨异常对生产率的影响。</w:t>
      </w:r>
    </w:p>
    <w:p>
      <w:r>
        <w:rPr>
          <w:rFonts w:ascii="Times New Roman" w:hAnsi="Times New Roman" w:eastAsia="宋体"/>
          <w:b w:val="0"/>
          <w:i w:val="0"/>
          <w:sz w:val="20"/>
        </w:rPr>
        <w:t>Rainfall affects productivity in many ways. Compared to temperature anomalies, the impacts of precipitation anomalies have been understudied, with existing evidence at the macro level. By combining ground station-level climate data and micro-data from half a million manufacturing firms in China, we uncover that rainfall negatively impacts firms’ productivity, with the most significant negative impacts concentrated in extremely heavy rainfall anomalies. Labor-intensive, low-tech, or less productive firms and those located in rainy regions are vulnerable to rainfall extremes. Our estimates are large enough to explain previously observed output losses in cross-country panels. We uncover three primary channels through which manufacturing firms experience productivity loss: reduction in labor, agriculture intermediate inputs and transportation disruptions. We also identify several margins of adaptation. Utilizing the Shared Socioeconomic Pathways Scenarios (SSPs), we estimate the future impact of rainfall on productivity in a cost-benefit analysis. Our projections indicate a substantial output loss of 2.4–14.9 billion CNY by 2100, due to the increase in extreme rainfall events under each scenario with different implementation of environmental policies.</w:t>
      </w:r>
    </w:p>
    <w:p/>
    <w:p>
      <w:r>
        <w:rPr>
          <w:rFonts w:ascii="Times New Roman" w:hAnsi="Times New Roman" w:eastAsia="黑体"/>
          <w:b/>
          <w:i w:val="0"/>
          <w:sz w:val="24"/>
        </w:rPr>
        <w:t>国家认同、公共物品与现代经济发展</w:t>
      </w:r>
    </w:p>
    <w:p>
      <w:r>
        <w:rPr>
          <w:rFonts w:ascii="Times New Roman" w:hAnsi="Times New Roman" w:eastAsia="宋体"/>
          <w:b w:val="0"/>
          <w:i/>
          <w:color w:val="404040"/>
          <w:sz w:val="20"/>
        </w:rPr>
        <w:t>National identity, public goods, and modern economic development</w:t>
      </w:r>
    </w:p>
    <w:p>
      <w:r>
        <w:rPr>
          <w:rFonts w:ascii="Times New Roman" w:hAnsi="Times New Roman" w:eastAsia="宋体"/>
          <w:b w:val="0"/>
          <w:i w:val="0"/>
          <w:color w:val="595959"/>
          <w:sz w:val="18"/>
        </w:rPr>
        <w:t>Stergios Skaperdas；Patrick A. Testa</w:t>
      </w:r>
    </w:p>
    <w:p>
      <w:r>
        <w:rPr>
          <w:rFonts w:ascii="Times New Roman" w:hAnsi="Times New Roman" w:eastAsia="宋体"/>
          <w:b w:val="0"/>
          <w:i w:val="0"/>
          <w:sz w:val="22"/>
        </w:rPr>
        <w:t>摘要：【摘译】作者构建精英—平民模型，认为精英有动机引导平民认同国家，以减少分配冲突、扩大税收与公共物品供给；该效应自我强化，但取决于对精英的政治约束，并以英美历史检验。</w:t>
      </w:r>
    </w:p>
    <w:p>
      <w:r>
        <w:rPr>
          <w:rFonts w:ascii="Times New Roman" w:hAnsi="Times New Roman" w:eastAsia="宋体"/>
          <w:b w:val="0"/>
          <w:i w:val="0"/>
          <w:sz w:val="20"/>
        </w:rPr>
        <w:t>Since the Industrial Revolution, large-scale economic development has coincided with the rise of the modern nation-state. We argue that this is not a coincidence. We show how the advent of national identity helped modern states overcome internal conflicts over the distribution of economic benefits to provide public goods and grow. Using a model with elites and commoners, characterized initially by distinct group identities (e.g., ethnicity, class), we show that elites have an incentive to induce commoners to identify with the nation. The more widespread is national identification, the less is conflict between elites and commoners, and the more revenues can be collected and public goods broadly provided. This effect is self-reinforcing: the greater is public goods provision, the greater is the economic status of the nation and thus the psychological return on national identification. Elites’ incentives to induce national identification, however, depend on the presence of political restraints on the elite. We reexamine the historical cases of England (1600–1920) and the United States (1865–present), identifying support for our framework therein.</w:t>
      </w:r>
    </w:p>
    <w:p/>
    <w:p>
      <w:r>
        <w:rPr>
          <w:rFonts w:ascii="Times New Roman" w:hAnsi="Times New Roman" w:eastAsia="黑体"/>
          <w:b/>
          <w:i w:val="0"/>
          <w:sz w:val="24"/>
        </w:rPr>
        <w:t>外交关系与农产品贸易</w:t>
      </w:r>
    </w:p>
    <w:p>
      <w:r>
        <w:rPr>
          <w:rFonts w:ascii="Times New Roman" w:hAnsi="Times New Roman" w:eastAsia="宋体"/>
          <w:b w:val="0"/>
          <w:i/>
          <w:color w:val="404040"/>
          <w:sz w:val="20"/>
        </w:rPr>
        <w:t>Diplomatic relations and agricultural trade</w:t>
      </w:r>
    </w:p>
    <w:p>
      <w:r>
        <w:rPr>
          <w:rFonts w:ascii="Times New Roman" w:hAnsi="Times New Roman" w:eastAsia="宋体"/>
          <w:b w:val="0"/>
          <w:i w:val="0"/>
          <w:color w:val="595959"/>
          <w:sz w:val="18"/>
        </w:rPr>
        <w:t>Zhongda Li；Lu Liu</w:t>
      </w:r>
    </w:p>
    <w:p>
      <w:r>
        <w:rPr>
          <w:rFonts w:ascii="Times New Roman" w:hAnsi="Times New Roman" w:eastAsia="宋体"/>
          <w:b w:val="0"/>
          <w:i w:val="0"/>
          <w:sz w:val="22"/>
        </w:rPr>
        <w:t>摘要：政治冲突常扰乱农产品贸易，但既有研究很少关注粮食市场。本文以中国为对象，将168个贸易伙伴对华农产品出口面板与作者构建的外交关系排名指数匹配。采用多种策略处理内生性后，作者发现外交亲近对双边农产品出口有强而正的影响，机制主要是加强双边沟通。基于Stone-Geary偏好的量化贸易模型显示，外交关系排名提升通过农产品贸易带来0.5%—1.8%的福利增益。</w:t>
      </w:r>
    </w:p>
    <w:p>
      <w:r>
        <w:rPr>
          <w:rFonts w:ascii="Times New Roman" w:hAnsi="Times New Roman" w:eastAsia="宋体"/>
          <w:b w:val="0"/>
          <w:i w:val="0"/>
          <w:sz w:val="20"/>
        </w:rPr>
        <w:t>Political conflicts often cause disruptions in agricultural trade, yet previous studies have not paid much attention to the food market. Focusing on China, this paper examines the impact of diplomatic relations on agricultural trade. We match a panel dataset on agricultural exports to China from 168 trading partners with our constructed ranking index of diplomatic relations. Using different strategies to address the endogeneity issue, our analysis finds robust evidence for a strong and positive effect of diplomatic affinity on bilateral agricultural export flows. Exploring the potential mechanisms, we uncover that the increased agricultural exports work primarily through enhancing bilateral communication. Based on a quantitative trade model with Stone-Geary preferences, we then quantify the welfare effects from changes in diplomatic relations. We show that an increase in the ranking of diplomatic relations with trading partners leads to welfare gains of 0.5-1.8% through agricultural trade.</w:t>
      </w:r>
    </w:p>
    <w:p/>
    <w:p>
      <w:r>
        <w:rPr>
          <w:rFonts w:ascii="Times New Roman" w:hAnsi="Times New Roman" w:eastAsia="黑体"/>
          <w:b/>
          <w:i w:val="0"/>
          <w:sz w:val="24"/>
        </w:rPr>
        <w:t>冲突与社会资本：来自俄罗斯对乌克兰战争的证据</w:t>
      </w:r>
    </w:p>
    <w:p>
      <w:r>
        <w:rPr>
          <w:rFonts w:ascii="Times New Roman" w:hAnsi="Times New Roman" w:eastAsia="宋体"/>
          <w:b w:val="0"/>
          <w:i/>
          <w:color w:val="404040"/>
          <w:sz w:val="20"/>
        </w:rPr>
        <w:t>Conflict and social capital: Evidence from the Russian War against Ukraine</w:t>
      </w:r>
    </w:p>
    <w:p>
      <w:r>
        <w:rPr>
          <w:rFonts w:ascii="Times New Roman" w:hAnsi="Times New Roman" w:eastAsia="宋体"/>
          <w:b w:val="0"/>
          <w:i w:val="0"/>
          <w:color w:val="595959"/>
          <w:sz w:val="18"/>
        </w:rPr>
        <w:t>Georg Hoch；Andreas Pondorfer；Viktoriia Shkola</w:t>
      </w:r>
    </w:p>
    <w:p>
      <w:r>
        <w:rPr>
          <w:rFonts w:ascii="Times New Roman" w:hAnsi="Times New Roman" w:eastAsia="宋体"/>
          <w:b w:val="0"/>
          <w:i w:val="0"/>
          <w:sz w:val="22"/>
        </w:rPr>
        <w:t>摘要：【摘译】作者以地理编码冲突数据与自报战争经历，考察俄乌战争对乌克兰社会资本的影响。</w:t>
      </w:r>
    </w:p>
    <w:p>
      <w:r>
        <w:rPr>
          <w:rFonts w:ascii="Times New Roman" w:hAnsi="Times New Roman" w:eastAsia="宋体"/>
          <w:b w:val="0"/>
          <w:i w:val="0"/>
          <w:sz w:val="20"/>
        </w:rPr>
        <w:t>This study investigates the relationship between the Russian invasion of Ukraine and social capital. Using survey data of the Ukrainian population, we apply two measures of conflict exposure: geocoded conflict data and self-reported war experience. We find that objective war events are associated with lower levels of prosocial behavior and institutional trust, while subjective war experiences show a positive correlation with prosociality and a negative correlation with institutional trust. These findings highlight the complex interplay between objective and subjective war measures and underscores the importance of considering both quantitative and qualitative aspects of war experiences in understanding their impact on human behavior.</w:t>
      </w:r>
    </w:p>
    <w:p/>
    <w:p>
      <w:r>
        <w:rPr>
          <w:rFonts w:ascii="Times New Roman" w:hAnsi="Times New Roman" w:eastAsia="黑体"/>
          <w:b/>
          <w:i w:val="0"/>
          <w:sz w:val="24"/>
        </w:rPr>
        <w:t>摆脱单位根？民主与经济自由的时间序列性质</w:t>
      </w:r>
    </w:p>
    <w:p>
      <w:r>
        <w:rPr>
          <w:rFonts w:ascii="Times New Roman" w:hAnsi="Times New Roman" w:eastAsia="宋体"/>
          <w:b w:val="0"/>
          <w:i/>
          <w:color w:val="404040"/>
          <w:sz w:val="20"/>
        </w:rPr>
        <w:t>Freedom from unit roots? The time series properties of democracy and economic freedom</w:t>
      </w:r>
    </w:p>
    <w:p>
      <w:r>
        <w:rPr>
          <w:rFonts w:ascii="Times New Roman" w:hAnsi="Times New Roman" w:eastAsia="宋体"/>
          <w:b w:val="0"/>
          <w:i w:val="0"/>
          <w:color w:val="595959"/>
          <w:sz w:val="18"/>
        </w:rPr>
        <w:t>Colin O'Reilly；Ryan H. Murphy</w:t>
      </w:r>
    </w:p>
    <w:p>
      <w:r>
        <w:rPr>
          <w:rFonts w:ascii="Times New Roman" w:hAnsi="Times New Roman" w:eastAsia="宋体"/>
          <w:b w:val="0"/>
          <w:i w:val="0"/>
          <w:sz w:val="22"/>
        </w:rPr>
        <w:t>摘要：【摘译】作者以扩展数据与第二代面板单位根和协整检验，重新检验民主与经济自由的协整关系。</w:t>
      </w:r>
    </w:p>
    <w:p>
      <w:r>
        <w:rPr>
          <w:rFonts w:ascii="Times New Roman" w:hAnsi="Times New Roman" w:eastAsia="宋体"/>
          <w:b w:val="0"/>
          <w:i w:val="0"/>
          <w:sz w:val="20"/>
        </w:rPr>
        <w:t>This paper revisits Sobel and Coyne (2011), which finds a cointegrating relationship between democracy and economic freedom. We extend their sample with data published since that time, make use of the second generation of panel unit root and panel cointegration tests, and apply the more comprehensive measure of democracy from Varieties of Democracy. With these methodological improvements in place, we do not find that either economic freedom or democracy has a unit root in the full set of countries studied, and they therefore cannot have a cointegrating relationship. We then apply the methodology developed by Chortareas and Kapetanios (2009) in order to isolate a subset of countries whose institutions may in fact have a cointegrating relationship.</w:t>
      </w:r>
    </w:p>
    <w:p/>
    <w:p>
      <w:r>
        <w:rPr>
          <w:rFonts w:ascii="Times New Roman" w:hAnsi="Times New Roman" w:eastAsia="黑体"/>
          <w:b/>
          <w:i w:val="0"/>
          <w:sz w:val="24"/>
        </w:rPr>
        <w:t>20世纪亚洲与欧洲的性别平等：社会主义的作用</w:t>
      </w:r>
    </w:p>
    <w:p>
      <w:r>
        <w:rPr>
          <w:rFonts w:ascii="Times New Roman" w:hAnsi="Times New Roman" w:eastAsia="宋体"/>
          <w:b w:val="0"/>
          <w:i/>
          <w:color w:val="404040"/>
          <w:sz w:val="20"/>
        </w:rPr>
        <w:t>Gender equality in Asia and Europe during the 20th century: The role of socialism</w:t>
      </w:r>
    </w:p>
    <w:p>
      <w:r>
        <w:rPr>
          <w:rFonts w:ascii="Times New Roman" w:hAnsi="Times New Roman" w:eastAsia="宋体"/>
          <w:b w:val="0"/>
          <w:i w:val="0"/>
          <w:color w:val="595959"/>
          <w:sz w:val="18"/>
        </w:rPr>
        <w:t>Sophia Jung；Jörg Baten</w:t>
      </w:r>
    </w:p>
    <w:p>
      <w:r>
        <w:rPr>
          <w:rFonts w:ascii="Times New Roman" w:hAnsi="Times New Roman" w:eastAsia="宋体"/>
          <w:b w:val="0"/>
          <w:i w:val="0"/>
          <w:sz w:val="22"/>
        </w:rPr>
        <w:t>摘要：【摘译】作者以调整后的男女身高差为新指标，考察88国1910—1980年代社会主义对性别平等的影响。</w:t>
      </w:r>
    </w:p>
    <w:p>
      <w:r>
        <w:rPr>
          <w:rFonts w:ascii="Times New Roman" w:hAnsi="Times New Roman" w:eastAsia="宋体"/>
          <w:b w:val="0"/>
          <w:i w:val="0"/>
          <w:sz w:val="20"/>
        </w:rPr>
        <w:t>Whether socialism improved gender equality, or whether the double-burden effect of socialism lowered gender equality, is an unresolved debate. A novel indicator allows to address this question for 88 countries during the 1910s to 1980s period: the adjusted height gap between males and females. Both biological and economic determinants of height gaps need to be considered. The proposed measure is validated through comparisons with relative life expectancies and the Gender Development Index (GDI), demonstrating its utility for tracing gender equality trends. Regression analysis reveals a significant relationship between socialism and improved gender equality within Europe and Asia. The results are confirmed by comparing them to gender equality in education. Robustness checks using staggered Difference-in-Differences methods and instrumental variable estimation suggest a robust and consistently positive relationship between socialism and gender equality.</w:t>
      </w:r>
    </w:p>
    <w:p/>
    <w:p>
      <w:r>
        <w:rPr>
          <w:rFonts w:ascii="Times New Roman" w:hAnsi="Times New Roman" w:eastAsia="黑体"/>
          <w:b/>
          <w:i w:val="0"/>
          <w:sz w:val="24"/>
        </w:rPr>
        <w:t>奴隶制对产业创新的阴影：来自美国南方的证据</w:t>
      </w:r>
    </w:p>
    <w:p>
      <w:r>
        <w:rPr>
          <w:rFonts w:ascii="Times New Roman" w:hAnsi="Times New Roman" w:eastAsia="宋体"/>
          <w:b w:val="0"/>
          <w:i/>
          <w:color w:val="404040"/>
          <w:sz w:val="20"/>
        </w:rPr>
        <w:t>The shadow of slavery on industrial innovation: Evidence from the US South</w:t>
      </w:r>
    </w:p>
    <w:p>
      <w:r>
        <w:rPr>
          <w:rFonts w:ascii="Times New Roman" w:hAnsi="Times New Roman" w:eastAsia="宋体"/>
          <w:b w:val="0"/>
          <w:i w:val="0"/>
          <w:color w:val="595959"/>
          <w:sz w:val="18"/>
        </w:rPr>
        <w:t>Yeonha Jung；Chungeun Yoon</w:t>
      </w:r>
    </w:p>
    <w:p>
      <w:r>
        <w:rPr>
          <w:rFonts w:ascii="Times New Roman" w:hAnsi="Times New Roman" w:eastAsia="宋体"/>
          <w:b w:val="0"/>
          <w:i w:val="0"/>
          <w:sz w:val="22"/>
        </w:rPr>
        <w:t>摘要：【摘译】作者发现历史奴隶集中度高的南方县在内战后产业创新放缓。</w:t>
      </w:r>
    </w:p>
    <w:p>
      <w:r>
        <w:rPr>
          <w:rFonts w:ascii="Times New Roman" w:hAnsi="Times New Roman" w:eastAsia="宋体"/>
          <w:b w:val="0"/>
          <w:i w:val="0"/>
          <w:sz w:val="20"/>
        </w:rPr>
        <w:t>The abolition of American slavery was a profound shock to the southern economy, but little is known about its effect on industrial innovation. This study hypothesizes that historical slave concentration was followed by a slowdown in industrial innovation after the Civil War, due to technical change biased toward unskilled labor. Moreover, given the shifts in labor market conditions in the postbellum South, we propose that this relationship became evident after Reconstruction. County-level evidence supports this hypothesis; counties where slavery was more prevalent in 1860 experienced a relative decline in manufacturing patents in the post-Reconstruction period. The role of technical change as a mechanism is supported in two dimensions. First, the reduction in innovation was more pronounced in low-skill industries, which were better suited to unskill-biased technical change. Second, the return to literacy in the industrial sector decreased with the historical prevalence of slavery, a finding that suggests a decline in skill demand.</w:t>
      </w:r>
    </w:p>
    <w:p/>
    <w:p>
      <w:r>
        <w:rPr>
          <w:rFonts w:ascii="Times New Roman" w:hAnsi="Times New Roman" w:eastAsia="黑体"/>
          <w:b/>
          <w:i w:val="0"/>
          <w:sz w:val="24"/>
        </w:rPr>
        <w:t>内战后美国南方的奴隶制与集体主义</w:t>
      </w:r>
    </w:p>
    <w:p>
      <w:r>
        <w:rPr>
          <w:rFonts w:ascii="Times New Roman" w:hAnsi="Times New Roman" w:eastAsia="宋体"/>
          <w:b w:val="0"/>
          <w:i/>
          <w:color w:val="404040"/>
          <w:sz w:val="20"/>
        </w:rPr>
        <w:t>Slavery and collectivism in the postbellum American South</w:t>
      </w:r>
    </w:p>
    <w:p>
      <w:r>
        <w:rPr>
          <w:rFonts w:ascii="Times New Roman" w:hAnsi="Times New Roman" w:eastAsia="宋体"/>
          <w:b w:val="0"/>
          <w:i w:val="0"/>
          <w:color w:val="595959"/>
          <w:sz w:val="18"/>
        </w:rPr>
        <w:t>Yeonha Jung</w:t>
      </w:r>
    </w:p>
    <w:p>
      <w:r>
        <w:rPr>
          <w:rFonts w:ascii="Times New Roman" w:hAnsi="Times New Roman" w:eastAsia="宋体"/>
          <w:b w:val="0"/>
          <w:i w:val="0"/>
          <w:sz w:val="22"/>
        </w:rPr>
        <w:t>摘要：【摘译】作者发现历史奴隶集中度高的地区在重建后呈现更强的集体主义文化。</w:t>
      </w:r>
    </w:p>
    <w:p>
      <w:r>
        <w:rPr>
          <w:rFonts w:ascii="Times New Roman" w:hAnsi="Times New Roman" w:eastAsia="宋体"/>
          <w:b w:val="0"/>
          <w:i w:val="0"/>
          <w:sz w:val="20"/>
        </w:rPr>
        <w:t>The deep marks of American slavery extend to cultural traits. This study suggests that historical slave concentration was followed by more collectivist cultures, with this relationship becoming evident after Reconstruction. Our proposed mechanism rests on the interaction between slavery and subsequent institutional changes: historical prevalence of slavery led to a stronger implementation of post-Reconstruction policies aimed at restoring the racial hierarchy, contributing to the reinforcement of group identity and collectivism. County-level evidence supports this hypothesis. Using the share of uncommon names as a proxy for individualism-collectivism, we show that the relationship between slavery and collectivism emerged after Reconstruction. Beyond the temporal coincidence, we present a case study on anti-enticement laws to investigate the institutional mechanism of this cultural shift. The cultural legacy of slavery persists to this day, as evidenced by survey-based outcomes and measures of civic engagement.</w:t>
      </w:r>
    </w:p>
    <w:p/>
    <w:p>
      <w:r>
        <w:rPr>
          <w:rFonts w:ascii="Times New Roman" w:hAnsi="Times New Roman" w:eastAsia="黑体"/>
          <w:b/>
          <w:i w:val="0"/>
          <w:sz w:val="24"/>
        </w:rPr>
        <w:t>在国家引导型市场经济下重获公平竞争环境：来自中国非国有控股公司地震捐赠的证据</w:t>
      </w:r>
    </w:p>
    <w:p>
      <w:r>
        <w:rPr>
          <w:rFonts w:ascii="Times New Roman" w:hAnsi="Times New Roman" w:eastAsia="宋体"/>
          <w:b w:val="0"/>
          <w:i/>
          <w:color w:val="404040"/>
          <w:sz w:val="20"/>
        </w:rPr>
        <w:t>Getting back a level playing field under state-guided market economy: Evidence from quake donations by non-state-controlled companies in China</w:t>
      </w:r>
    </w:p>
    <w:p>
      <w:r>
        <w:rPr>
          <w:rFonts w:ascii="Times New Roman" w:hAnsi="Times New Roman" w:eastAsia="宋体"/>
          <w:b w:val="0"/>
          <w:i w:val="0"/>
          <w:color w:val="595959"/>
          <w:sz w:val="18"/>
        </w:rPr>
        <w:t>Julan Du；Yi Lu；Zhigang Tao；Yan Zhang</w:t>
      </w:r>
    </w:p>
    <w:p>
      <w:r>
        <w:rPr>
          <w:rFonts w:ascii="Times New Roman" w:hAnsi="Times New Roman" w:eastAsia="宋体"/>
          <w:b w:val="0"/>
          <w:i w:val="0"/>
          <w:sz w:val="22"/>
        </w:rPr>
        <w:t>摘要：国家引导型市场经济的兴起是世界经济的显著现象，中国是典型。在此体制下，非国有控股企业常在经营中受到歧视，并采取向政府倡导事业捐赠的策略以赢得政府信任、恢复公平竞争环境。以2008年汶川地震救灾捐赠为事件，作者发现非国有捐赠企业获得强烈正向市场反应，尤其是那些事前效率较低、位于政府干预程度高（所有制歧视严重、捐赠尤为有效）地区的企业；捐赠企业的长期绩效也有所改善，表明商业机会扩大。作者指出该策略本质上不同于腐败（贿赂官员），也不同于成熟民主国家的企业政治献金。</w:t>
      </w:r>
    </w:p>
    <w:p>
      <w:r>
        <w:rPr>
          <w:rFonts w:ascii="Times New Roman" w:hAnsi="Times New Roman" w:eastAsia="宋体"/>
          <w:b w:val="0"/>
          <w:i w:val="0"/>
          <w:sz w:val="20"/>
        </w:rPr>
        <w:t>The rise of state-guided market economy is a striking development in the world economy, and China is one leading example. Under China's state-guided market economy, non-state-controlled corporations typically face discrimination in business operations, and have adopted the strategy of making donations to government-favored causes to capture the government, win governments’ trust and retrieve a level playing field. With an event study of corporate donations to Wenchuan earthquake relief campaign in 2008, we detect strong and positive market reactions to non-state-controlled donor firms, especially those ex-ante low-efficiency firms operating in regions with a high degree of government intervention, where the ownership-based discrimination is particularly severe and donations can be especially effective in redressing discriminatory treatments. Donor firms also display improvements in long-term performance indicators, which suggests an expansion of business opportunities. We also show that this strategy is fundamentally different from corruption (bribing bureaucrats), and also argue that it differs from corporate political or campaign contributions in mature democracies.</w:t>
      </w:r>
    </w:p>
    <w:p/>
    <w:p>
      <w:r>
        <w:rPr>
          <w:rFonts w:ascii="Times New Roman" w:hAnsi="Times New Roman" w:eastAsia="黑体"/>
          <w:b/>
          <w:i w:val="0"/>
          <w:sz w:val="24"/>
        </w:rPr>
        <w:t>理解中国技能溢价趋势（2007—2018）</w:t>
      </w:r>
    </w:p>
    <w:p>
      <w:r>
        <w:rPr>
          <w:rFonts w:ascii="Times New Roman" w:hAnsi="Times New Roman" w:eastAsia="宋体"/>
          <w:b w:val="0"/>
          <w:i/>
          <w:color w:val="404040"/>
          <w:sz w:val="20"/>
        </w:rPr>
        <w:t>Understanding trends in Chinese skill premiums, 2007–2018</w:t>
      </w:r>
    </w:p>
    <w:p>
      <w:r>
        <w:rPr>
          <w:rFonts w:ascii="Times New Roman" w:hAnsi="Times New Roman" w:eastAsia="宋体"/>
          <w:b w:val="0"/>
          <w:i w:val="0"/>
          <w:color w:val="595959"/>
          <w:sz w:val="18"/>
        </w:rPr>
        <w:t>Eric A. Hanushek；Yuan Wang；Lei Zhang</w:t>
      </w:r>
    </w:p>
    <w:p>
      <w:r>
        <w:rPr>
          <w:rFonts w:ascii="Times New Roman" w:hAnsi="Times New Roman" w:eastAsia="宋体"/>
          <w:b w:val="0"/>
          <w:i w:val="0"/>
          <w:sz w:val="22"/>
        </w:rPr>
        <w:t>摘要：【摘译】作者估计2007—2018年中国认知技能与大学学历的劳动力市场回报演变。</w:t>
      </w:r>
    </w:p>
    <w:p>
      <w:r>
        <w:rPr>
          <w:rFonts w:ascii="Times New Roman" w:hAnsi="Times New Roman" w:eastAsia="宋体"/>
          <w:b w:val="0"/>
          <w:i w:val="0"/>
          <w:sz w:val="20"/>
        </w:rPr>
        <w:t>The dramatic changes in China from expansion of the education system and transformation of the economy allow us to investigate how the market rewards skills. We estimate the evolution of the labor market returns to cognitive skills and to a college degree in China between 2007 and 2018. The return to cognitive skills is virtually constant at 10 % for full-time workers with at least a high school education, whereas the college premium (relative to high school graduation) drops by &gt;20 percentage points. Regional differences in returns highlight the importance of differential demand factors. The returns to college degrees are somewhat higher in economically more developed regions but the declining trend is most pronounced in the most developed region. The return to cognitive skills weakly increases in more developed regions and weakly decreases in less developed regions. Overall returns to cognitive skills are comparable to more-developed OECD countries.</w:t>
      </w:r>
    </w:p>
    <w:p/>
    <w:p>
      <w:r>
        <w:rPr>
          <w:rFonts w:ascii="Times New Roman" w:hAnsi="Times New Roman" w:eastAsia="黑体"/>
          <w:b/>
          <w:i w:val="0"/>
          <w:sz w:val="24"/>
        </w:rPr>
        <w:t>社会主义的增长后果</w:t>
      </w:r>
    </w:p>
    <w:p>
      <w:r>
        <w:rPr>
          <w:rFonts w:ascii="Times New Roman" w:hAnsi="Times New Roman" w:eastAsia="宋体"/>
          <w:b w:val="0"/>
          <w:i/>
          <w:color w:val="404040"/>
          <w:sz w:val="20"/>
        </w:rPr>
        <w:t>The growth consequences of socialism</w:t>
      </w:r>
    </w:p>
    <w:p>
      <w:r>
        <w:rPr>
          <w:rFonts w:ascii="Times New Roman" w:hAnsi="Times New Roman" w:eastAsia="宋体"/>
          <w:b w:val="0"/>
          <w:i w:val="0"/>
          <w:color w:val="595959"/>
          <w:sz w:val="18"/>
        </w:rPr>
        <w:t>Andreas Bergh；Christian Bjørnskov；Luděk Kouba</w:t>
      </w:r>
    </w:p>
    <w:p>
      <w:r>
        <w:rPr>
          <w:rFonts w:ascii="Times New Roman" w:hAnsi="Times New Roman" w:eastAsia="宋体"/>
          <w:b w:val="0"/>
          <w:i w:val="0"/>
          <w:sz w:val="22"/>
        </w:rPr>
        <w:t>摘要：【摘译】作者回应计算论战以来的争论，评估社会主义体制的增长后果。</w:t>
      </w:r>
    </w:p>
    <w:p>
      <w:r>
        <w:rPr>
          <w:rFonts w:ascii="Times New Roman" w:hAnsi="Times New Roman" w:eastAsia="宋体"/>
          <w:b w:val="0"/>
          <w:i w:val="0"/>
          <w:sz w:val="20"/>
        </w:rPr>
        <w:t>The discussion of the growth consequences of socialism has fulminated for a century, sparked off by the Calculation Debate in the 1920s and 30s, and has concerned the performance of the Soviet Union in the 1950s and the mixed development in the 1990s after communism collapsed in Central and Eastern Europe. We aim to inform these debates by providing an empirical assessment of how socialist economies performed across the second half of the 20th century. Using both neighbour comparisons as well as more formal empirical analysis of developing countries that turned socialist after independence, we derive a set of estimates of the degree to which the introduction of a planned socialist economy affects long-run growth and development. Our results robustly point towards a decrease in annual growth rates of approximately two percentage points during the first decade after implementing socialism.</w:t>
      </w:r>
    </w:p>
    <w:p/>
    <w:p>
      <w:r>
        <w:rPr>
          <w:rFonts w:ascii="Times New Roman" w:hAnsi="Times New Roman" w:eastAsia="宋体"/>
          <w:b/>
          <w:i w:val="0"/>
          <w:sz w:val="22"/>
        </w:rPr>
        <w:t>JCE： Vol. 53, No. 1, 2025</w:t>
      </w:r>
    </w:p>
    <w:p/>
    <w:p>
      <w:r>
        <w:rPr>
          <w:rFonts w:ascii="Times New Roman" w:hAnsi="Times New Roman" w:eastAsia="黑体"/>
          <w:b/>
          <w:i w:val="0"/>
          <w:sz w:val="24"/>
        </w:rPr>
        <w:t>家族企业的文化起源</w:t>
      </w:r>
    </w:p>
    <w:p>
      <w:r>
        <w:rPr>
          <w:rFonts w:ascii="Times New Roman" w:hAnsi="Times New Roman" w:eastAsia="宋体"/>
          <w:b w:val="0"/>
          <w:i/>
          <w:color w:val="404040"/>
          <w:sz w:val="20"/>
        </w:rPr>
        <w:t>The cultural origins of family firms</w:t>
      </w:r>
    </w:p>
    <w:p>
      <w:r>
        <w:rPr>
          <w:rFonts w:ascii="Times New Roman" w:hAnsi="Times New Roman" w:eastAsia="宋体"/>
          <w:b w:val="0"/>
          <w:i w:val="0"/>
          <w:color w:val="595959"/>
          <w:sz w:val="18"/>
        </w:rPr>
        <w:t>Jian Xie；Song Yuan</w:t>
      </w:r>
    </w:p>
    <w:p>
      <w:r>
        <w:rPr>
          <w:rFonts w:ascii="Times New Roman" w:hAnsi="Times New Roman" w:eastAsia="宋体"/>
          <w:b w:val="0"/>
          <w:i w:val="0"/>
          <w:sz w:val="22"/>
        </w:rPr>
        <w:t>摘要：【摘译】作者利用中国企业数据，发现历史家族文化更强的地区家族企业占比更高。</w:t>
      </w:r>
    </w:p>
    <w:p>
      <w:r>
        <w:rPr>
          <w:rFonts w:ascii="Times New Roman" w:hAnsi="Times New Roman" w:eastAsia="宋体"/>
          <w:b w:val="0"/>
          <w:i w:val="0"/>
          <w:sz w:val="20"/>
        </w:rPr>
        <w:t>What determines the prevalence of family firms? In this project, we investigate the role of historical family culture in the spatial distribution of family firms. Using detailed firm-level data from China, we find that there is a larger share of family firms in regions with a stronger historical family culture, as measured by genealogy density. The results are further confirmed by an instrumental variables approach and a matching approach. Examining mechanisms, we find that entrepreneurs in regions with a stronger historical family culture: (i) tend to have family members engage more in firms; (ii) are more likely to raise initial capital from family members; (iii) are more willing to pass on the firms to their children. Historical family culture predicts better firm performance partly due to a lower leverage ratio.</w:t>
      </w:r>
    </w:p>
    <w:p/>
    <w:p>
      <w:r>
        <w:rPr>
          <w:rFonts w:ascii="Times New Roman" w:hAnsi="Times New Roman" w:eastAsia="黑体"/>
          <w:b/>
          <w:i w:val="0"/>
          <w:sz w:val="24"/>
        </w:rPr>
        <w:t>移民限制的总体与分配效应：20世纪20年代配额法与黑人大迁徙</w:t>
      </w:r>
    </w:p>
    <w:p>
      <w:r>
        <w:rPr>
          <w:rFonts w:ascii="Times New Roman" w:hAnsi="Times New Roman" w:eastAsia="宋体"/>
          <w:b w:val="0"/>
          <w:i/>
          <w:color w:val="404040"/>
          <w:sz w:val="20"/>
        </w:rPr>
        <w:t>The aggregate and distributional effects of immigration restrictions: The 1920s Quota Acts and the Great Black Migration</w:t>
      </w:r>
    </w:p>
    <w:p>
      <w:r>
        <w:rPr>
          <w:rFonts w:ascii="Times New Roman" w:hAnsi="Times New Roman" w:eastAsia="宋体"/>
          <w:b w:val="0"/>
          <w:i w:val="0"/>
          <w:color w:val="595959"/>
          <w:sz w:val="18"/>
        </w:rPr>
        <w:t>Bin Xie</w:t>
      </w:r>
    </w:p>
    <w:p>
      <w:r>
        <w:rPr>
          <w:rFonts w:ascii="Times New Roman" w:hAnsi="Times New Roman" w:eastAsia="宋体"/>
          <w:b w:val="0"/>
          <w:i w:val="0"/>
          <w:sz w:val="22"/>
        </w:rPr>
        <w:t>摘要：【摘译】作者发现1920年代移民配额制未影响平均工资，但推动了黑人大迁徙。</w:t>
      </w:r>
    </w:p>
    <w:p>
      <w:r>
        <w:rPr>
          <w:rFonts w:ascii="Times New Roman" w:hAnsi="Times New Roman" w:eastAsia="宋体"/>
          <w:b w:val="0"/>
          <w:i w:val="0"/>
          <w:sz w:val="20"/>
        </w:rPr>
        <w:t>Using county-level data and linked individual samples, this study explores the labor market impact of the immigration shock triggered by the US immigration quota system and its causal effect on the Great Black Migration. County-level analysis indicates that immigration restrictions did not affect average manufacturing wages and lowered the average occupational standings of US-born whites and immigrants. Analysis of linked individual samples reveals substantial internal migration and distributional effect caused by the immigration shock: migrants moving to counties more impacted by the shock experienced greater economic gains, while non-movers suffered greater losses. Notably, the negative immigration shock led to a marked increase in the migration of Black southerners to northern counties. Black migrants moving to more affected areas achieved higher occupational standings, increased literacy rates, and greater employment in urban manufacturing jobs.</w:t>
      </w:r>
    </w:p>
    <w:p/>
    <w:p>
      <w:r>
        <w:rPr>
          <w:rFonts w:ascii="Times New Roman" w:hAnsi="Times New Roman" w:eastAsia="黑体"/>
          <w:b/>
          <w:i w:val="0"/>
          <w:sz w:val="24"/>
        </w:rPr>
        <w:t>多数主义身份政治的经济学</w:t>
      </w:r>
    </w:p>
    <w:p>
      <w:r>
        <w:rPr>
          <w:rFonts w:ascii="Times New Roman" w:hAnsi="Times New Roman" w:eastAsia="宋体"/>
          <w:b w:val="0"/>
          <w:i/>
          <w:color w:val="404040"/>
          <w:sz w:val="20"/>
        </w:rPr>
        <w:t>Economics of majoritarian identity politics</w:t>
      </w:r>
    </w:p>
    <w:p>
      <w:r>
        <w:rPr>
          <w:rFonts w:ascii="Times New Roman" w:hAnsi="Times New Roman" w:eastAsia="宋体"/>
          <w:b w:val="0"/>
          <w:i w:val="0"/>
          <w:color w:val="595959"/>
          <w:sz w:val="18"/>
        </w:rPr>
        <w:t>Rohit Ticku；Raghul S. Venkatesh</w:t>
      </w:r>
    </w:p>
    <w:p>
      <w:r>
        <w:rPr>
          <w:rFonts w:ascii="Times New Roman" w:hAnsi="Times New Roman" w:eastAsia="宋体"/>
          <w:b w:val="0"/>
          <w:i w:val="0"/>
          <w:sz w:val="22"/>
        </w:rPr>
        <w:t>摘要：【摘译】作者构建选举竞争模型，解释政党为何以身份争取选民群体及其对经济政策的后果。</w:t>
      </w:r>
    </w:p>
    <w:p>
      <w:r>
        <w:rPr>
          <w:rFonts w:ascii="Times New Roman" w:hAnsi="Times New Roman" w:eastAsia="宋体"/>
          <w:b w:val="0"/>
          <w:i w:val="0"/>
          <w:sz w:val="20"/>
        </w:rPr>
        <w:t>Majoritarian identity politics has become salient in representative democracies. Why do parties engage in identity politics, and what are its consequences? We present a model of electoral competition in which parties capture voter groups based on their identity, and compete over an economic policy platform for the support of non-partisan voters. In addition, the party that caters to majoritarian interests makes a costly investment in polarizing identity. The investment provides subsequent payoffs to voters who have a preference for identity. When voter preferences over policy platforms are idiosyncratic in nature, greater investment in polarizing identity (i) increases both parties’ rents from office; and (ii) marginalizes minority voter interests. Further, the majoritarian party substitutes away from economic policy platforms. This enhances its overall payoffs in equilibrium and decreases that of the opposition party. We discuss the implications in the context of episodes of majoritarian identity politics in India, Turkey, Brazil, and the United States.</w:t>
      </w:r>
    </w:p>
    <w:p/>
    <w:p>
      <w:r>
        <w:rPr>
          <w:rFonts w:ascii="Times New Roman" w:hAnsi="Times New Roman" w:eastAsia="黑体"/>
          <w:b/>
          <w:i w:val="0"/>
          <w:sz w:val="24"/>
        </w:rPr>
        <w:t>土地改革与出生时健康禀赋</w:t>
      </w:r>
    </w:p>
    <w:p>
      <w:r>
        <w:rPr>
          <w:rFonts w:ascii="Times New Roman" w:hAnsi="Times New Roman" w:eastAsia="宋体"/>
          <w:b w:val="0"/>
          <w:i/>
          <w:color w:val="404040"/>
          <w:sz w:val="20"/>
        </w:rPr>
        <w:t>Land reform and health endowments at birth</w:t>
      </w:r>
    </w:p>
    <w:p>
      <w:r>
        <w:rPr>
          <w:rFonts w:ascii="Times New Roman" w:hAnsi="Times New Roman" w:eastAsia="宋体"/>
          <w:b w:val="0"/>
          <w:i w:val="0"/>
          <w:color w:val="595959"/>
          <w:sz w:val="18"/>
        </w:rPr>
        <w:t>Yawen Ding；Xiaobing Wang；Huayu Xu</w:t>
      </w:r>
    </w:p>
    <w:p>
      <w:r>
        <w:rPr>
          <w:rFonts w:ascii="Times New Roman" w:hAnsi="Times New Roman" w:eastAsia="宋体"/>
          <w:b w:val="0"/>
          <w:i w:val="0"/>
          <w:sz w:val="22"/>
        </w:rPr>
        <w:t>摘要：【摘译】作者利用家庭联产承包责任制的县际交错推行，发现土地改革改善了新生儿健康禀赋。</w:t>
      </w:r>
    </w:p>
    <w:p>
      <w:r>
        <w:rPr>
          <w:rFonts w:ascii="Times New Roman" w:hAnsi="Times New Roman" w:eastAsia="宋体"/>
          <w:b w:val="0"/>
          <w:i w:val="0"/>
          <w:sz w:val="20"/>
        </w:rPr>
        <w:t>This study examines the impact of China's Household Responsibility System (HRS) reform—a significant land reform that boosted labor productivity in rural areas—on birth outcomes. Leveraging the staggered rollout of the reform across counties and data from the earliest available fertility surveys in China, we provide evidence that prenatal exposure to the reform leads to an average increase in birth weight of about 55 grams. Further analyses suggest that this improvement is most likely driven by better nutrition during gestation, rather than improved access to prenatal health care or an increase in selective births. Moreover, this effect is more pronounced in areas where women have a comparative advantage in agricultural production, underscoring the critical role of women's economic standing in shaping child health outcomes.</w:t>
      </w:r>
    </w:p>
    <w:p/>
    <w:p>
      <w:r>
        <w:rPr>
          <w:rFonts w:ascii="Times New Roman" w:hAnsi="Times New Roman" w:eastAsia="黑体"/>
          <w:b/>
          <w:i w:val="0"/>
          <w:sz w:val="24"/>
        </w:rPr>
        <w:t>疫情封控与中国民众对地方政府的信任</w:t>
      </w:r>
    </w:p>
    <w:p>
      <w:r>
        <w:rPr>
          <w:rFonts w:ascii="Times New Roman" w:hAnsi="Times New Roman" w:eastAsia="宋体"/>
          <w:b w:val="0"/>
          <w:i/>
          <w:color w:val="404040"/>
          <w:sz w:val="20"/>
        </w:rPr>
        <w:t>Pandemic lockdowns and trust in local government in China</w:t>
      </w:r>
    </w:p>
    <w:p>
      <w:r>
        <w:rPr>
          <w:rFonts w:ascii="Times New Roman" w:hAnsi="Times New Roman" w:eastAsia="宋体"/>
          <w:b w:val="0"/>
          <w:i w:val="0"/>
          <w:color w:val="595959"/>
          <w:sz w:val="18"/>
        </w:rPr>
        <w:t>Yucong Zhao；Ting Wang；Bing Ye</w:t>
      </w:r>
    </w:p>
    <w:p>
      <w:r>
        <w:rPr>
          <w:rFonts w:ascii="Times New Roman" w:hAnsi="Times New Roman" w:eastAsia="宋体"/>
          <w:b w:val="0"/>
          <w:i w:val="0"/>
          <w:sz w:val="22"/>
        </w:rPr>
        <w:t>摘要：【摘译】作者以广义DID考察新冠长期封控对民众地方政府信任的因果影响。</w:t>
      </w:r>
    </w:p>
    <w:p>
      <w:r>
        <w:rPr>
          <w:rFonts w:ascii="Times New Roman" w:hAnsi="Times New Roman" w:eastAsia="宋体"/>
          <w:b w:val="0"/>
          <w:i w:val="0"/>
          <w:sz w:val="20"/>
        </w:rPr>
        <w:t>The COVID-19 pandemic has presented a distinctive opportunity to reassess trust in government by evaluating its performance amidst a critical crisis. This paper employs a generalized difference-in-differences method to probe the causal effects of prolonged lockdown durations on public trust in local governments in China. Drawing on panel data of 44,861 observations from the 2018 and 2020 survey waves, the findings reveal a pervasive decline in government trust caused by extended lockdown durations in China. Specifically, an additional 40 days of lockdown resulted in an average 7.77 % decrease in government trust, with the largest declines seen among individuals with lower education, those born before 1970, those with health issues, and those with rural residence registration. This erosion of trust primarily stemmed from the lockdowns’ detrimental impacts on economic production, financial security, and the conveniences of daily life.</w:t>
      </w:r>
    </w:p>
    <w:p/>
    <w:p>
      <w:r>
        <w:rPr>
          <w:rFonts w:ascii="Times New Roman" w:hAnsi="Times New Roman" w:eastAsia="黑体"/>
          <w:b/>
          <w:i w:val="0"/>
          <w:sz w:val="24"/>
        </w:rPr>
        <w:t>外援基础设施与当地就业：来自中国援非的证据</w:t>
      </w:r>
    </w:p>
    <w:p>
      <w:r>
        <w:rPr>
          <w:rFonts w:ascii="Times New Roman" w:hAnsi="Times New Roman" w:eastAsia="宋体"/>
          <w:b w:val="0"/>
          <w:i/>
          <w:color w:val="404040"/>
          <w:sz w:val="20"/>
        </w:rPr>
        <w:t>Foreign-assisted infrastructure and local employment: Evidence from China's aid to Africa</w:t>
      </w:r>
    </w:p>
    <w:p>
      <w:r>
        <w:rPr>
          <w:rFonts w:ascii="Times New Roman" w:hAnsi="Times New Roman" w:eastAsia="宋体"/>
          <w:b w:val="0"/>
          <w:i w:val="0"/>
          <w:color w:val="595959"/>
          <w:sz w:val="18"/>
        </w:rPr>
        <w:t>Jiafu An；Shiqi Guo；Haicheng Jiang</w:t>
      </w:r>
    </w:p>
    <w:p>
      <w:r>
        <w:rPr>
          <w:rFonts w:ascii="Times New Roman" w:hAnsi="Times New Roman" w:eastAsia="宋体"/>
          <w:b w:val="0"/>
          <w:i w:val="0"/>
          <w:sz w:val="22"/>
        </w:rPr>
        <w:t>摘要：本研究考察中国基础设施援助对非洲十国当地就业的影响，调查覆盖2000—2014年逾50万人。利用与援助项目的距离及项目建设与调查时间的先后差异，作者发现：与等待开工的地区相比，项目附近地区就业提高2个百分点；就业随开工而上升，主要惠及受教育程度较低者，并在竣工后因技能工人迁入与就业而持续。各类基础设施项目短期内都提升就业，长期收益在教育、医疗、水电项目中尤为显著；还存在跨部门与空间溢出效应。</w:t>
      </w:r>
    </w:p>
    <w:p>
      <w:r>
        <w:rPr>
          <w:rFonts w:ascii="Times New Roman" w:hAnsi="Times New Roman" w:eastAsia="宋体"/>
          <w:b w:val="0"/>
          <w:i w:val="0"/>
          <w:sz w:val="20"/>
        </w:rPr>
        <w:t>This study examines the impact of Chinese infrastructure aid on local employment across ten African countries, surveying over 500,000 individuals from 2000 to 2014. Utilizing variations in proximity to aid projects and the timing of project construction relative to local surveys reveals that Chinese aid increases local employment by two percentage points in areas near project sites compared to those awaiting project commencement, contrasting with regions without such aid. Employment rises with the onset of construction, primarily benefiting individuals with lower educational attainment, and persists post-completion, sustained by the migration and employment of skilled workers. Various infrastructure projects temporarily boost local employment, with long-term benefits particularly pronounced for projects in education, healthcare, and water and power utilities. Cross-sectoral and spatial spillover effects are also identified, with results remaining robust after accounting for additional local development factors.</w:t>
      </w:r>
    </w:p>
    <w:p/>
    <w:p>
      <w:r>
        <w:rPr>
          <w:rFonts w:ascii="Times New Roman" w:hAnsi="Times New Roman" w:eastAsia="黑体"/>
          <w:b/>
          <w:i w:val="0"/>
          <w:sz w:val="24"/>
        </w:rPr>
        <w:t>组织监管结构与地方空气质量：来自中国环保垂直管理改革的证据</w:t>
      </w:r>
    </w:p>
    <w:p>
      <w:r>
        <w:rPr>
          <w:rFonts w:ascii="Times New Roman" w:hAnsi="Times New Roman" w:eastAsia="宋体"/>
          <w:b w:val="0"/>
          <w:i/>
          <w:color w:val="404040"/>
          <w:sz w:val="20"/>
        </w:rPr>
        <w:t>Organizing regulatory structure and local air quality: Evidence from the environmental vertical management reform in China</w:t>
      </w:r>
    </w:p>
    <w:p>
      <w:r>
        <w:rPr>
          <w:rFonts w:ascii="Times New Roman" w:hAnsi="Times New Roman" w:eastAsia="宋体"/>
          <w:b w:val="0"/>
          <w:i w:val="0"/>
          <w:color w:val="595959"/>
          <w:sz w:val="18"/>
        </w:rPr>
        <w:t>Pei Li；Kaihao Liu；Yi Lu；Lu Peng</w:t>
      </w:r>
    </w:p>
    <w:p>
      <w:r>
        <w:rPr>
          <w:rFonts w:ascii="Times New Roman" w:hAnsi="Times New Roman" w:eastAsia="宋体"/>
          <w:b w:val="0"/>
          <w:i w:val="0"/>
          <w:sz w:val="22"/>
        </w:rPr>
        <w:t>摘要：【摘译】作者研究中国将基层环保部门管理权上收的垂直管理改革，发现其缓解地方俘获、改善空气质量。</w:t>
      </w:r>
    </w:p>
    <w:p>
      <w:r>
        <w:rPr>
          <w:rFonts w:ascii="Times New Roman" w:hAnsi="Times New Roman" w:eastAsia="宋体"/>
          <w:b w:val="0"/>
          <w:i w:val="0"/>
          <w:sz w:val="20"/>
        </w:rPr>
        <w:t>The effectiveness of environmental policies is often compromised by weak enforcement due to conflicts between local and national interests. We examine a novel institutional reform in China that centralizes the management authority of grassroots environmental bureaus to address the issue of local capture. By analyzing the staggered roll-out of this reform, we find that the Air Quality Index significantly decreased by 25.1%. We attribute this improvement to a reduction in the capture of front-line environmental regulators by local interest groups, alignment of interests between local regulators and their upper-level administrators, and increased efforts for environmental protection by local governments in a more independent and impartial regulatory environment. These results highlight the effectiveness of distributing management authority to different administrative levels, as it reshapes the incentives for local environmental regulators, strengthens enforcement efficiency, and facilitates the achievement of policy objectives.</w:t>
      </w:r>
    </w:p>
    <w:p/>
    <w:p>
      <w:r>
        <w:rPr>
          <w:rFonts w:ascii="Times New Roman" w:hAnsi="Times New Roman" w:eastAsia="黑体"/>
          <w:b/>
          <w:i w:val="0"/>
          <w:sz w:val="24"/>
        </w:rPr>
        <w:t>反倾销中的以牙还牙：中国如何与贸易伙伴打反倾销战？</w:t>
      </w:r>
    </w:p>
    <w:p>
      <w:r>
        <w:rPr>
          <w:rFonts w:ascii="Times New Roman" w:hAnsi="Times New Roman" w:eastAsia="宋体"/>
          <w:b w:val="0"/>
          <w:i/>
          <w:color w:val="404040"/>
          <w:sz w:val="20"/>
        </w:rPr>
        <w:t>Tit-for-tat in antidumping: How did China fight its antidumping wars with its trading partners?</w:t>
      </w:r>
    </w:p>
    <w:p>
      <w:r>
        <w:rPr>
          <w:rFonts w:ascii="Times New Roman" w:hAnsi="Times New Roman" w:eastAsia="宋体"/>
          <w:b w:val="0"/>
          <w:i w:val="0"/>
          <w:color w:val="595959"/>
          <w:sz w:val="18"/>
        </w:rPr>
        <w:t>Wonkyung Lee；Hong Ma；Yuan Xu</w:t>
      </w:r>
    </w:p>
    <w:p>
      <w:r>
        <w:rPr>
          <w:rFonts w:ascii="Times New Roman" w:hAnsi="Times New Roman" w:eastAsia="宋体"/>
          <w:b w:val="0"/>
          <w:i w:val="0"/>
          <w:sz w:val="22"/>
        </w:rPr>
        <w:t>摘要：既有研究考察了各国反倾销措施的决定因素，但较少关注高频双边关系在临时贸易壁垒中的作用。作者利用1997年第一季度至2020年第四季度反倾销案件季度数据，以双变量VAR与格兰杰因果检验考察中国与主要贸易伙伴的反倾销互动。结果显示，美国对华反倾销调查显著引领并预测中国对美调查，美国是先动者，中国是报复的跟随者；中国与欧盟、韩国、日本之间不存在任何方向的显著因果。中国在行业内与跨行业均对美报复；报复对终止美方未决调查效果不一，但以牙还牙行为有效威慑了美方未来的调查。</w:t>
      </w:r>
    </w:p>
    <w:p>
      <w:r>
        <w:rPr>
          <w:rFonts w:ascii="Times New Roman" w:hAnsi="Times New Roman" w:eastAsia="宋体"/>
          <w:b w:val="0"/>
          <w:i w:val="0"/>
          <w:sz w:val="20"/>
        </w:rPr>
        <w:t>Existing studies have examined the determinants of antidumping measures in different countries. Much less attention has been paid to the role of high-frequency bilateral relations in imposing temporary trade barriers. Using quarterly data on antidumping cases from 1997Q1 to 2020Q4, this paper examines the bilateral relationship between China and its major trading partners in imposing antidumping. A bivariate vector autoregressive methodology is employed and Granger causality tests are carried out. We find that antidumping investigations against China by the US significantly lead to and predict the investigations against the US by China, suggesting that the US is the first mover and China is the follower that retaliates. In contrast, in bilateral relations between China and the European Union, Korea, or Japan, there is no evidence of significant causality in either direction. Furthermore, we find that China retaliates against the US both within and across industries. While China’s retaliatory measures have shown some effectiveness in terminating outstanding US investigations, this is not always the case. However, this tit-for-tat behavior does effectively deter future investigations by the US.</w:t>
      </w:r>
    </w:p>
    <w:p/>
    <w:p>
      <w:r>
        <w:rPr>
          <w:rFonts w:ascii="Times New Roman" w:hAnsi="Times New Roman" w:eastAsia="黑体"/>
          <w:b/>
          <w:i w:val="0"/>
          <w:sz w:val="24"/>
        </w:rPr>
        <w:t>土地改革与非法收养儿童</w:t>
      </w:r>
    </w:p>
    <w:p>
      <w:r>
        <w:rPr>
          <w:rFonts w:ascii="Times New Roman" w:hAnsi="Times New Roman" w:eastAsia="宋体"/>
          <w:b w:val="0"/>
          <w:i/>
          <w:color w:val="404040"/>
          <w:sz w:val="20"/>
        </w:rPr>
        <w:t>Land reform and illegal adoption of children</w:t>
      </w:r>
    </w:p>
    <w:p>
      <w:r>
        <w:rPr>
          <w:rFonts w:ascii="Times New Roman" w:hAnsi="Times New Roman" w:eastAsia="宋体"/>
          <w:b w:val="0"/>
          <w:i w:val="0"/>
          <w:color w:val="595959"/>
          <w:sz w:val="18"/>
        </w:rPr>
        <w:t>Yanjun Li；Yu Bai；Masaki Nakabayashi</w:t>
      </w:r>
    </w:p>
    <w:p>
      <w:r>
        <w:rPr>
          <w:rFonts w:ascii="Times New Roman" w:hAnsi="Times New Roman" w:eastAsia="宋体"/>
          <w:b w:val="0"/>
          <w:i w:val="0"/>
          <w:sz w:val="22"/>
        </w:rPr>
        <w:t>摘要：【摘译】作者考察中国土地改革改变的经济激励如何导致家庭参与非法收养。</w:t>
      </w:r>
    </w:p>
    <w:p>
      <w:r>
        <w:rPr>
          <w:rFonts w:ascii="Times New Roman" w:hAnsi="Times New Roman" w:eastAsia="宋体"/>
          <w:b w:val="0"/>
          <w:i w:val="0"/>
          <w:sz w:val="20"/>
        </w:rPr>
        <w:t>The paper examines how China’s land reform between 1978 and 1984 altered economic incentives, leading to observable household responses, with involvement in illegal adoption as a key example. The reform transferred land rights from collectives to individual households, granting them control over land-based income and thereby increasing the demand for children as labor and heirs. Leveraging a unique dataset that tracks the inflow of trafficked children and the staggered rollout of the reform, we use triple differences and other identification strategies to demonstrate that land decollectivization significantly increased the illegal adoption of abandoned or abducted children in rural areas. This land usage rights shock was moderated by clan influence, which traditionally valued bloodlines, highlighting the importance of the interaction between culture and institutions.</w:t>
      </w:r>
    </w:p>
    <w:p/>
    <w:p>
      <w:r>
        <w:rPr>
          <w:rFonts w:ascii="Times New Roman" w:hAnsi="Times New Roman" w:eastAsia="黑体"/>
          <w:b/>
          <w:i w:val="0"/>
          <w:sz w:val="24"/>
        </w:rPr>
        <w:t>资本流动全球化与国家的（非）纪律化</w:t>
      </w:r>
    </w:p>
    <w:p>
      <w:r>
        <w:rPr>
          <w:rFonts w:ascii="Times New Roman" w:hAnsi="Times New Roman" w:eastAsia="宋体"/>
          <w:b w:val="0"/>
          <w:i/>
          <w:color w:val="404040"/>
          <w:sz w:val="20"/>
        </w:rPr>
        <w:t>Globalization of capital flows and the (in)disciplining of nations</w:t>
      </w:r>
    </w:p>
    <w:p>
      <w:r>
        <w:rPr>
          <w:rFonts w:ascii="Times New Roman" w:hAnsi="Times New Roman" w:eastAsia="宋体"/>
          <w:b w:val="0"/>
          <w:i w:val="0"/>
          <w:color w:val="595959"/>
          <w:sz w:val="18"/>
        </w:rPr>
        <w:t>Arthur Blouin；Sayantan Ghosal；Sharun W. Mukand</w:t>
      </w:r>
    </w:p>
    <w:p>
      <w:r>
        <w:rPr>
          <w:rFonts w:ascii="Times New Roman" w:hAnsi="Times New Roman" w:eastAsia="宋体"/>
          <w:b w:val="0"/>
          <w:i w:val="0"/>
          <w:sz w:val="22"/>
        </w:rPr>
        <w:t>摘要：【摘译】作者认为资本流动全球化通过两种竞争渠道影响治理：治理良好的政府会规避外部驱动的资本外逃风险；治理不善者受资本外逃威胁约束而改进治理（“金色紧身衣”）；但资本外逃也可能损害治理，因此主张适度资本管制。</w:t>
      </w:r>
    </w:p>
    <w:p>
      <w:r>
        <w:rPr>
          <w:rFonts w:ascii="Times New Roman" w:hAnsi="Times New Roman" w:eastAsia="宋体"/>
          <w:b w:val="0"/>
          <w:i w:val="0"/>
          <w:sz w:val="20"/>
        </w:rPr>
        <w:t>We analyze whether the threat of capital flight “disciplines” governments and improves governance. Our findings show that the globalization of capital flows influences governance through two competing channels. When a government effectively manages domestic governance, it seeks to minimize exposure to sudden capital flight driven by external factors. In contrast, when a government fails to manage domestic governance, the threat of capital flight can impose discipline, improving governance and welfare by placing the country in a “golden straitjacket”—the disciplining effect. However, capital flight may also negatively affect governance quality. As a result, this paper proposes a novel and qualified role for modest capital controls. Finally, we present evidence consistent with the predictions of our theoretical framework.</w:t>
      </w:r>
    </w:p>
    <w:p/>
    <w:p>
      <w:r>
        <w:rPr>
          <w:rFonts w:ascii="Times New Roman" w:hAnsi="Times New Roman" w:eastAsia="黑体"/>
          <w:b/>
          <w:i w:val="0"/>
          <w:sz w:val="24"/>
        </w:rPr>
        <w:t>（不）遵守宪法的经济效应</w:t>
      </w:r>
    </w:p>
    <w:p>
      <w:r>
        <w:rPr>
          <w:rFonts w:ascii="Times New Roman" w:hAnsi="Times New Roman" w:eastAsia="宋体"/>
          <w:b w:val="0"/>
          <w:i/>
          <w:color w:val="404040"/>
          <w:sz w:val="20"/>
        </w:rPr>
        <w:t>Economic effects of (non-)compliance with constitutions</w:t>
      </w:r>
    </w:p>
    <w:p>
      <w:r>
        <w:rPr>
          <w:rFonts w:ascii="Times New Roman" w:hAnsi="Times New Roman" w:eastAsia="宋体"/>
          <w:b w:val="0"/>
          <w:i w:val="0"/>
          <w:color w:val="595959"/>
          <w:sz w:val="18"/>
        </w:rPr>
        <w:t>Anna Lewczuk；Katarzyna Metelska-Szaniawska</w:t>
      </w:r>
    </w:p>
    <w:p>
      <w:r>
        <w:rPr>
          <w:rFonts w:ascii="Times New Roman" w:hAnsi="Times New Roman" w:eastAsia="宋体"/>
          <w:b w:val="0"/>
          <w:i w:val="0"/>
          <w:sz w:val="22"/>
        </w:rPr>
        <w:t>摘要：【摘译】作者考察宪法条文与政府行为不一致对经济绩效的影响。</w:t>
      </w:r>
    </w:p>
    <w:p>
      <w:r>
        <w:rPr>
          <w:rFonts w:ascii="Times New Roman" w:hAnsi="Times New Roman" w:eastAsia="宋体"/>
          <w:b w:val="0"/>
          <w:i w:val="0"/>
          <w:sz w:val="20"/>
        </w:rPr>
        <w:t>Constitutional non-compliance, understood as non-congruence between provisions written in countries’ constitutions and the behavior of their governments, has recently become the focus of economic analysis. While other studies concentrate on the reasons behind this phenomenon, we are interested in its economic effects. We argue that non-compliance with constitutions is associated with lower GDP per capita and test our hypothesis empirically for more than 150 countries in the period 1960–2019 using the new Comparative Constitutional Compliance Database and a dynamic panel strategy. Our study confirms adverse economic effects of constitutional violations and this, in particular, in the area of property rights protection and the rule of law. In addition, we indicate groups of countries, where (non-)compliance with constitutions is of particular relevance, as well as identify the mechanisms behind these effects. Our findings contribute to several strands of literature at the nexus of constitutional political economy and development economics.</w:t>
      </w:r>
    </w:p>
    <w:p/>
    <w:p>
      <w:r>
        <w:rPr>
          <w:rFonts w:ascii="Times New Roman" w:hAnsi="Times New Roman" w:eastAsia="黑体"/>
          <w:b/>
          <w:i w:val="0"/>
          <w:sz w:val="24"/>
        </w:rPr>
        <w:t>希腊财政国家的形成（1833—1939）</w:t>
      </w:r>
    </w:p>
    <w:p>
      <w:r>
        <w:rPr>
          <w:rFonts w:ascii="Times New Roman" w:hAnsi="Times New Roman" w:eastAsia="宋体"/>
          <w:b w:val="0"/>
          <w:i/>
          <w:color w:val="404040"/>
          <w:sz w:val="20"/>
        </w:rPr>
        <w:t>The making of the Greek fiscal state, 1833-1939</w:t>
      </w:r>
    </w:p>
    <w:p>
      <w:r>
        <w:rPr>
          <w:rFonts w:ascii="Times New Roman" w:hAnsi="Times New Roman" w:eastAsia="宋体"/>
          <w:b w:val="0"/>
          <w:i w:val="0"/>
          <w:color w:val="595959"/>
          <w:sz w:val="18"/>
        </w:rPr>
        <w:t>Franciscos Koutentakis</w:t>
      </w:r>
    </w:p>
    <w:p>
      <w:r>
        <w:rPr>
          <w:rFonts w:ascii="Times New Roman" w:hAnsi="Times New Roman" w:eastAsia="宋体"/>
          <w:b w:val="0"/>
          <w:i w:val="0"/>
          <w:sz w:val="22"/>
        </w:rPr>
        <w:t>摘要：【摘译】作者利用一手公共财政新数据与网络分析，考察19世纪至20世纪初希腊财政国家建设的动态过程。</w:t>
      </w:r>
    </w:p>
    <w:p>
      <w:r>
        <w:rPr>
          <w:rFonts w:ascii="Times New Roman" w:hAnsi="Times New Roman" w:eastAsia="宋体"/>
          <w:b w:val="0"/>
          <w:i w:val="0"/>
          <w:sz w:val="20"/>
        </w:rPr>
        <w:t>The paper studies the historical process of fiscal state-building in 19th and early 20th century Greece. A new public finance dataset, compiled from primary sources, is combined with international databases in a graphical network analysis revealing dynamic interactions between economic (tax revenue, debt payments and GDP per capita) and institutional variables (army and representation). The emphasis is on two particular results closely related to the fiscal capacity literature: The first is that war preparation, captured by the size of the army, had a positive effect on tax revenue. The second is that representation, measured by legislative constraints to executive, was detrimental for tax revenue.</w:t>
      </w:r>
    </w:p>
    <w:p/>
    <w:p>
      <w:r>
        <w:rPr>
          <w:rFonts w:ascii="Times New Roman" w:hAnsi="Times New Roman" w:eastAsia="黑体"/>
          <w:b/>
          <w:i w:val="0"/>
          <w:sz w:val="24"/>
        </w:rPr>
        <w:t>自由化改革不会导致自杀：基于匹配的因果估计（1980—2019）</w:t>
      </w:r>
    </w:p>
    <w:p>
      <w:r>
        <w:rPr>
          <w:rFonts w:ascii="Times New Roman" w:hAnsi="Times New Roman" w:eastAsia="宋体"/>
          <w:b w:val="0"/>
          <w:i/>
          <w:color w:val="404040"/>
          <w:sz w:val="20"/>
        </w:rPr>
        <w:t>Liberalizing reforms do not cause suicide: Causal estimation using matching, 1980–2019</w:t>
      </w:r>
    </w:p>
    <w:p>
      <w:r>
        <w:rPr>
          <w:rFonts w:ascii="Times New Roman" w:hAnsi="Times New Roman" w:eastAsia="宋体"/>
          <w:b w:val="0"/>
          <w:i w:val="0"/>
          <w:color w:val="595959"/>
          <w:sz w:val="18"/>
        </w:rPr>
        <w:t>Tibor Rutar；Minea Rutar</w:t>
      </w:r>
    </w:p>
    <w:p>
      <w:r>
        <w:rPr>
          <w:rFonts w:ascii="Times New Roman" w:hAnsi="Times New Roman" w:eastAsia="宋体"/>
          <w:b w:val="0"/>
          <w:i w:val="0"/>
          <w:sz w:val="22"/>
        </w:rPr>
        <w:t>摘要：【摘译】作者以匹配法估计1980—2019年市场自由化改革对自杀率的影响，未发现自由化导致自杀增加。</w:t>
      </w:r>
    </w:p>
    <w:p>
      <w:r>
        <w:rPr>
          <w:rFonts w:ascii="Times New Roman" w:hAnsi="Times New Roman" w:eastAsia="宋体"/>
          <w:b w:val="0"/>
          <w:i w:val="0"/>
          <w:sz w:val="20"/>
        </w:rPr>
        <w:t>The impact of market liberalization on the subjective well-being (SWB) of societies has been thoroughly investigated over the past two decades using indexes of economic freedom. However, one crucial related aspect of well-being at the societal level remains unexplored with aggregate measures of liberalization: rates of suicide. The critical literature on liberalization suggests market reforms are expected to boost suicide. To our knowledge, we are the first to explore the issue using the Economic Freedom of the World (EFW) measure in a quasi-experimental framework. We do so by identifying 43 countries experiencing large, sustained jumps in economic freedom. We then use matching methods to obtain the average treatment effect in the 10 years following the jump. Our main finding, which is robust to a variety of alternative specifications, including a different estimator (synthetic difference-in-differences), is that we detect virtually no statistically significant positive effect of aggregate liberalization on suicide at the conventional level. Thus, we are unable to corroborate the critics’ prediction about reforms worsening this aspect of psychological well-being. We find evidence that individual reform packages, such as sound money, instead even work protectively.</w:t>
      </w:r>
    </w:p>
    <w:p/>
    <w:p>
      <w:r>
        <w:rPr>
          <w:rFonts w:ascii="Times New Roman" w:hAnsi="Times New Roman" w:eastAsia="黑体"/>
          <w:b/>
          <w:i w:val="0"/>
          <w:sz w:val="24"/>
        </w:rPr>
        <w:t>财政规则对预算赤字的影响：民主重要吗？</w:t>
      </w:r>
    </w:p>
    <w:p>
      <w:r>
        <w:rPr>
          <w:rFonts w:ascii="Times New Roman" w:hAnsi="Times New Roman" w:eastAsia="宋体"/>
          <w:b w:val="0"/>
          <w:i/>
          <w:color w:val="404040"/>
          <w:sz w:val="20"/>
        </w:rPr>
        <w:t>The effects of fiscal rules on budget deficit: Does democracy matter?</w:t>
      </w:r>
    </w:p>
    <w:p>
      <w:r>
        <w:rPr>
          <w:rFonts w:ascii="Times New Roman" w:hAnsi="Times New Roman" w:eastAsia="宋体"/>
          <w:b w:val="0"/>
          <w:i w:val="0"/>
          <w:color w:val="595959"/>
          <w:sz w:val="18"/>
        </w:rPr>
        <w:t>Bernard Clery Nomo Beyala；Jean Pierre Fouda Owoundi</w:t>
      </w:r>
    </w:p>
    <w:p>
      <w:r>
        <w:rPr>
          <w:rFonts w:ascii="Times New Roman" w:hAnsi="Times New Roman" w:eastAsia="宋体"/>
          <w:b w:val="0"/>
          <w:i w:val="0"/>
          <w:sz w:val="22"/>
        </w:rPr>
        <w:t>摘要：【摘译】作者估计97国1985—2021年财政反应函数，考察民主如何调节财政规则与预算赤字的关系。</w:t>
      </w:r>
    </w:p>
    <w:p>
      <w:r>
        <w:rPr>
          <w:rFonts w:ascii="Times New Roman" w:hAnsi="Times New Roman" w:eastAsia="宋体"/>
          <w:b w:val="0"/>
          <w:i w:val="0"/>
          <w:sz w:val="20"/>
        </w:rPr>
        <w:t>This paper aims to analyse the extent to which democracy shapes the relationship between fiscal rules and budget deficits. To attain this objective, we estimated different fiscal reaction functions for a sample of 97 countries over the period 1985–2021. Our results show that fiscal rules reduce primary budget deficits. Furthermore, the paper establishes that this effect diminishes with democracy as a marginal increase in fiscal rules strength reduces the primary budget only in weak democracies while in strong democracies they do not, indicating that fiscal rules and democracy are substitutes to attain fiscal discipline. Our results are robust to the exclusion of EU countries members, alternative methods dealing with endogeneity or time-invariant variables and the inclusion of other determinants of primary budget deficit as explanatory variables. This suggests that fiscal rules and democracy are substitutes. However, when dealing with the fiscal framework, we find that fiscal rules and democracy are substitutes only in new democracies and under high indebtedness.</w:t>
      </w:r>
    </w:p>
    <w:p/>
    <w:p>
      <w:r>
        <w:rPr>
          <w:rFonts w:ascii="Times New Roman" w:hAnsi="Times New Roman" w:eastAsia="宋体"/>
          <w:b/>
          <w:i w:val="0"/>
          <w:sz w:val="22"/>
        </w:rPr>
        <w:t>JCE： Vol. 52, No. 4, 2024</w:t>
      </w:r>
    </w:p>
    <w:p/>
    <w:p>
      <w:r>
        <w:rPr>
          <w:rFonts w:ascii="Times New Roman" w:hAnsi="Times New Roman" w:eastAsia="黑体"/>
          <w:b/>
          <w:i w:val="0"/>
          <w:sz w:val="24"/>
        </w:rPr>
        <w:t>改变熔炉的速度：移民限制对移民同化的影响</w:t>
      </w:r>
    </w:p>
    <w:p>
      <w:r>
        <w:rPr>
          <w:rFonts w:ascii="Times New Roman" w:hAnsi="Times New Roman" w:eastAsia="宋体"/>
          <w:b w:val="0"/>
          <w:i/>
          <w:color w:val="404040"/>
          <w:sz w:val="20"/>
        </w:rPr>
        <w:t>Changing the pace of the melting pot: The effects of immigration restrictions on immigrant assimilation</w:t>
      </w:r>
    </w:p>
    <w:p>
      <w:r>
        <w:rPr>
          <w:rFonts w:ascii="Times New Roman" w:hAnsi="Times New Roman" w:eastAsia="宋体"/>
          <w:b w:val="0"/>
          <w:i w:val="0"/>
          <w:color w:val="595959"/>
          <w:sz w:val="18"/>
        </w:rPr>
        <w:t>Jeff Chan</w:t>
      </w:r>
    </w:p>
    <w:p>
      <w:r>
        <w:rPr>
          <w:rFonts w:ascii="Times New Roman" w:hAnsi="Times New Roman" w:eastAsia="宋体"/>
          <w:b w:val="0"/>
          <w:i w:val="0"/>
          <w:sz w:val="22"/>
        </w:rPr>
        <w:t>摘要：【摘译】作者利用美国全普查数据与来源国受限程度差异，考察1921与1924年移民限制政策对新移民同化的影响。</w:t>
      </w:r>
    </w:p>
    <w:p>
      <w:r>
        <w:rPr>
          <w:rFonts w:ascii="Times New Roman" w:hAnsi="Times New Roman" w:eastAsia="宋体"/>
          <w:b w:val="0"/>
          <w:i w:val="0"/>
          <w:sz w:val="20"/>
        </w:rPr>
        <w:t>This paper investigates the effects of restrictive immigration policies enacted in the US in 1921 and 1924 to explore the effects of immigration restrictions on recent immigrants using full-count US Census data and variation across national origins in the exclusionary policies. Immigrants more affected by the quotas were more likely to become naturalized citizens. Immigrants from countries that subsequently had migration reduced by the Acts were also more likely to marry someone born in the United States. The evidence in this paper, taken together, shows that the Immigrant Exclusion Act hastened the assimilation of already-landed immigrant men and impacted their short and long-run family outcomes.</w:t>
      </w:r>
    </w:p>
    <w:p/>
    <w:p>
      <w:r>
        <w:rPr>
          <w:rFonts w:ascii="Times New Roman" w:hAnsi="Times New Roman" w:eastAsia="黑体"/>
          <w:b/>
          <w:i w:val="0"/>
          <w:sz w:val="24"/>
        </w:rPr>
        <w:t>性别化语言与性别化暴力</w:t>
      </w:r>
    </w:p>
    <w:p>
      <w:r>
        <w:rPr>
          <w:rFonts w:ascii="Times New Roman" w:hAnsi="Times New Roman" w:eastAsia="宋体"/>
          <w:b w:val="0"/>
          <w:i/>
          <w:color w:val="404040"/>
          <w:sz w:val="20"/>
        </w:rPr>
        <w:t>Gendered language and gendered violence</w:t>
      </w:r>
    </w:p>
    <w:p>
      <w:r>
        <w:rPr>
          <w:rFonts w:ascii="Times New Roman" w:hAnsi="Times New Roman" w:eastAsia="宋体"/>
          <w:b w:val="0"/>
          <w:i w:val="0"/>
          <w:color w:val="595959"/>
          <w:sz w:val="18"/>
        </w:rPr>
        <w:t>Lewis Davis；Astghik Mavisakalyan；Clas Weber</w:t>
      </w:r>
    </w:p>
    <w:p>
      <w:r>
        <w:rPr>
          <w:rFonts w:ascii="Times New Roman" w:hAnsi="Times New Roman" w:eastAsia="宋体"/>
          <w:b w:val="0"/>
          <w:i w:val="0"/>
          <w:sz w:val="22"/>
        </w:rPr>
        <w:t>摘要：【摘译】作者证明讲语法性别化语言与亲密伴侣暴力发生率之间存在显著关系。</w:t>
      </w:r>
    </w:p>
    <w:p>
      <w:r>
        <w:rPr>
          <w:rFonts w:ascii="Times New Roman" w:hAnsi="Times New Roman" w:eastAsia="宋体"/>
          <w:b w:val="0"/>
          <w:i w:val="0"/>
          <w:sz w:val="20"/>
        </w:rPr>
        <w:t>This study establishes the influence of sex-based grammatical gender on gendered violence. We demonstrate a statistically significant relationship between speaking a gendered language and the incidence of intimate partner violence in a cross-section of countries. Motivated by this evidence, we conduct an individual-level analysis of the effect of speaking a gendered language on beliefs about the justifiability of intimate partner violence, controlling for a wide variety of individual level socioeconomic characteristics as well as country, religion, language family and ethnicity fixed effects. Speaking a gendered language is associated with the belief that intimate partner violence is justifiable. Our results are consistent with complementarity between the cultural and cognitive effects of language on the attitudes to intimate partner violence.</w:t>
      </w:r>
    </w:p>
    <w:p/>
    <w:p>
      <w:r>
        <w:rPr>
          <w:rFonts w:ascii="Times New Roman" w:hAnsi="Times New Roman" w:eastAsia="黑体"/>
          <w:b/>
          <w:i w:val="0"/>
          <w:sz w:val="24"/>
        </w:rPr>
        <w:t>教育的殖民遗产：来自突尼斯的证据</w:t>
      </w:r>
    </w:p>
    <w:p>
      <w:r>
        <w:rPr>
          <w:rFonts w:ascii="Times New Roman" w:hAnsi="Times New Roman" w:eastAsia="宋体"/>
          <w:b w:val="0"/>
          <w:i/>
          <w:color w:val="404040"/>
          <w:sz w:val="20"/>
        </w:rPr>
        <w:t>The colonial legacy of education: Evidence from Tunisia</w:t>
      </w:r>
    </w:p>
    <w:p>
      <w:r>
        <w:rPr>
          <w:rFonts w:ascii="Times New Roman" w:hAnsi="Times New Roman" w:eastAsia="宋体"/>
          <w:b w:val="0"/>
          <w:i w:val="0"/>
          <w:color w:val="595959"/>
          <w:sz w:val="18"/>
        </w:rPr>
        <w:t>Mhamed Ben Salah；Cédric Chambru；Maleke Fourati</w:t>
      </w:r>
    </w:p>
    <w:p>
      <w:r>
        <w:rPr>
          <w:rFonts w:ascii="Times New Roman" w:hAnsi="Times New Roman" w:eastAsia="宋体"/>
          <w:b w:val="0"/>
          <w:i w:val="0"/>
          <w:sz w:val="22"/>
        </w:rPr>
        <w:t>摘要：【摘译】作者利用1931年突尼斯学生入学率的空间差异，估计殖民历史对中长期受教育程度的影响。</w:t>
      </w:r>
    </w:p>
    <w:p>
      <w:r>
        <w:rPr>
          <w:rFonts w:ascii="Times New Roman" w:hAnsi="Times New Roman" w:eastAsia="宋体"/>
          <w:b w:val="0"/>
          <w:i w:val="0"/>
          <w:sz w:val="20"/>
        </w:rPr>
        <w:t>This paper uses spatial variations in the enrolment rate of Tunisian pupils in 1931 to estimate the weight of colonial history on medium- and long-run educational attainment. We assemble a new dataset on the location of public primary schools and the number of pupils and teachers, together with population data for 1931. We match these data with information on education at the district level, derived from two population censuses conducted in 1984 and 2014. We find that a one per cent increase in the enrolment rate in 1931 is associated with a 2.37 percentage points increase in the literacy rate in 1984, and a 1.89 percentage points increase in 2014. We further investigate the exposure to colonial public primary education across different age cohorts. We find that our results are mainly driven by older generations, and tend to fade for younger cohorts. While we provide qualitative evidence that a cultural transmission of education may have contributed to this persistence, we also argue that the continuous effort and investment made by Tunisian governments to achieve universal primary enrolment best explain the decline in spatial disparities in educational attainment.</w:t>
      </w:r>
    </w:p>
    <w:p/>
    <w:p>
      <w:r>
        <w:rPr>
          <w:rFonts w:ascii="Times New Roman" w:hAnsi="Times New Roman" w:eastAsia="黑体"/>
          <w:b/>
          <w:i w:val="0"/>
          <w:sz w:val="24"/>
        </w:rPr>
        <w:t>运河与贸易：中国的交通基础设施与市场整合（1780—1911）</w:t>
      </w:r>
    </w:p>
    <w:p>
      <w:r>
        <w:rPr>
          <w:rFonts w:ascii="Times New Roman" w:hAnsi="Times New Roman" w:eastAsia="宋体"/>
          <w:b w:val="0"/>
          <w:i/>
          <w:color w:val="404040"/>
          <w:sz w:val="20"/>
        </w:rPr>
        <w:t>Canal and trade: Transportation infrastructure and market integration in China, 1780–1911</w:t>
      </w:r>
    </w:p>
    <w:p>
      <w:r>
        <w:rPr>
          <w:rFonts w:ascii="Times New Roman" w:hAnsi="Times New Roman" w:eastAsia="宋体"/>
          <w:b w:val="0"/>
          <w:i w:val="0"/>
          <w:color w:val="595959"/>
          <w:sz w:val="18"/>
        </w:rPr>
        <w:t>Shuo Chen；Jianan Li；Qin Yao</w:t>
      </w:r>
    </w:p>
    <w:p>
      <w:r>
        <w:rPr>
          <w:rFonts w:ascii="Times New Roman" w:hAnsi="Times New Roman" w:eastAsia="宋体"/>
          <w:b w:val="0"/>
          <w:i w:val="0"/>
          <w:sz w:val="22"/>
        </w:rPr>
        <w:t>摘要：【摘译】作者以1826年洪水导致中国大运河关闭为冲击，量化交通基础设施对前现代市场整合的作用。</w:t>
      </w:r>
    </w:p>
    <w:p>
      <w:r>
        <w:rPr>
          <w:rFonts w:ascii="Times New Roman" w:hAnsi="Times New Roman" w:eastAsia="宋体"/>
          <w:b w:val="0"/>
          <w:i w:val="0"/>
          <w:sz w:val="20"/>
        </w:rPr>
        <w:t>This paper explores the role of transportation infrastructure in pre-modern economic development by investigating the historical canal's closure. We quantify the effects of closing China's Grand Canal in 1826 by disastrous flooding, the world's largest and oldest manmade waterway, on market integration. We use archived grain prices from 1780 to 1911 and find that the canal's closure led to a 30% decline in market integration; this impact lasted for more than 70 years. Our results are robust while addressing the alternative measures of market integration, potential spillovers from treated groups to control groups, influences of forced openness, and potential measurement errors and standard error adjustments. We find evidence consistent with increasing transportation costs and information friction as the main potential mechanisms. Our findings highlight the importance of transportation infrastructure in reducing arbitrage costs and provide new evidence which is important to explain the process of the Great Divergence between China and Europe.</w:t>
      </w:r>
    </w:p>
    <w:p/>
    <w:p>
      <w:r>
        <w:rPr>
          <w:rFonts w:ascii="Times New Roman" w:hAnsi="Times New Roman" w:eastAsia="黑体"/>
          <w:b/>
          <w:i w:val="0"/>
          <w:sz w:val="24"/>
        </w:rPr>
        <w:t>幼主：中国历史上的“坏皇帝”问题</w:t>
      </w:r>
    </w:p>
    <w:p>
      <w:r>
        <w:rPr>
          <w:rFonts w:ascii="Times New Roman" w:hAnsi="Times New Roman" w:eastAsia="宋体"/>
          <w:b w:val="0"/>
          <w:i/>
          <w:color w:val="404040"/>
          <w:sz w:val="20"/>
        </w:rPr>
        <w:t>Minor monarchs: The ‘Bad-Emperor’ problem in Chinese history</w:t>
      </w:r>
    </w:p>
    <w:p>
      <w:r>
        <w:rPr>
          <w:rFonts w:ascii="Times New Roman" w:hAnsi="Times New Roman" w:eastAsia="宋体"/>
          <w:b w:val="0"/>
          <w:i w:val="0"/>
          <w:color w:val="595959"/>
          <w:sz w:val="18"/>
        </w:rPr>
        <w:t>Heyu Xiong</w:t>
      </w:r>
    </w:p>
    <w:p>
      <w:r>
        <w:rPr>
          <w:rFonts w:ascii="Times New Roman" w:hAnsi="Times New Roman" w:eastAsia="宋体"/>
          <w:b w:val="0"/>
          <w:i w:val="0"/>
          <w:sz w:val="22"/>
        </w:rPr>
        <w:t>摘要：【摘译】作者以中国帝制时代为背景，考察领导人年龄与经验（幼主）对治理质量的影响。</w:t>
      </w:r>
    </w:p>
    <w:p>
      <w:r>
        <w:rPr>
          <w:rFonts w:ascii="Times New Roman" w:hAnsi="Times New Roman" w:eastAsia="宋体"/>
          <w:b w:val="0"/>
          <w:i w:val="0"/>
          <w:sz w:val="20"/>
        </w:rPr>
        <w:t>How important is the age and experience of political leaders for the quality of governance? I explore this question in the context of imperial China, where autocratic rule centered on the institution of the emperor persisted for nearly 2,000 years. While the issue of child emperors is frequently discussed in the historiography of China, the impact of minor rulers has not been explored empirically. Using rich biographical information on the lives of rulers, I show evidence consistent with the notion that the age of emperors mattered for the effective administration of the Chinese state. In particular, the incidences of minor monarchs appear to accelerate the decline of a dynasty and occur more frequently toward the end of an imperial dynasty. The rule of minor monarchs coincides with the timing of dynastic crises, nomadic attacks, peasant revolts, and declines in fiscal capacity. To assess causality, I conduct two tests. First, I validate my baseline findings using an instrumental variable strategy that exploits the early but natural deaths of preceding emperors. Second, I show that estimated relationships become stronger after the Tang-Song transition, during which the administrative power of the emperor increased dramatically relative to that of the civilian bureaucracy. Overall, the results in this paper suggest that in the absence of institutional constraints, weak executive leadership can lead to poor national outcomes even in a highly bureaucratized state.</w:t>
      </w:r>
    </w:p>
    <w:p/>
    <w:p>
      <w:r>
        <w:rPr>
          <w:rFonts w:ascii="Times New Roman" w:hAnsi="Times New Roman" w:eastAsia="黑体"/>
          <w:b/>
          <w:i w:val="0"/>
          <w:sz w:val="24"/>
        </w:rPr>
        <w:t>在线游戏化金融教育课程的影响：多国实验证据</w:t>
      </w:r>
    </w:p>
    <w:p>
      <w:r>
        <w:rPr>
          <w:rFonts w:ascii="Times New Roman" w:hAnsi="Times New Roman" w:eastAsia="宋体"/>
          <w:b w:val="0"/>
          <w:i/>
          <w:color w:val="404040"/>
          <w:sz w:val="20"/>
        </w:rPr>
        <w:t>The impact of an online game-based financial education course: Multi-country experimental evidence</w:t>
      </w:r>
    </w:p>
    <w:p>
      <w:r>
        <w:rPr>
          <w:rFonts w:ascii="Times New Roman" w:hAnsi="Times New Roman" w:eastAsia="宋体"/>
          <w:b w:val="0"/>
          <w:i w:val="0"/>
          <w:color w:val="595959"/>
          <w:sz w:val="18"/>
        </w:rPr>
        <w:t>Marta Cannistrà；Kenneth De Beckker；Tommaso Agasisti；Aisa Amagir；Kaire Põder；Lukáš Vartiak；Kristof De Witte</w:t>
      </w:r>
    </w:p>
    <w:p>
      <w:r>
        <w:rPr>
          <w:rFonts w:ascii="Times New Roman" w:hAnsi="Times New Roman" w:eastAsia="宋体"/>
          <w:b w:val="0"/>
          <w:i w:val="0"/>
          <w:sz w:val="22"/>
        </w:rPr>
        <w:t>摘要：【摘译】作者在四国对2220名学生开展随机对照试验，评估游戏化在线金融教育工具对金融素养的影响。</w:t>
      </w:r>
    </w:p>
    <w:p>
      <w:r>
        <w:rPr>
          <w:rFonts w:ascii="Times New Roman" w:hAnsi="Times New Roman" w:eastAsia="宋体"/>
          <w:b w:val="0"/>
          <w:i w:val="0"/>
          <w:sz w:val="20"/>
        </w:rPr>
        <w:t>This paper evaluates the impact of an online game-based financial education tool on students' financial literacy levels. By conducting a Randomized Controlled Trial (RCT) involving 2,220 students across four countries in a multi-country experimental setting, we demonstrate that the intervention significantly enhances students' financial literacy levels by 0.313 SD. This study contributes to the emerging academic literature concerning the evaluation of financial education interventions that incorporate learning-by-playing. The participation of students from four countries adds relevance by facilitating cross-comparison of outcomes and stimulating discussions about country-specific factors and peculiarities influencing youth financial literacy.</w:t>
      </w:r>
    </w:p>
    <w:p/>
    <w:p>
      <w:r>
        <w:rPr>
          <w:rFonts w:ascii="Times New Roman" w:hAnsi="Times New Roman" w:eastAsia="黑体"/>
          <w:b/>
          <w:i w:val="0"/>
          <w:sz w:val="24"/>
        </w:rPr>
        <w:t>管理实践与能源效率：来自中国企业的证据</w:t>
      </w:r>
    </w:p>
    <w:p>
      <w:r>
        <w:rPr>
          <w:rFonts w:ascii="Times New Roman" w:hAnsi="Times New Roman" w:eastAsia="宋体"/>
          <w:b w:val="0"/>
          <w:i/>
          <w:color w:val="404040"/>
          <w:sz w:val="20"/>
        </w:rPr>
        <w:t>Management practices and energy efficiency: Evidence from firms in China</w:t>
      </w:r>
    </w:p>
    <w:p>
      <w:r>
        <w:rPr>
          <w:rFonts w:ascii="Times New Roman" w:hAnsi="Times New Roman" w:eastAsia="宋体"/>
          <w:b w:val="0"/>
          <w:i w:val="0"/>
          <w:color w:val="595959"/>
          <w:sz w:val="18"/>
        </w:rPr>
        <w:t>Jing Cao；Soo Keong Yong</w:t>
      </w:r>
    </w:p>
    <w:p>
      <w:r>
        <w:rPr>
          <w:rFonts w:ascii="Times New Roman" w:hAnsi="Times New Roman" w:eastAsia="宋体"/>
          <w:b w:val="0"/>
          <w:i w:val="0"/>
          <w:sz w:val="22"/>
        </w:rPr>
        <w:t>摘要：【摘译】作者利用世界管理调查数据，发现中国管理实践更好的企业能源使用强度更低。</w:t>
      </w:r>
    </w:p>
    <w:p>
      <w:r>
        <w:rPr>
          <w:rFonts w:ascii="Times New Roman" w:hAnsi="Times New Roman" w:eastAsia="宋体"/>
          <w:b w:val="0"/>
          <w:i w:val="0"/>
          <w:sz w:val="20"/>
        </w:rPr>
        <w:t>Do well-managed firms use energy less intensively in developing countries? Using data from the World Management Survey, we investigate whether there is any relation between firms’ management practices and energy efficiency within China. We find that firms that are competently managed use substantially less electricity: a one standard deviation improvement in management practices is associated with a 14.9% reduction in usage intensity. The management ‘premium’ is also significant after accounting for policy effects, with well-managed firms regulated under an energy policy reducing electricity intensity significantly more than the less-well managed firms. However, the general management-energy relationship is not significant for fossil fuels. Management quality is non-monotonically related to different quantiles of energy intensity usage. Overall, there is evidence of management benefits to energy efficiency, but these are mainly restricted to electricity utilization.</w:t>
      </w:r>
    </w:p>
    <w:p/>
    <w:p>
      <w:r>
        <w:rPr>
          <w:rFonts w:ascii="Times New Roman" w:hAnsi="Times New Roman" w:eastAsia="黑体"/>
          <w:b/>
          <w:i w:val="0"/>
          <w:sz w:val="24"/>
        </w:rPr>
        <w:t>股票流动性与专利的信号价值：来自中国新三板的证据</w:t>
      </w:r>
    </w:p>
    <w:p>
      <w:r>
        <w:rPr>
          <w:rFonts w:ascii="Times New Roman" w:hAnsi="Times New Roman" w:eastAsia="宋体"/>
          <w:b w:val="0"/>
          <w:i/>
          <w:color w:val="404040"/>
          <w:sz w:val="20"/>
        </w:rPr>
        <w:t>Stock liquidity and the signaling value of patents: Evidence from china's national equities exchange and quotations market</w:t>
      </w:r>
    </w:p>
    <w:p>
      <w:r>
        <w:rPr>
          <w:rFonts w:ascii="Times New Roman" w:hAnsi="Times New Roman" w:eastAsia="宋体"/>
          <w:b w:val="0"/>
          <w:i w:val="0"/>
          <w:color w:val="595959"/>
          <w:sz w:val="18"/>
        </w:rPr>
        <w:t>Ruigang Bi；Zonglai Kou；Pingyi Lou；Hong Song</w:t>
      </w:r>
    </w:p>
    <w:p>
      <w:r>
        <w:rPr>
          <w:rFonts w:ascii="Times New Roman" w:hAnsi="Times New Roman" w:eastAsia="宋体"/>
          <w:b w:val="0"/>
          <w:i w:val="0"/>
          <w:sz w:val="22"/>
        </w:rPr>
        <w:t>摘要：【摘译】作者认为股票流动性提高价格信息含量、缓解信息问题，因而企业更少依靠专利发信号。</w:t>
      </w:r>
    </w:p>
    <w:p>
      <w:r>
        <w:rPr>
          <w:rFonts w:ascii="Times New Roman" w:hAnsi="Times New Roman" w:eastAsia="宋体"/>
          <w:b w:val="0"/>
          <w:i w:val="0"/>
          <w:sz w:val="20"/>
        </w:rPr>
        <w:t>Young and technology-oriented firms suffer from asymmetric information in seeking access to finance. An increase in stock liquidity can improve a firm's stock price informativeness and mitigate such information problems. We expect that firms will patent less when they face an increase in liquidity if patenting is used as a costly signal mechanism to demonstrate firm quality. By examining an exogenous policy shock that dramatically improves the stock liquidity of treated firms in China's National Equities Exchange and Quotations (NEEQ) market, we document evidence that treated firms patent less after the shock. Our findings reveal the importance of liquidity in reducing the deadweight costs caused by asymmetric information and the signaling value of patenting, and urge caution regarding the sole use of patent applications to measure innovation performance in entrepreneurial firms.</w:t>
      </w:r>
    </w:p>
    <w:p/>
    <w:p>
      <w:r>
        <w:rPr>
          <w:rFonts w:ascii="Times New Roman" w:hAnsi="Times New Roman" w:eastAsia="黑体"/>
          <w:b/>
          <w:i w:val="0"/>
          <w:sz w:val="24"/>
        </w:rPr>
        <w:t>医院对儿科服务价格上调的反应：来自中国的证据</w:t>
      </w:r>
    </w:p>
    <w:p>
      <w:r>
        <w:rPr>
          <w:rFonts w:ascii="Times New Roman" w:hAnsi="Times New Roman" w:eastAsia="宋体"/>
          <w:b w:val="0"/>
          <w:i/>
          <w:color w:val="404040"/>
          <w:sz w:val="20"/>
        </w:rPr>
        <w:t>Hospital response to increases in prices of pediatric services: Evidence from China</w:t>
      </w:r>
    </w:p>
    <w:p>
      <w:r>
        <w:rPr>
          <w:rFonts w:ascii="Times New Roman" w:hAnsi="Times New Roman" w:eastAsia="宋体"/>
          <w:b w:val="0"/>
          <w:i w:val="0"/>
          <w:color w:val="595959"/>
          <w:sz w:val="18"/>
        </w:rPr>
        <w:t>Hongqiao Fu；Jialin Huang；Ling Li；Winnie Yip</w:t>
      </w:r>
    </w:p>
    <w:p>
      <w:r>
        <w:rPr>
          <w:rFonts w:ascii="Times New Roman" w:hAnsi="Times New Roman" w:eastAsia="宋体"/>
          <w:b w:val="0"/>
          <w:i w:val="0"/>
          <w:sz w:val="22"/>
        </w:rPr>
        <w:t>摘要：【摘译】作者考察2018年广州对408项儿科服务提价30%后医院的反应。</w:t>
      </w:r>
    </w:p>
    <w:p>
      <w:r>
        <w:rPr>
          <w:rFonts w:ascii="Times New Roman" w:hAnsi="Times New Roman" w:eastAsia="宋体"/>
          <w:b w:val="0"/>
          <w:i w:val="0"/>
          <w:sz w:val="20"/>
        </w:rPr>
        <w:t>This study examined how hospitals responded to increases in the prices of previously underpriced pediatric services. In May 2018, the city of Guangzhou in southern China mandated price increases of 30 % for 408 pediatric service items when children patients aged under 6. Prices for patients aged 6 and over, however, remained unchanged. Using case-level discharge data from public hospitals in Guangzhou, we employed a regression discontinuity design to estimate the differences in health expenditures, treatment intensity, and readmission rate between patients hospitalized just before and after the age of 6. Since we observed no behavioral changes for children aged above 6, and an absence of demand-side response among children aged under 6, the estimated effects can be interpreted as providers' response to increases in pediatric service prices for children aged under 6. We found that the higher service prices significantly increased expenditures on medical services per admission for children aged under 6 by 15.8 %. The magnitude of this estimate provided suggestive evidence that increased expenditures on medical service were mainly driven by the mechanical price effect and the provision of medical services remained largely unchanged, because 408 pediatric services with price increase of 30 % accounted for almost half of the total service expenditures. Moreover, this pricing reform reduced drug expenditures and antibiotics expenditures per admission for children aged under 6 by 21.2 % and 31.8 %, respectively. Given that there was no price change in prescription drugs, the fall in drug and antibiotics expenditures was primarily due to behavioral effects on the supply side. The reduction in drug expenditures nearly offset the increase in expenditures on medical services, resulting in statistically insignificant changes in total expenditures per admission. Furthermore, we observed no measurable changes in treatment intensity or readmission rates around the age of 6. These findings suggested that increased prices for previously underpriced services may reduce the over-prescription of drugs without increasing total health expenditures and sacrificing healthcare quality, highlighting the potential of mitigating distortions in medical prices in improving health system performance.</w:t>
      </w:r>
    </w:p>
    <w:p/>
    <w:p>
      <w:r>
        <w:rPr>
          <w:rFonts w:ascii="Times New Roman" w:hAnsi="Times New Roman" w:eastAsia="黑体"/>
          <w:b/>
          <w:i w:val="0"/>
          <w:sz w:val="24"/>
        </w:rPr>
        <w:t>反腐对心理健康的影响：来自中国的证据</w:t>
      </w:r>
    </w:p>
    <w:p>
      <w:r>
        <w:rPr>
          <w:rFonts w:ascii="Times New Roman" w:hAnsi="Times New Roman" w:eastAsia="宋体"/>
          <w:b w:val="0"/>
          <w:i/>
          <w:color w:val="404040"/>
          <w:sz w:val="20"/>
        </w:rPr>
        <w:t>The impact of anti-corruption on mental health: Evidence from China</w:t>
      </w:r>
    </w:p>
    <w:p>
      <w:r>
        <w:rPr>
          <w:rFonts w:ascii="Times New Roman" w:hAnsi="Times New Roman" w:eastAsia="宋体"/>
          <w:b w:val="0"/>
          <w:i w:val="0"/>
          <w:color w:val="595959"/>
          <w:sz w:val="18"/>
        </w:rPr>
        <w:t>Jiawei Fu；Congyi Zhou</w:t>
      </w:r>
    </w:p>
    <w:p>
      <w:r>
        <w:rPr>
          <w:rFonts w:ascii="Times New Roman" w:hAnsi="Times New Roman" w:eastAsia="宋体"/>
          <w:b w:val="0"/>
          <w:i w:val="0"/>
          <w:sz w:val="22"/>
        </w:rPr>
        <w:t>摘要：【摘译】作者利用中国反腐运动的田野数据评估其对心理健康的影响。</w:t>
      </w:r>
    </w:p>
    <w:p>
      <w:r>
        <w:rPr>
          <w:rFonts w:ascii="Times New Roman" w:hAnsi="Times New Roman" w:eastAsia="宋体"/>
          <w:b w:val="0"/>
          <w:i w:val="0"/>
          <w:sz w:val="20"/>
        </w:rPr>
        <w:t>Mental health directly influences individuals’ behaviors and decision-making processes, particularly for government officials grappling with mental health issues. This paper utilizes field data from China’s anti-corruption campaign to evaluate the campaign’s impact on mental health. Our findings indicate that depressive symptoms, as measured by CES-D8 scores, have risen significantly among government employees by 0.4 units per 100 increase in corruption investigation cases. This result suggests that the anti-corruption campaign within a year could potentially result in an average increase of 29% in depressive symptoms among government employees. Interestingly, no comparable effect was found among the general Chinese population. This discrepancy could be attributed to the transformative impact of the anti-corruption campaign on the internal governmental work environment, engendering stress among its employees.</w:t>
      </w:r>
    </w:p>
    <w:p/>
    <w:p>
      <w:r>
        <w:rPr>
          <w:rFonts w:ascii="Times New Roman" w:hAnsi="Times New Roman" w:eastAsia="黑体"/>
          <w:b/>
          <w:i w:val="0"/>
          <w:sz w:val="24"/>
        </w:rPr>
        <w:t>数字普惠金融能否促进代际收入流动？来自中国的证据</w:t>
      </w:r>
    </w:p>
    <w:p>
      <w:r>
        <w:rPr>
          <w:rFonts w:ascii="Times New Roman" w:hAnsi="Times New Roman" w:eastAsia="宋体"/>
          <w:b w:val="0"/>
          <w:i/>
          <w:color w:val="404040"/>
          <w:sz w:val="20"/>
        </w:rPr>
        <w:t>Can digital financial inclusion facilitate intergenerational income mobility? Evidence from China</w:t>
      </w:r>
    </w:p>
    <w:p>
      <w:r>
        <w:rPr>
          <w:rFonts w:ascii="Times New Roman" w:hAnsi="Times New Roman" w:eastAsia="宋体"/>
          <w:b w:val="0"/>
          <w:i w:val="0"/>
          <w:color w:val="595959"/>
          <w:sz w:val="18"/>
        </w:rPr>
        <w:t>Xiaolan Yang；Lele Zhang；Xiaoyue Hong；Wenchao Li</w:t>
      </w:r>
    </w:p>
    <w:p>
      <w:r>
        <w:rPr>
          <w:rFonts w:ascii="Times New Roman" w:hAnsi="Times New Roman" w:eastAsia="宋体"/>
          <w:b w:val="0"/>
          <w:i w:val="0"/>
          <w:sz w:val="22"/>
        </w:rPr>
        <w:t>摘要：【摘译】作者结合全国家庭调查与数字普惠金融指数，发现数字金融发展促进代际收入流动。</w:t>
      </w:r>
    </w:p>
    <w:p>
      <w:r>
        <w:rPr>
          <w:rFonts w:ascii="Times New Roman" w:hAnsi="Times New Roman" w:eastAsia="宋体"/>
          <w:b w:val="0"/>
          <w:i w:val="0"/>
          <w:sz w:val="20"/>
        </w:rPr>
        <w:t>We present an empirical study on the impact of digital finance development on intergenerational income mobility. Combining nationally representative Chinese household survey data with indices for digital financial inclusion (DFI), we find that the development of digital finance leads to a lower correlation between children's income and their fathers’ income, significantly enhancing intergenerational mobility. Specifically, a one standard deviation increase in the DFI index is associated with a decrease in intergenerational income elasticity by 0.04–0.05. The effect is particularly pronounced in rural and inland regions. Furthermore, we find that digital finance development stimulates household entrepreneurial activities, which in turn enhance the role of digital finance in reducing intergenerational income correlation.</w:t>
      </w:r>
    </w:p>
    <w:p/>
    <w:p>
      <w:r>
        <w:rPr>
          <w:rFonts w:ascii="Times New Roman" w:hAnsi="Times New Roman" w:eastAsia="黑体"/>
          <w:b/>
          <w:i w:val="0"/>
          <w:sz w:val="24"/>
        </w:rPr>
        <w:t>衡量对欧洲公共预算的态度：一项跨国实验</w:t>
      </w:r>
    </w:p>
    <w:p>
      <w:r>
        <w:rPr>
          <w:rFonts w:ascii="Times New Roman" w:hAnsi="Times New Roman" w:eastAsia="宋体"/>
          <w:b w:val="0"/>
          <w:i/>
          <w:color w:val="404040"/>
          <w:sz w:val="20"/>
        </w:rPr>
        <w:t>Measuring the attitude towards a European public budget: A cross-country experiment</w:t>
      </w:r>
    </w:p>
    <w:p>
      <w:r>
        <w:rPr>
          <w:rFonts w:ascii="Times New Roman" w:hAnsi="Times New Roman" w:eastAsia="宋体"/>
          <w:b w:val="0"/>
          <w:i w:val="0"/>
          <w:color w:val="595959"/>
          <w:sz w:val="18"/>
        </w:rPr>
        <w:t>Marco Catola；Pietro Guarnieri；Veronica Pizziol；Chiara Rapallini</w:t>
      </w:r>
    </w:p>
    <w:p>
      <w:r>
        <w:rPr>
          <w:rFonts w:ascii="Times New Roman" w:hAnsi="Times New Roman" w:eastAsia="宋体"/>
          <w:b w:val="0"/>
          <w:i w:val="0"/>
          <w:sz w:val="22"/>
        </w:rPr>
        <w:t>摘要：【摘译】作者以多层公共品博弈在意、德、法、荷、波、葡六国考察民众对国家预算与欧洲公共预算的态度，检验贡献倾向的差异。</w:t>
      </w:r>
    </w:p>
    <w:p>
      <w:r>
        <w:rPr>
          <w:rFonts w:ascii="Times New Roman" w:hAnsi="Times New Roman" w:eastAsia="宋体"/>
          <w:b w:val="0"/>
          <w:i w:val="0"/>
          <w:sz w:val="20"/>
        </w:rPr>
        <w:t>We use a multilevel public goods game to investigate attitudes towards national public budgets and a European public budget in six Member States of the European Union: Italy, Germany, France, The Netherlands, Poland, and Portugal. We test to what extent propensities to contribute to public goods differ across countries. Using two efficiency treatments, we also test whether each country group adjusts its contribution when the relative efficiency of the public goods changes. We find no differences across countries in the propensity to contribute to either public budget. Moreover, all country groups level up their contribution to the European public good following an increase in its relative efficiency. We also devise a questionnaire to assess the impact of a sense of identity on contribution decisions and to control for the impact of COVID-19 and the current war in Ukraine on country and EU perceptions.</w:t>
      </w:r>
    </w:p>
    <w:p/>
    <w:p>
      <w:r>
        <w:rPr>
          <w:rFonts w:ascii="Times New Roman" w:hAnsi="Times New Roman" w:eastAsia="宋体"/>
          <w:b/>
          <w:i w:val="0"/>
          <w:sz w:val="22"/>
        </w:rPr>
        <w:t>JCE： Vol. 52, No. 3, 2024</w:t>
      </w:r>
    </w:p>
    <w:p/>
    <w:p>
      <w:r>
        <w:rPr>
          <w:rFonts w:ascii="Times New Roman" w:hAnsi="Times New Roman" w:eastAsia="黑体"/>
          <w:b/>
          <w:i w:val="0"/>
          <w:sz w:val="24"/>
        </w:rPr>
        <w:t>通过土地改革赋权公民</w:t>
      </w:r>
    </w:p>
    <w:p>
      <w:r>
        <w:rPr>
          <w:rFonts w:ascii="Times New Roman" w:hAnsi="Times New Roman" w:eastAsia="宋体"/>
          <w:b w:val="0"/>
          <w:i/>
          <w:color w:val="404040"/>
          <w:sz w:val="20"/>
        </w:rPr>
        <w:t>Citizen empowerment through land reform</w:t>
      </w:r>
    </w:p>
    <w:p>
      <w:r>
        <w:rPr>
          <w:rFonts w:ascii="Times New Roman" w:hAnsi="Times New Roman" w:eastAsia="宋体"/>
          <w:b w:val="0"/>
          <w:i w:val="0"/>
          <w:color w:val="595959"/>
          <w:sz w:val="18"/>
        </w:rPr>
        <w:t>Pablo Jimenez-Ayora；Devashish Mitra；Lan Anh Tong；Mehmet A. Ulubaşoğlu</w:t>
      </w:r>
    </w:p>
    <w:p>
      <w:r>
        <w:rPr>
          <w:rFonts w:ascii="Times New Roman" w:hAnsi="Times New Roman" w:eastAsia="宋体"/>
          <w:b w:val="0"/>
          <w:i w:val="0"/>
          <w:sz w:val="22"/>
        </w:rPr>
        <w:t>摘要：【摘译】作者考察法定政治制度与精英—公民事实权力的交互如何决定亲民土地改革的采纳。</w:t>
      </w:r>
    </w:p>
    <w:p>
      <w:r>
        <w:rPr>
          <w:rFonts w:ascii="Times New Roman" w:hAnsi="Times New Roman" w:eastAsia="宋体"/>
          <w:b w:val="0"/>
          <w:i w:val="0"/>
          <w:sz w:val="20"/>
        </w:rPr>
        <w:t>This paper empirically investigates the interplay between de jure political institutions and de facto elite-versus-citizen political power in determining the likelihood of the adoption of pro-citizen or aggregate welfare-enhancing economic institutions. Our key innovation is to measure the elite vs. citizens’ de facto power by the stock of land reforms that have taken place up to a given year in a country during the period 1900 to 2010. Our empirical analysis documents that, controlling for permanent country differences, common time shocks and country-specific time trends, and addressing the biases owing to initial differences in land distribution and time-varying omitted variables, democratization correlates with a relatively more likely movement towards aggregate welfare-maximizing policies in countries where adequate citizen power has been built (elite power has been adequately destroyed) over time. In addition, each land reform, which is an incremental destruction of the elite power, is associated with a relatively more likely movement towards aggregate welfare-enhancing policies in countries under democratic regimes, compared to autocracies.</w:t>
      </w:r>
    </w:p>
    <w:p/>
    <w:p>
      <w:r>
        <w:rPr>
          <w:rFonts w:ascii="Times New Roman" w:hAnsi="Times New Roman" w:eastAsia="黑体"/>
          <w:b/>
          <w:i w:val="0"/>
          <w:sz w:val="24"/>
        </w:rPr>
        <w:t>自然灾害中移民的社会行为：来自美国的启示</w:t>
      </w:r>
    </w:p>
    <w:p>
      <w:r>
        <w:rPr>
          <w:rFonts w:ascii="Times New Roman" w:hAnsi="Times New Roman" w:eastAsia="宋体"/>
          <w:b w:val="0"/>
          <w:i/>
          <w:color w:val="404040"/>
          <w:sz w:val="20"/>
        </w:rPr>
        <w:t>The social behavior of immigrants during natural disasters: Lessons from the United States</w:t>
      </w:r>
    </w:p>
    <w:p>
      <w:r>
        <w:rPr>
          <w:rFonts w:ascii="Times New Roman" w:hAnsi="Times New Roman" w:eastAsia="宋体"/>
          <w:b w:val="0"/>
          <w:i w:val="0"/>
          <w:color w:val="595959"/>
          <w:sz w:val="18"/>
        </w:rPr>
        <w:t>Veeshan Rayamajhee；Jayash Paudel</w:t>
      </w:r>
    </w:p>
    <w:p>
      <w:r>
        <w:rPr>
          <w:rFonts w:ascii="Times New Roman" w:hAnsi="Times New Roman" w:eastAsia="宋体"/>
          <w:b w:val="0"/>
          <w:i w:val="0"/>
          <w:sz w:val="22"/>
        </w:rPr>
        <w:t>摘要：【摘译】作者考察自然灾害对移民与本地人社会行为分化的影响。</w:t>
      </w:r>
    </w:p>
    <w:p>
      <w:r>
        <w:rPr>
          <w:rFonts w:ascii="Times New Roman" w:hAnsi="Times New Roman" w:eastAsia="宋体"/>
          <w:b w:val="0"/>
          <w:i w:val="0"/>
          <w:sz w:val="20"/>
        </w:rPr>
        <w:t>Natural disasters can disrupt our social fabric and increase political polarization by differentially impacting different subpopulations and exacerbating existing inequities. In this paper, we examine the effects of natural disasters on the divergence of social behavior between immigrants and natives in the United States. First, using individual-level time diary data from 2003–2021, we document that first generation immigrants socialize less, volunteer less, and spend more time in religious activities relative to their native counterparts. Second, we make use of temporal and spatial variation in disaster-induced fatalities to examine the relationship between major disasters and time allocation for different social behavioral outcomes. We find that major disasters affect the social lives of both immigrants and natives, but the effects are significantly more pronounced for immigrants. Finally, we show that immigrants respond to disasters by making significant adjustments in their labor market participation both on the intensive and extensive margins, whereas the effects are milder for natives. Our results further suggest that immigrants face higher levels of barriers to out-migrate following a disaster compared to native counterparts, resulting in disruption of social networks.</w:t>
      </w:r>
    </w:p>
    <w:p/>
    <w:p>
      <w:r>
        <w:rPr>
          <w:rFonts w:ascii="Times New Roman" w:hAnsi="Times New Roman" w:eastAsia="黑体"/>
          <w:b/>
          <w:i w:val="0"/>
          <w:sz w:val="24"/>
        </w:rPr>
        <w:t>官商关系、腐败及其对市场化的影响</w:t>
      </w:r>
    </w:p>
    <w:p>
      <w:r>
        <w:rPr>
          <w:rFonts w:ascii="Times New Roman" w:hAnsi="Times New Roman" w:eastAsia="宋体"/>
          <w:b w:val="0"/>
          <w:i/>
          <w:color w:val="404040"/>
          <w:sz w:val="20"/>
        </w:rPr>
        <w:t>Bureaucracy-business relationship, corruption and the implications for marketization</w:t>
      </w:r>
    </w:p>
    <w:p>
      <w:r>
        <w:rPr>
          <w:rFonts w:ascii="Times New Roman" w:hAnsi="Times New Roman" w:eastAsia="宋体"/>
          <w:b w:val="0"/>
          <w:i w:val="0"/>
          <w:color w:val="595959"/>
          <w:sz w:val="18"/>
        </w:rPr>
        <w:t>Shaoqing Huang；Weisi Xie；Xiaoshu Xu</w:t>
      </w:r>
    </w:p>
    <w:p>
      <w:r>
        <w:rPr>
          <w:rFonts w:ascii="Times New Roman" w:hAnsi="Times New Roman" w:eastAsia="宋体"/>
          <w:b w:val="0"/>
          <w:i w:val="0"/>
          <w:sz w:val="22"/>
        </w:rPr>
        <w:t>摘要：【摘译】作者以新博弈模型刻画弱制度经济中官员与国内企业的腐败关系对市场化进程与福利的影响。</w:t>
      </w:r>
    </w:p>
    <w:p>
      <w:r>
        <w:rPr>
          <w:rFonts w:ascii="Times New Roman" w:hAnsi="Times New Roman" w:eastAsia="宋体"/>
          <w:b w:val="0"/>
          <w:i w:val="0"/>
          <w:sz w:val="20"/>
        </w:rPr>
        <w:t>This paper employs a novel game-theory model to characterize the impact and the resulting welfare implications of a corrupt relationship in the marketization process in an economy with weak institutions. This relationship between a bureaucrat and a domestic firm enables the bureaucrat to share part of the domestic firm’s gain generated by the bureaucrat’s imposition of barriers to deter the entry of foreign firms. When the barrier has an upper bound and both the bureaucrat and the foreign firm have sufficient knowledge regarding the domestic firm’s cost information, the equilibrium level of the barrier would first equal the upper bound and then decrease with the domestic firm’s cost. This result is robust regardless of whether the cost of the domestic firm and the foreign firm are positively correlated or independent. The welfare loss is largest in industries where a firm’s cost relies heavily on its private advantage: e.g., innovation-intensive industries, and when the domestic firm has a relatively large cost disadvantage. This paper provides novel and insightful implications for marketization in countries with weak institutions.</w:t>
      </w:r>
    </w:p>
    <w:p/>
    <w:p>
      <w:r>
        <w:rPr>
          <w:rFonts w:ascii="Times New Roman" w:hAnsi="Times New Roman" w:eastAsia="黑体"/>
          <w:b/>
          <w:i w:val="0"/>
          <w:sz w:val="24"/>
        </w:rPr>
        <w:t>在武装冲突中成长：女性对家庭暴力的态度</w:t>
      </w:r>
    </w:p>
    <w:p>
      <w:r>
        <w:rPr>
          <w:rFonts w:ascii="Times New Roman" w:hAnsi="Times New Roman" w:eastAsia="宋体"/>
          <w:b w:val="0"/>
          <w:i/>
          <w:color w:val="404040"/>
          <w:sz w:val="20"/>
        </w:rPr>
        <w:t>Growing up amid armed conflict: Women's attitudes toward domestic violence</w:t>
      </w:r>
    </w:p>
    <w:p>
      <w:r>
        <w:rPr>
          <w:rFonts w:ascii="Times New Roman" w:hAnsi="Times New Roman" w:eastAsia="宋体"/>
          <w:b w:val="0"/>
          <w:i w:val="0"/>
          <w:color w:val="595959"/>
          <w:sz w:val="18"/>
        </w:rPr>
        <w:t>Giulia La Mattina；Olga N. Shemyakina</w:t>
      </w:r>
    </w:p>
    <w:p>
      <w:r>
        <w:rPr>
          <w:rFonts w:ascii="Times New Roman" w:hAnsi="Times New Roman" w:eastAsia="宋体"/>
          <w:b w:val="0"/>
          <w:i w:val="0"/>
          <w:sz w:val="22"/>
        </w:rPr>
        <w:t>摘要：【摘译】作者匹配23国48次人口与健康调查及冲突记录，发现成长于武装冲突中的女性更接受家庭暴力。</w:t>
      </w:r>
    </w:p>
    <w:p>
      <w:r>
        <w:rPr>
          <w:rFonts w:ascii="Times New Roman" w:hAnsi="Times New Roman" w:eastAsia="宋体"/>
          <w:b w:val="0"/>
          <w:i w:val="0"/>
          <w:sz w:val="20"/>
        </w:rPr>
        <w:t>This paper examines the relationship between growing up amid armed conflict and acceptance of violent behavior later in life. With this aim, we match data from 48 Demographic and Health Surveys in 23 countries in Sub-Saharan Africa with records of all conflict events in the region post-WWII. Our empirical strategy exploits within-country variation in conflict exposure across survey clusters and over birth years. We find that attitudes toward domestic violence vary with past exposure to a high-intensity conflict (war) during childhood, but the estimated association is small in magnitude. Estimates from a model with survey cluster fixed effects show that acceptance of domestic violence by women exposed to war before age 20 is about three percent of a standard deviation higher than acceptance by women who live in the same community and experience a war later in life or were born after the war ended. The association is the largest for women first exposed to war early in childhood but remains small (five percent of a standard deviation).</w:t>
      </w:r>
    </w:p>
    <w:p/>
    <w:p>
      <w:r>
        <w:rPr>
          <w:rFonts w:ascii="Times New Roman" w:hAnsi="Times New Roman" w:eastAsia="黑体"/>
          <w:b/>
          <w:i w:val="0"/>
          <w:sz w:val="24"/>
        </w:rPr>
        <w:t>海外投票：评估当地投票率对移民投票行为的影响</w:t>
      </w:r>
    </w:p>
    <w:p>
      <w:r>
        <w:rPr>
          <w:rFonts w:ascii="Times New Roman" w:hAnsi="Times New Roman" w:eastAsia="宋体"/>
          <w:b w:val="0"/>
          <w:i/>
          <w:color w:val="404040"/>
          <w:sz w:val="20"/>
        </w:rPr>
        <w:t>Voting from abroad: Assessing the impact of local turnout on migrants’ voting behavior</w:t>
      </w:r>
    </w:p>
    <w:p>
      <w:r>
        <w:rPr>
          <w:rFonts w:ascii="Times New Roman" w:hAnsi="Times New Roman" w:eastAsia="宋体"/>
          <w:b w:val="0"/>
          <w:i w:val="0"/>
          <w:color w:val="595959"/>
          <w:sz w:val="18"/>
        </w:rPr>
        <w:t>Divya Dev；Rubén Poblete-Cazenave；Alessandro Toppeta</w:t>
      </w:r>
    </w:p>
    <w:p>
      <w:r>
        <w:rPr>
          <w:rFonts w:ascii="Times New Roman" w:hAnsi="Times New Roman" w:eastAsia="宋体"/>
          <w:b w:val="0"/>
          <w:i w:val="0"/>
          <w:sz w:val="22"/>
        </w:rPr>
        <w:t>摘要：【摘译】作者利用旅居欧洲智利侨民微观数据，考察东道国当地投票率对其母国投票行为的影响。</w:t>
      </w:r>
    </w:p>
    <w:p>
      <w:r>
        <w:rPr>
          <w:rFonts w:ascii="Times New Roman" w:hAnsi="Times New Roman" w:eastAsia="宋体"/>
          <w:b w:val="0"/>
          <w:i w:val="0"/>
          <w:sz w:val="20"/>
        </w:rPr>
        <w:t>Over 150 countries have laws allowing expatriate citizens to vote in their country of origin. Yet, little is known about their voting behavior and how this is affected by their host countries. Using unique micro-data on Chilean expatriates living in Europe and exploiting increases in the cost of voting caused by rainfall during the 2014 European Parliament election day in districts where Chileans reside, we show that 1 percentage point increase in the host-country local turnout decreases expatriates’ electoral participation in their home-country elections by nearly 1 percentage point. The result is driven by expatriates who were better integrated in the host-country societies. Evidence from surveys shows that higher host turnout promotes expatriates’ participation in host-country organizations and less in home-country organizations. Overall, our results suggest that in communities with high-political participation, migrants engage more with the local politics at the expense of their home-country politics.</w:t>
      </w:r>
    </w:p>
    <w:p/>
    <w:p>
      <w:r>
        <w:rPr>
          <w:rFonts w:ascii="Times New Roman" w:hAnsi="Times New Roman" w:eastAsia="黑体"/>
          <w:b/>
          <w:i w:val="0"/>
          <w:sz w:val="24"/>
        </w:rPr>
        <w:t>义务教育法、女性教育与生育：基于中国的实证研究</w:t>
      </w:r>
    </w:p>
    <w:p>
      <w:r>
        <w:rPr>
          <w:rFonts w:ascii="Times New Roman" w:hAnsi="Times New Roman" w:eastAsia="宋体"/>
          <w:b w:val="0"/>
          <w:i/>
          <w:color w:val="404040"/>
          <w:sz w:val="20"/>
        </w:rPr>
        <w:t>The compulsory education law, female education and fertility: An empirical study in China</w:t>
      </w:r>
    </w:p>
    <w:p>
      <w:r>
        <w:rPr>
          <w:rFonts w:ascii="Times New Roman" w:hAnsi="Times New Roman" w:eastAsia="宋体"/>
          <w:b w:val="0"/>
          <w:i w:val="0"/>
          <w:color w:val="595959"/>
          <w:sz w:val="18"/>
        </w:rPr>
        <w:t>Shenglong Liu；Xiaoming Zhang；Shaojie Zhou</w:t>
      </w:r>
    </w:p>
    <w:p>
      <w:r>
        <w:rPr>
          <w:rFonts w:ascii="Times New Roman" w:hAnsi="Times New Roman" w:eastAsia="宋体"/>
          <w:b w:val="0"/>
          <w:i w:val="0"/>
          <w:sz w:val="22"/>
        </w:rPr>
        <w:t>摘要：【摘译】作者利用1986年义务教育法在各省的渐进实施，考察其对女性教育与生育的影响。</w:t>
      </w:r>
    </w:p>
    <w:p>
      <w:r>
        <w:rPr>
          <w:rFonts w:ascii="Times New Roman" w:hAnsi="Times New Roman" w:eastAsia="宋体"/>
          <w:b w:val="0"/>
          <w:i w:val="0"/>
          <w:sz w:val="20"/>
        </w:rPr>
        <w:t>China promulgated the Compulsory Education Law in 1986, which was subsequently gradually implemented in various provinces. While promoting the development of education in China, whether the implementation of the Compulsory Education Law also has an impact on the fertility rate is an important aspect of understanding the fertility problem in China. This paper examines the marginal treatment effect of education on fertility by using the sampling data of 1 % national population sample survey data in 2015. The empirical study finds that the effect of education on fertility was heterogeneous. For women who face greater difficulties in completing junior high school, education has a greater negative impact on their childbearing. For women who have more opportunities to complete junior high school, the impact of education on childbearing is not significant. The policy simulation results of this paper show that with the increasing completion rate of nine-year compulsory education, education significantly reduces fertility rates in China. The empirical study in this paper has important policy implications. At present, China's fertility policies have turned to incentive-based policies, and the extensive supports of social policies are more critical for the policy goal of improving fertility level.</w:t>
      </w:r>
    </w:p>
    <w:p/>
    <w:p>
      <w:r>
        <w:rPr>
          <w:rFonts w:ascii="Times New Roman" w:hAnsi="Times New Roman" w:eastAsia="黑体"/>
          <w:b/>
          <w:i w:val="0"/>
          <w:sz w:val="24"/>
        </w:rPr>
        <w:t>弥合数字鸿沟：教师信息技术使用对中国学生成绩的影响</w:t>
      </w:r>
    </w:p>
    <w:p>
      <w:r>
        <w:rPr>
          <w:rFonts w:ascii="Times New Roman" w:hAnsi="Times New Roman" w:eastAsia="宋体"/>
          <w:b w:val="0"/>
          <w:i/>
          <w:color w:val="404040"/>
          <w:sz w:val="20"/>
        </w:rPr>
        <w:t>Closing the digital divide: The impact of teachers’ ICT use on student achievement in China</w:t>
      </w:r>
    </w:p>
    <w:p>
      <w:r>
        <w:rPr>
          <w:rFonts w:ascii="Times New Roman" w:hAnsi="Times New Roman" w:eastAsia="宋体"/>
          <w:b w:val="0"/>
          <w:i w:val="0"/>
          <w:color w:val="595959"/>
          <w:sz w:val="18"/>
        </w:rPr>
        <w:t>Junjie Hong；Wanlin Liu；Qing Zhang</w:t>
      </w:r>
    </w:p>
    <w:p>
      <w:r>
        <w:rPr>
          <w:rFonts w:ascii="Times New Roman" w:hAnsi="Times New Roman" w:eastAsia="宋体"/>
          <w:b w:val="0"/>
          <w:i w:val="0"/>
          <w:sz w:val="22"/>
        </w:rPr>
        <w:t>摘要：【摘译】作者考察教师信息技术使用对中国学生成绩的间接影响。</w:t>
      </w:r>
    </w:p>
    <w:p>
      <w:r>
        <w:rPr>
          <w:rFonts w:ascii="Times New Roman" w:hAnsi="Times New Roman" w:eastAsia="宋体"/>
          <w:b w:val="0"/>
          <w:i w:val="0"/>
          <w:sz w:val="20"/>
        </w:rPr>
        <w:t>There is growing interest in exploring the use of information and communication technology (ICT) to enhance academic performance. Whereas previous studies have predominantly focused on the direct effects of ICT on education quality, only limited attention has been paid to the interactions between teachers’ use of ICT in the classroom and the students’ use of ICT at home and the role of teachers in the pedagogical process. In this study, we use a nationally representative survey of secondary school students in China to investigate the impact of teachers’ integration of ICT into the instructional process and the impact of the interactions between home ICT resources and school ICT use on students’ academic performance. Our findings indicate that teachers’ increased frequency of ICT use during instruction improves the current and long-term academic performance of students who lack access to computers at home, compared with those with home computers. These positive effects can be attributed to improvements in the quality and preparation time of teachers’ lessons, increased use of interactive teaching methods, and heightened student motivation to learn.</w:t>
      </w:r>
    </w:p>
    <w:p/>
    <w:p>
      <w:r>
        <w:rPr>
          <w:rFonts w:ascii="Times New Roman" w:hAnsi="Times New Roman" w:eastAsia="黑体"/>
          <w:b/>
          <w:i w:val="0"/>
          <w:sz w:val="24"/>
        </w:rPr>
        <w:t>个人主义与卖淫的法律地位</w:t>
      </w:r>
    </w:p>
    <w:p>
      <w:r>
        <w:rPr>
          <w:rFonts w:ascii="Times New Roman" w:hAnsi="Times New Roman" w:eastAsia="宋体"/>
          <w:b w:val="0"/>
          <w:i/>
          <w:color w:val="404040"/>
          <w:sz w:val="20"/>
        </w:rPr>
        <w:t>Individualism and the legal status of prostitution</w:t>
      </w:r>
    </w:p>
    <w:p>
      <w:r>
        <w:rPr>
          <w:rFonts w:ascii="Times New Roman" w:hAnsi="Times New Roman" w:eastAsia="宋体"/>
          <w:b w:val="0"/>
          <w:i w:val="0"/>
          <w:color w:val="595959"/>
          <w:sz w:val="18"/>
        </w:rPr>
        <w:t>Lewis S. Davis；Astghik Mavisakalyan</w:t>
      </w:r>
    </w:p>
    <w:p>
      <w:r>
        <w:rPr>
          <w:rFonts w:ascii="Times New Roman" w:hAnsi="Times New Roman" w:eastAsia="宋体"/>
          <w:b w:val="0"/>
          <w:i w:val="0"/>
          <w:sz w:val="22"/>
        </w:rPr>
        <w:t>摘要：【摘译】作者发现个人主义文化与各国卖淫法律地位相关。</w:t>
      </w:r>
    </w:p>
    <w:p>
      <w:r>
        <w:rPr>
          <w:rFonts w:ascii="Times New Roman" w:hAnsi="Times New Roman" w:eastAsia="宋体"/>
          <w:b w:val="0"/>
          <w:i w:val="0"/>
          <w:sz w:val="20"/>
        </w:rPr>
        <w:t>We know very little about why the legal status of prostitution varies across countries. Drawing on central arguments in the normative literature on the legal status of prostitution, in which a central argument concerns the sexual and bodily autonomy of women, we ask whether a country's position on the individualism-collectivism affects the legal status of prostitution. We investigate this question using a panel of 61 countries, finding a robust positive relationship between individualism and the legality of prostitution. In the baseline model, a one-standard deviation increase in individualism is associated with a ten percentage point increase in the likelihood that prostitution is legal. This relationship is robust to controls for institutional structure, other dimensions of culture, and measures of women's economic status and historical patriarchy. It is also robust to the use of instrumental variable analysis to address issues of endogeneity and measurement error. Our results also shed light on two additional aspects of the normative debate over legal prostitution. In particular, we find that prostitution is more likely to be legal in countries in which women enjoy greater economic status, but we fail to find a consistent empirical relationship between historical patriarchy and legal prostitution.</w:t>
      </w:r>
    </w:p>
    <w:p/>
    <w:p>
      <w:r>
        <w:rPr>
          <w:rFonts w:ascii="Times New Roman" w:hAnsi="Times New Roman" w:eastAsia="宋体"/>
          <w:b/>
          <w:i w:val="0"/>
          <w:sz w:val="22"/>
        </w:rPr>
        <w:t>JCE： Vol. 52, No. 2, 2024</w:t>
      </w:r>
    </w:p>
    <w:p/>
    <w:p>
      <w:r>
        <w:rPr>
          <w:rFonts w:ascii="Times New Roman" w:hAnsi="Times New Roman" w:eastAsia="黑体"/>
          <w:b/>
          <w:i w:val="0"/>
          <w:sz w:val="24"/>
        </w:rPr>
        <w:t>对冲绝望：宗族网络如何减少中国历史上的人相食</w:t>
      </w:r>
    </w:p>
    <w:p>
      <w:r>
        <w:rPr>
          <w:rFonts w:ascii="Times New Roman" w:hAnsi="Times New Roman" w:eastAsia="宋体"/>
          <w:b w:val="0"/>
          <w:i/>
          <w:color w:val="404040"/>
          <w:sz w:val="20"/>
        </w:rPr>
        <w:t>Hedging desperation: How kinship networks reduced cannibalism in historical China</w:t>
      </w:r>
    </w:p>
    <w:p>
      <w:r>
        <w:rPr>
          <w:rFonts w:ascii="Times New Roman" w:hAnsi="Times New Roman" w:eastAsia="宋体"/>
          <w:b w:val="0"/>
          <w:i w:val="0"/>
          <w:color w:val="595959"/>
          <w:sz w:val="18"/>
        </w:rPr>
        <w:t>Zhiwu Chen；Zhan Lin；Xiaoming Zhang</w:t>
      </w:r>
    </w:p>
    <w:p>
      <w:r>
        <w:rPr>
          <w:rFonts w:ascii="Times New Roman" w:hAnsi="Times New Roman" w:eastAsia="宋体"/>
          <w:b w:val="0"/>
          <w:i w:val="0"/>
          <w:sz w:val="22"/>
        </w:rPr>
        <w:t>摘要：【摘译】作者利用1470—1910年数据，发现作为制度化亲属网络的儒家宗族通过风险分担减少了灾荒中的人相食。</w:t>
      </w:r>
    </w:p>
    <w:p>
      <w:r>
        <w:rPr>
          <w:rFonts w:ascii="Times New Roman" w:hAnsi="Times New Roman" w:eastAsia="宋体"/>
          <w:b w:val="0"/>
          <w:i w:val="0"/>
          <w:sz w:val="20"/>
        </w:rPr>
        <w:t>Survival cannibalism persisted across human societies until recently. What drove the decline in cannibalism and other forms of violence? Using data from the 1470–1910 period, this paper documents that in historical China, the Confucian clan—an institutionalized kinship network—acted as an informal internal market to facilitate intra-clan resource pooling and risk-sharing, thus reducing the need for cannibalism during times of drought-related famine. The risk mitigation role of the clan remains robust after controlling for economic development and other factors and ruling out alternative channels. Thus, kinship networks and their associated culture contributed to human civilizational development before the advent of formal markets.</w:t>
      </w:r>
    </w:p>
    <w:p/>
    <w:p>
      <w:r>
        <w:rPr>
          <w:rFonts w:ascii="Times New Roman" w:hAnsi="Times New Roman" w:eastAsia="黑体"/>
          <w:b/>
          <w:i w:val="0"/>
          <w:sz w:val="24"/>
        </w:rPr>
        <w:t>企业、市场与租金的增长：来自中国的证据</w:t>
      </w:r>
    </w:p>
    <w:p>
      <w:r>
        <w:rPr>
          <w:rFonts w:ascii="Times New Roman" w:hAnsi="Times New Roman" w:eastAsia="宋体"/>
          <w:b w:val="0"/>
          <w:i/>
          <w:color w:val="404040"/>
          <w:sz w:val="20"/>
        </w:rPr>
        <w:t>The growth of firms, markets and rents: Evidence from China</w:t>
      </w:r>
    </w:p>
    <w:p>
      <w:r>
        <w:rPr>
          <w:rFonts w:ascii="Times New Roman" w:hAnsi="Times New Roman" w:eastAsia="宋体"/>
          <w:b w:val="0"/>
          <w:i w:val="0"/>
          <w:color w:val="595959"/>
          <w:sz w:val="18"/>
        </w:rPr>
        <w:t>Daniel Berkowitz；Shuichiro Nishioka</w:t>
      </w:r>
    </w:p>
    <w:p>
      <w:r>
        <w:rPr>
          <w:rFonts w:ascii="Times New Roman" w:hAnsi="Times New Roman" w:eastAsia="宋体"/>
          <w:b w:val="0"/>
          <w:i w:val="0"/>
          <w:sz w:val="22"/>
        </w:rPr>
        <w:t>摘要：【摘译】作者以最新方法估计加成与利润份额，记录入世后中国制造业企业租金的增长。</w:t>
      </w:r>
    </w:p>
    <w:p>
      <w:r>
        <w:rPr>
          <w:rFonts w:ascii="Times New Roman" w:hAnsi="Times New Roman" w:eastAsia="宋体"/>
          <w:b w:val="0"/>
          <w:i w:val="0"/>
          <w:sz w:val="20"/>
        </w:rPr>
        <w:t>The evidence for whether China become more competitive following its accession to the World Trade Organization (WTO) is mixed. Using recent methods for estimating markups and profit shares, this paper documents that Chinese manufacturing firms on average collected more rents after the accession because the rate of net entry of firms lagged the rapid growth of the domestic market. While the selection on large productive firms drove the rise in the aggregate markups in the United States (De Loecker et al., 2020), these competitive forces played a secondary role in China.</w:t>
      </w:r>
    </w:p>
    <w:p/>
    <w:p>
      <w:r>
        <w:rPr>
          <w:rFonts w:ascii="Times New Roman" w:hAnsi="Times New Roman" w:eastAsia="黑体"/>
          <w:b/>
          <w:i w:val="0"/>
          <w:sz w:val="24"/>
        </w:rPr>
        <w:t>误导信息技术：非洲的互联网使用与政治误判</w:t>
      </w:r>
    </w:p>
    <w:p>
      <w:r>
        <w:rPr>
          <w:rFonts w:ascii="Times New Roman" w:hAnsi="Times New Roman" w:eastAsia="宋体"/>
          <w:b w:val="0"/>
          <w:i/>
          <w:color w:val="404040"/>
          <w:sz w:val="20"/>
        </w:rPr>
        <w:t>Misinformation technology: Internet use and political misperceptions in Africa</w:t>
      </w:r>
    </w:p>
    <w:p>
      <w:r>
        <w:rPr>
          <w:rFonts w:ascii="Times New Roman" w:hAnsi="Times New Roman" w:eastAsia="宋体"/>
          <w:b w:val="0"/>
          <w:i w:val="0"/>
          <w:color w:val="595959"/>
          <w:sz w:val="18"/>
        </w:rPr>
        <w:t>Joël Cariolle；Yasmine Elkhateeb；Mathilde Maurel</w:t>
      </w:r>
    </w:p>
    <w:p>
      <w:r>
        <w:rPr>
          <w:rFonts w:ascii="Times New Roman" w:hAnsi="Times New Roman" w:eastAsia="宋体"/>
          <w:b w:val="0"/>
          <w:i w:val="0"/>
          <w:sz w:val="22"/>
        </w:rPr>
        <w:t>摘要：【摘译】作者利用非洲晴雨表数据与工具变量，发现以互联网获取新闻影响非洲公民对民主的认知。</w:t>
      </w:r>
    </w:p>
    <w:p>
      <w:r>
        <w:rPr>
          <w:rFonts w:ascii="Times New Roman" w:hAnsi="Times New Roman" w:eastAsia="宋体"/>
          <w:b w:val="0"/>
          <w:i w:val="0"/>
          <w:sz w:val="20"/>
        </w:rPr>
        <w:t>The use of the Internet to access news has an impact on African citizens’ perceptions of democracy. Using repeated cross-sectional data from the Afrobarometer survey across 35 African countries over the period 2011–2018, along with an instrumental variable approach, allows addressing potential endogeneity bias between Internet use and citizens’ perceptions. The results indicate that using the Internet to obtain information has a significant negative effect on both the preference for and the perception of the extent of democracy. This negative effect is due to several factors. First, Internet use erodes trust in government institutions, mainly in the parliament and the ruling party. It increases the perception that parliament members are involved in corruption. In addition, the erosion of trust is correlated with more political mobilization, in the form of greater participation in demonstrations and voting. These results echo the existing literature and, in particular, hint at the risks of reversal of nascent democratization processes. Finally, the Internet seems to act as a misinformation channel. On the one hand, Internet users’ perception of the extent of democracy and perception of the corruption of legislators diverge from experts’ assessments. On the other hand, Internet use increases the likelihood of inconsistency in respondents’ stances on their preference for democracy. The Internet is not a neutral information channel: it tends to undermine citizens’ preference for democracy while also altering perceptions about political institutions.</w:t>
      </w:r>
    </w:p>
    <w:p/>
    <w:p>
      <w:r>
        <w:rPr>
          <w:rFonts w:ascii="Times New Roman" w:hAnsi="Times New Roman" w:eastAsia="黑体"/>
          <w:b/>
          <w:i w:val="0"/>
          <w:sz w:val="24"/>
        </w:rPr>
        <w:t>社会地位不平等与民粹主义</w:t>
      </w:r>
    </w:p>
    <w:p>
      <w:r>
        <w:rPr>
          <w:rFonts w:ascii="Times New Roman" w:hAnsi="Times New Roman" w:eastAsia="宋体"/>
          <w:b w:val="0"/>
          <w:i/>
          <w:color w:val="404040"/>
          <w:sz w:val="20"/>
        </w:rPr>
        <w:t>Social Status Inequality and Populism</w:t>
      </w:r>
    </w:p>
    <w:p>
      <w:r>
        <w:rPr>
          <w:rFonts w:ascii="Times New Roman" w:hAnsi="Times New Roman" w:eastAsia="宋体"/>
          <w:b w:val="0"/>
          <w:i w:val="0"/>
          <w:color w:val="595959"/>
          <w:sz w:val="18"/>
        </w:rPr>
        <w:t>Mark Gradstein</w:t>
      </w:r>
    </w:p>
    <w:p>
      <w:r>
        <w:rPr>
          <w:rFonts w:ascii="Times New Roman" w:hAnsi="Times New Roman" w:eastAsia="宋体"/>
          <w:b w:val="0"/>
          <w:i w:val="0"/>
          <w:sz w:val="22"/>
        </w:rPr>
        <w:t>摘要：【摘译】作者认为收入不平等与有限的代际流动所导致的社会地位不平等是精英怨恨与民粹情绪上升的原因之一。</w:t>
      </w:r>
    </w:p>
    <w:p>
      <w:r>
        <w:rPr>
          <w:rFonts w:ascii="Times New Roman" w:hAnsi="Times New Roman" w:eastAsia="宋体"/>
          <w:b w:val="0"/>
          <w:i w:val="0"/>
          <w:sz w:val="20"/>
        </w:rPr>
        <w:t>Elites’ resentment and populist sentiments have been growing in recent years. This research argues that one reason for this is growing income inequality and limited intergenerational mobility, particularly associated with persistent inequality in social status. The presented model uses mechanisms of accordance of social status to generate inequality persistence which, in turn, generates divergence in preferred policies between poor masses and rich elites. This induces the poor majority to mistrust the informed policy making by the elites and to make own, less well informed policy choices. The model generates insights that are consistent with documented empirical regularities. Additionally, our framework enables exploring mechanisms that can potentially empower the poor thereby alleviating resentment against the elites.</w:t>
      </w:r>
    </w:p>
    <w:p/>
    <w:p>
      <w:r>
        <w:rPr>
          <w:rFonts w:ascii="Times New Roman" w:hAnsi="Times New Roman" w:eastAsia="黑体"/>
          <w:b/>
          <w:i w:val="0"/>
          <w:sz w:val="24"/>
        </w:rPr>
        <w:t>透明度与重大腐败：哥伦比亚学校供餐计划的教训</w:t>
      </w:r>
    </w:p>
    <w:p>
      <w:r>
        <w:rPr>
          <w:rFonts w:ascii="Times New Roman" w:hAnsi="Times New Roman" w:eastAsia="宋体"/>
          <w:b w:val="0"/>
          <w:i/>
          <w:color w:val="404040"/>
          <w:sz w:val="20"/>
        </w:rPr>
        <w:t>Transparency and grand corruption: Lessons from the Colombia school meals program</w:t>
      </w:r>
    </w:p>
    <w:p>
      <w:r>
        <w:rPr>
          <w:rFonts w:ascii="Times New Roman" w:hAnsi="Times New Roman" w:eastAsia="宋体"/>
          <w:b w:val="0"/>
          <w:i w:val="0"/>
          <w:color w:val="595959"/>
          <w:sz w:val="18"/>
        </w:rPr>
        <w:t>Philip Keefer；Benjamin Roseth</w:t>
      </w:r>
    </w:p>
    <w:p>
      <w:r>
        <w:rPr>
          <w:rFonts w:ascii="Times New Roman" w:hAnsi="Times New Roman" w:eastAsia="宋体"/>
          <w:b w:val="0"/>
          <w:i w:val="0"/>
          <w:sz w:val="22"/>
        </w:rPr>
        <w:t>摘要：【摘译】作者以哥伦比亚学校供餐计划为例，考察在腐败者具政治影响力、受害者难以集体行动时透明度干预的效果。</w:t>
      </w:r>
    </w:p>
    <w:p>
      <w:r>
        <w:rPr>
          <w:rFonts w:ascii="Times New Roman" w:hAnsi="Times New Roman" w:eastAsia="宋体"/>
          <w:b w:val="0"/>
          <w:i w:val="0"/>
          <w:sz w:val="20"/>
        </w:rPr>
        <w:t>Can transparency interventions reduce corrupt behavior when corrupt actors are politically influential and the victims of corrupt acts confront large obstacles to collective action? These conditions describe the pervasive phenomenon of grand corruption and potentially render corrupt actors less vulnerable to transparency interventions. We present the first evidence that, despite these theoretical obstacles, a transparency intervention in the Colombian School Meals Program significantly changed the behavior of powerful operators. The intervention consisted of informal audits and text messages to parents. It affected behavior through two channels. A survey of parents reveals greater bottom-up mobilization to oversee operators in treated schools; the pattern of operator responses to the informal audits over time and across departments indicates that operators were concerned that systematic evidence of corrupt behavior would trigger top-down enforcement actions by high-level enforcement agencies.</w:t>
      </w:r>
    </w:p>
    <w:p/>
    <w:p>
      <w:r>
        <w:rPr>
          <w:rFonts w:ascii="Times New Roman" w:hAnsi="Times New Roman" w:eastAsia="黑体"/>
          <w:b/>
          <w:i w:val="0"/>
          <w:sz w:val="24"/>
        </w:rPr>
        <w:t>论国家认同的起源：拿破仑之后的德国民族建构</w:t>
      </w:r>
    </w:p>
    <w:p>
      <w:r>
        <w:rPr>
          <w:rFonts w:ascii="Times New Roman" w:hAnsi="Times New Roman" w:eastAsia="宋体"/>
          <w:b w:val="0"/>
          <w:i/>
          <w:color w:val="404040"/>
          <w:sz w:val="20"/>
        </w:rPr>
        <w:t>On the origins of national identity. German nation-building after Napoleon</w:t>
      </w:r>
    </w:p>
    <w:p>
      <w:r>
        <w:rPr>
          <w:rFonts w:ascii="Times New Roman" w:hAnsi="Times New Roman" w:eastAsia="宋体"/>
          <w:b w:val="0"/>
          <w:i w:val="0"/>
          <w:color w:val="595959"/>
          <w:sz w:val="18"/>
        </w:rPr>
        <w:t>Felix Kersting；Nikolaus Wolf</w:t>
      </w:r>
    </w:p>
    <w:p>
      <w:r>
        <w:rPr>
          <w:rFonts w:ascii="Times New Roman" w:hAnsi="Times New Roman" w:eastAsia="宋体"/>
          <w:b w:val="0"/>
          <w:i w:val="0"/>
          <w:sz w:val="22"/>
        </w:rPr>
        <w:t>摘要：【摘译】作者以人名数据衡量个体认同变化，考察拿破仑之后德意志地区宣传作为国族建构政策的成效。</w:t>
      </w:r>
    </w:p>
    <w:p>
      <w:r>
        <w:rPr>
          <w:rFonts w:ascii="Times New Roman" w:hAnsi="Times New Roman" w:eastAsia="宋体"/>
          <w:b w:val="0"/>
          <w:i w:val="0"/>
          <w:sz w:val="20"/>
        </w:rPr>
        <w:t>What are the origins of national identity? We investigate the success of propaganda as one the first nation-building policies conducted in the German lands around 1815. To elicit identity changes at the level of individuals we use data on first names across German cities and villages. To validate the approach of using first names, we show that soldiers with national names had a higher likelihood to be honored for bravery during the German-French War. Exploiting unanticipated border changes together with variation within the same families over time, i.e., family fixed effects, we find that parents in treated cities responded by choosing national (rather than ruler) first names for their children. We do not find a corresponding increase in villages suggesting that national identity was more prevalent among the urban population, in particular the elite, during this period.</w:t>
      </w:r>
    </w:p>
    <w:p/>
    <w:p>
      <w:r>
        <w:rPr>
          <w:rFonts w:ascii="Times New Roman" w:hAnsi="Times New Roman" w:eastAsia="黑体"/>
          <w:b/>
          <w:i w:val="0"/>
          <w:sz w:val="24"/>
        </w:rPr>
        <w:t>共生腐败理论</w:t>
      </w:r>
    </w:p>
    <w:p>
      <w:r>
        <w:rPr>
          <w:rFonts w:ascii="Times New Roman" w:hAnsi="Times New Roman" w:eastAsia="宋体"/>
          <w:b w:val="0"/>
          <w:i/>
          <w:color w:val="404040"/>
          <w:sz w:val="20"/>
        </w:rPr>
        <w:t>A theory of symbiotic corruption</w:t>
      </w:r>
    </w:p>
    <w:p>
      <w:r>
        <w:rPr>
          <w:rFonts w:ascii="Times New Roman" w:hAnsi="Times New Roman" w:eastAsia="宋体"/>
          <w:b w:val="0"/>
          <w:i w:val="0"/>
          <w:color w:val="595959"/>
          <w:sz w:val="18"/>
        </w:rPr>
        <w:t>Xuezheng CHEN；Lin GUI；Tao WU；Jun ZHANG</w:t>
      </w:r>
    </w:p>
    <w:p>
      <w:r>
        <w:rPr>
          <w:rFonts w:ascii="Times New Roman" w:hAnsi="Times New Roman" w:eastAsia="宋体"/>
          <w:b w:val="0"/>
          <w:i w:val="0"/>
          <w:sz w:val="22"/>
        </w:rPr>
        <w:t>摘要：【摘译】作者构建模型：高级官员利用与低级官员的共生关系，诱使其参与权力与政治租金竞争。</w:t>
      </w:r>
    </w:p>
    <w:p>
      <w:r>
        <w:rPr>
          <w:rFonts w:ascii="Times New Roman" w:hAnsi="Times New Roman" w:eastAsia="宋体"/>
          <w:b w:val="0"/>
          <w:i w:val="0"/>
          <w:sz w:val="20"/>
        </w:rPr>
        <w:t>Symbiotic corruption occurs when senior officials employ the symbiotic relationship with junior officials in corrupt activities, to induce them to participate in the political contest for power and political rents. This paper develops a formal theoretical model to analyze the mechanics and consequences of symbiotic corruption prevailing in weakly institutionalized societies. We find that in the presence of symbiotic corruption, political contests tend to arise when the initial distribution of political rents between rival factions is disproportional to their de facto political power. Anti-corruption by increasing the effective penalty or enhancing monitoring of corruption works differently, but both are surprisingly ineffective in a society plagued by symbiotic corruption. In an unbalanced political system, where the initial distribution of political rents is relatively disproportional, an increase in the effective penalty induces rival factions to reach a tacit collusion to maintain peace and leads to universal symbiotic corruption; a rise in monitoring efficiency decreases total corruption but inevitably increases symbiotic corruption. In a balanced political system, universal corruption always emerges, and anti-corruption only affects the transformation between symbiotic and individual corruptions. This study not only sheds light on the (in)effectiveness of conventional anticorruption measures in the presence of symbiotic corruption, but also provides a new perspective on the link between bureaucratic hierarchies, national-level power dynamics, and corruption.</w:t>
      </w:r>
    </w:p>
    <w:p/>
    <w:p>
      <w:r>
        <w:rPr>
          <w:rFonts w:ascii="Times New Roman" w:hAnsi="Times New Roman" w:eastAsia="黑体"/>
          <w:b/>
          <w:i w:val="0"/>
          <w:sz w:val="24"/>
        </w:rPr>
        <w:t>公共领域的宗教符号与第三部门发展：来自波兰农村的证据</w:t>
      </w:r>
    </w:p>
    <w:p>
      <w:r>
        <w:rPr>
          <w:rFonts w:ascii="Times New Roman" w:hAnsi="Times New Roman" w:eastAsia="宋体"/>
          <w:b w:val="0"/>
          <w:i/>
          <w:color w:val="404040"/>
          <w:sz w:val="20"/>
        </w:rPr>
        <w:t>Religious symbols in the public sphere and development of the third sector: Some evidence from rural Poland</w:t>
      </w:r>
    </w:p>
    <w:p>
      <w:r>
        <w:rPr>
          <w:rFonts w:ascii="Times New Roman" w:hAnsi="Times New Roman" w:eastAsia="宋体"/>
          <w:b w:val="0"/>
          <w:i w:val="0"/>
          <w:color w:val="595959"/>
          <w:sz w:val="18"/>
        </w:rPr>
        <w:t>Jan Fałkowski；Przemysław J. Kurek</w:t>
      </w:r>
    </w:p>
    <w:p>
      <w:r>
        <w:rPr>
          <w:rFonts w:ascii="Times New Roman" w:hAnsi="Times New Roman" w:eastAsia="宋体"/>
          <w:b w:val="0"/>
          <w:i w:val="0"/>
          <w:sz w:val="22"/>
        </w:rPr>
        <w:t>摘要：【摘译】作者以公共空间宗教符号的存在衡量宗教在文化中的嵌入，考察其对波兰农村第三部门发展的影响。</w:t>
      </w:r>
    </w:p>
    <w:p>
      <w:r>
        <w:rPr>
          <w:rFonts w:ascii="Times New Roman" w:hAnsi="Times New Roman" w:eastAsia="宋体"/>
          <w:b w:val="0"/>
          <w:i w:val="0"/>
          <w:sz w:val="20"/>
        </w:rPr>
        <w:t>In this paper we examine to what extent civic engagement might emerge from a deep and organic link, which exists between religion and culture. We rely on a novel approach which approximates the deep embodiment of religious institutions in culture by the presence of religious symbols in the public sphere. Drawing on data for rural Poland, we show that municipalities in which we observe a growing number of street names associated with the Catholic Church display a higher level of civic engagement (measured by the number of NGOs) than municipalities in which, over the last years, such streets were not created.</w:t>
      </w:r>
    </w:p>
    <w:p/>
    <w:p>
      <w:r>
        <w:rPr>
          <w:rFonts w:ascii="Times New Roman" w:hAnsi="Times New Roman" w:eastAsia="黑体"/>
          <w:b/>
          <w:i w:val="0"/>
          <w:sz w:val="24"/>
        </w:rPr>
        <w:t>从计划到市场的转型：中国电力行业的不完善监管</w:t>
      </w:r>
    </w:p>
    <w:p>
      <w:r>
        <w:rPr>
          <w:rFonts w:ascii="Times New Roman" w:hAnsi="Times New Roman" w:eastAsia="宋体"/>
          <w:b w:val="0"/>
          <w:i/>
          <w:color w:val="404040"/>
          <w:sz w:val="20"/>
        </w:rPr>
        <w:t>Transition from plan to market: Imperfect regulations in the electricity sector of China</w:t>
      </w:r>
    </w:p>
    <w:p>
      <w:r>
        <w:rPr>
          <w:rFonts w:ascii="Times New Roman" w:hAnsi="Times New Roman" w:eastAsia="宋体"/>
          <w:b w:val="0"/>
          <w:i w:val="0"/>
          <w:color w:val="595959"/>
          <w:sz w:val="18"/>
        </w:rPr>
        <w:t>Jing Cao；Mun S. Ho；Rong Ma；Yu Zhang</w:t>
      </w:r>
    </w:p>
    <w:p>
      <w:r>
        <w:rPr>
          <w:rFonts w:ascii="Times New Roman" w:hAnsi="Times New Roman" w:eastAsia="宋体"/>
          <w:b w:val="0"/>
          <w:i w:val="0"/>
          <w:sz w:val="22"/>
        </w:rPr>
        <w:t>摘要：【摘译】作者以三重差分评估中国节能发电调度改革，揭示不完善监管相比市场配置的扭曲。</w:t>
      </w:r>
    </w:p>
    <w:p>
      <w:r>
        <w:rPr>
          <w:rFonts w:ascii="Times New Roman" w:hAnsi="Times New Roman" w:eastAsia="宋体"/>
          <w:b w:val="0"/>
          <w:i w:val="0"/>
          <w:sz w:val="20"/>
        </w:rPr>
        <w:t>We present evidence on the distortions that arise from imperfect regulations compared with market allocation mechanisms. Using a triple difference strategy, we evaluate the effectiveness of the Energy-Saving Generation Dispatch reform in China, which aims to allocate more generating hours to power plants with higher energy efficiency. We find that the new dispatch rule improved resource allocation within provinces compared with the previous equal-share dispatch rule. However, despite these improvements, the reform fell short of its intended goals because of the failure to strictly implement the merit order based on real-time coal consumption rates. We demonstrate how the lack of compensation for losers, technical requirements for grid stability, the existence of multiple goals, and information costs contribute to imperfect regulation.</w:t>
      </w:r>
    </w:p>
    <w:p/>
    <w:p>
      <w:r>
        <w:rPr>
          <w:rFonts w:ascii="Times New Roman" w:hAnsi="Times New Roman" w:eastAsia="黑体"/>
          <w:b/>
          <w:i w:val="0"/>
          <w:sz w:val="24"/>
        </w:rPr>
        <w:t>在线教学、性别差异与教育结果：来自新冠期间中国城市高中的证据</w:t>
      </w:r>
    </w:p>
    <w:p>
      <w:r>
        <w:rPr>
          <w:rFonts w:ascii="Times New Roman" w:hAnsi="Times New Roman" w:eastAsia="宋体"/>
          <w:b w:val="0"/>
          <w:i/>
          <w:color w:val="404040"/>
          <w:sz w:val="20"/>
        </w:rPr>
        <w:t>Online teaching, gender differences and education outcomes: Evidence from Chinese urban high schools during the COVID-19</w:t>
      </w:r>
    </w:p>
    <w:p>
      <w:r>
        <w:rPr>
          <w:rFonts w:ascii="Times New Roman" w:hAnsi="Times New Roman" w:eastAsia="宋体"/>
          <w:b w:val="0"/>
          <w:i w:val="0"/>
          <w:color w:val="595959"/>
          <w:sz w:val="18"/>
        </w:rPr>
        <w:t>Liu Yang；Lei Zhang</w:t>
      </w:r>
    </w:p>
    <w:p>
      <w:r>
        <w:rPr>
          <w:rFonts w:ascii="Times New Roman" w:hAnsi="Times New Roman" w:eastAsia="宋体"/>
          <w:b w:val="0"/>
          <w:i w:val="0"/>
          <w:sz w:val="22"/>
        </w:rPr>
        <w:t>摘要：【摘译】作者利用浙江三所高中数据考察疫情期间网课对高一学生成绩及性别差异的影响。</w:t>
      </w:r>
    </w:p>
    <w:p>
      <w:r>
        <w:rPr>
          <w:rFonts w:ascii="Times New Roman" w:hAnsi="Times New Roman" w:eastAsia="宋体"/>
          <w:b w:val="0"/>
          <w:i w:val="0"/>
          <w:sz w:val="20"/>
        </w:rPr>
        <w:t>We examine the short- and medium-term impacts of online teaching during COVID-19 on the academic performance of high school freshmen, employing unique data from three high schools of different academic performance levels in Zhejiang Province, China. We find that relative to the cohort not affected by COVID-19 and experiencing no online teaching in their freshman year, online teaching had short-term negative effects on Chinese performance in the high-performing school and math performance in the mid-performing school but no significant effects on other tests and in the low-performing school. The negative effects disappeared eight months after students returned to traditional classroom teaching, and students in the high-performing school indeed experienced a significant positive effect in math performance. Moreover, following online teaching, girls in key classes in the high-performing school performed better in math in both the short and medium term, significantly narrowing the math performance gap with their male classmates, while boys in the low-performing school experienced significant declines in both Chinese and math in the medium term.</w:t>
      </w:r>
    </w:p>
    <w:p/>
    <w:p>
      <w:r>
        <w:rPr>
          <w:rFonts w:ascii="Times New Roman" w:hAnsi="Times New Roman" w:eastAsia="黑体"/>
          <w:b/>
          <w:i w:val="0"/>
          <w:sz w:val="24"/>
        </w:rPr>
        <w:t>收入类型的群体构成与公共物品贡献的绝对—相对框架</w:t>
      </w:r>
    </w:p>
    <w:p>
      <w:r>
        <w:rPr>
          <w:rFonts w:ascii="Times New Roman" w:hAnsi="Times New Roman" w:eastAsia="宋体"/>
          <w:b w:val="0"/>
          <w:i/>
          <w:color w:val="404040"/>
          <w:sz w:val="20"/>
        </w:rPr>
        <w:t>Group composition of income types and the absolute-relative framing of public good contributions</w:t>
      </w:r>
    </w:p>
    <w:p>
      <w:r>
        <w:rPr>
          <w:rFonts w:ascii="Times New Roman" w:hAnsi="Times New Roman" w:eastAsia="宋体"/>
          <w:b w:val="0"/>
          <w:i w:val="0"/>
          <w:color w:val="595959"/>
          <w:sz w:val="18"/>
        </w:rPr>
        <w:t>Li Yutong；Wang Xianghong；Dai Zhixin</w:t>
      </w:r>
    </w:p>
    <w:p>
      <w:r>
        <w:rPr>
          <w:rFonts w:ascii="Times New Roman" w:hAnsi="Times New Roman" w:eastAsia="宋体"/>
          <w:b w:val="0"/>
          <w:i w:val="0"/>
          <w:sz w:val="22"/>
        </w:rPr>
        <w:t>摘要：【摘译】作者以实验考察绝对—相对收入框架与群体中高收入者数量对公共品贡献的影响。</w:t>
      </w:r>
    </w:p>
    <w:p>
      <w:r>
        <w:rPr>
          <w:rFonts w:ascii="Times New Roman" w:hAnsi="Times New Roman" w:eastAsia="宋体"/>
          <w:b w:val="0"/>
          <w:i w:val="0"/>
          <w:sz w:val="20"/>
        </w:rPr>
        <w:t>This paper examines the effect of absolute-relative framing on contributions to a public good. Group members have high and low endowments and the number of high-income members in each group varies between treatments. They make contributions without and with a minimum contribution level. We express the contribution metric either in absolute amount or as a relative proportion of a member's initial endowment. We propose that these institutional designs affect contribution behavior through shifting reference points in decisions. First, as the number of high-type members increases, the average contribution increases, especially among the low-type members in absolute framing. Second, relative framing makes the contribution proportions between high and low types move closer than in absolute framing. Third, the difference in contributions between absolute and relative conditions mostly disappears when the minimum contribution level is introduced. We show that the effects of group members’ endowments, relative framing, and the MCL policy represent the internal, external and the institutional reference point respectively with increasing strength.</w:t>
      </w:r>
    </w:p>
    <w:p/>
    <w:p>
      <w:r>
        <w:rPr>
          <w:rFonts w:ascii="Times New Roman" w:hAnsi="Times New Roman" w:eastAsia="黑体"/>
          <w:b/>
          <w:i w:val="0"/>
          <w:sz w:val="24"/>
        </w:rPr>
        <w:t>移民网络、出口冲击与人力资本获取：来自中国的证据</w:t>
      </w:r>
    </w:p>
    <w:p>
      <w:r>
        <w:rPr>
          <w:rFonts w:ascii="Times New Roman" w:hAnsi="Times New Roman" w:eastAsia="宋体"/>
          <w:b w:val="0"/>
          <w:i/>
          <w:color w:val="404040"/>
          <w:sz w:val="20"/>
        </w:rPr>
        <w:t>Migration networks, export shocks, and human capital acquisition: Evidence from China</w:t>
      </w:r>
    </w:p>
    <w:p>
      <w:r>
        <w:rPr>
          <w:rFonts w:ascii="Times New Roman" w:hAnsi="Times New Roman" w:eastAsia="宋体"/>
          <w:b w:val="0"/>
          <w:i w:val="0"/>
          <w:color w:val="595959"/>
          <w:sz w:val="18"/>
        </w:rPr>
        <w:t>Shu Cai；Xinzheng Shi；Zhufeng Xu</w:t>
      </w:r>
    </w:p>
    <w:p>
      <w:r>
        <w:rPr>
          <w:rFonts w:ascii="Times New Roman" w:hAnsi="Times New Roman" w:eastAsia="宋体"/>
          <w:b w:val="0"/>
          <w:i w:val="0"/>
          <w:sz w:val="22"/>
        </w:rPr>
        <w:t>摘要：【摘译】作者以目的国关税度量出口冲击，经由移民网络考察其对中国农村初中后入学的跨地区溢出效应。</w:t>
      </w:r>
    </w:p>
    <w:p>
      <w:r>
        <w:rPr>
          <w:rFonts w:ascii="Times New Roman" w:hAnsi="Times New Roman" w:eastAsia="宋体"/>
          <w:b w:val="0"/>
          <w:i w:val="0"/>
          <w:sz w:val="20"/>
        </w:rPr>
        <w:t>We examine the impact of export shocks proxied by destination countries’ tariffs on the post middle school enrollment of the rural population in China. We complement the literature by examining the across-region spillover effects of export shocks through initial migration networks. We find that the reduction of export tariffs at both the local and migration-destination prefectures significantly decreases post middle school enrollment of the 16–18 years old cohort, but the latter is stronger. Further analysis suggests that employment in the secondary industry rises significantly with the reduction of export tariffs, which improves job opportunities and thus increases the post middle school dropout rate.</w:t>
      </w:r>
    </w:p>
    <w:p/>
    <w:p>
      <w:r>
        <w:rPr>
          <w:rFonts w:ascii="Times New Roman" w:hAnsi="Times New Roman" w:eastAsia="宋体"/>
          <w:b/>
          <w:i w:val="0"/>
          <w:sz w:val="22"/>
        </w:rPr>
        <w:t>JCE： Vol. 52, No. 1, 2024</w:t>
      </w:r>
    </w:p>
    <w:p/>
    <w:p>
      <w:r>
        <w:rPr>
          <w:rFonts w:ascii="Times New Roman" w:hAnsi="Times New Roman" w:eastAsia="黑体"/>
          <w:b/>
          <w:i w:val="0"/>
          <w:sz w:val="24"/>
        </w:rPr>
        <w:t>迷信对企业投资行为的影响：来自无宗教国家越南的证据</w:t>
      </w:r>
    </w:p>
    <w:p>
      <w:r>
        <w:rPr>
          <w:rFonts w:ascii="Times New Roman" w:hAnsi="Times New Roman" w:eastAsia="宋体"/>
          <w:b w:val="0"/>
          <w:i/>
          <w:color w:val="404040"/>
          <w:sz w:val="20"/>
        </w:rPr>
        <w:t>The effects of superstition on firms' investment behavior: Evidence from Vietnam, an irreligious country✰</w:t>
      </w:r>
    </w:p>
    <w:p>
      <w:r>
        <w:rPr>
          <w:rFonts w:ascii="Times New Roman" w:hAnsi="Times New Roman" w:eastAsia="宋体"/>
          <w:b w:val="0"/>
          <w:i w:val="0"/>
          <w:color w:val="595959"/>
          <w:sz w:val="18"/>
        </w:rPr>
        <w:t>Dai Van Pham</w:t>
      </w:r>
    </w:p>
    <w:p>
      <w:r>
        <w:rPr>
          <w:rFonts w:ascii="Times New Roman" w:hAnsi="Times New Roman" w:eastAsia="宋体"/>
          <w:b w:val="0"/>
          <w:i w:val="0"/>
          <w:sz w:val="22"/>
        </w:rPr>
        <w:t>摘要：【摘译】作者以断点回归发现越南CEO处于民间认为的“凶年”时企业投资行为发生变化。</w:t>
      </w:r>
    </w:p>
    <w:p>
      <w:r>
        <w:rPr>
          <w:rFonts w:ascii="Times New Roman" w:hAnsi="Times New Roman" w:eastAsia="宋体"/>
          <w:b w:val="0"/>
          <w:i w:val="0"/>
          <w:sz w:val="20"/>
        </w:rPr>
        <w:t>This study examines the impact of superstition on corporate decision-making in Vietnam, a highly irreligious country. We focus on the folk belief that the ages of 49–53 are considered calamitous and use a regression discontinuity design to show that companies significantly decrease their investment in fixed assets during these ages of their directors. The effect is more pronounced in smaller firms and is not accompanied by a decrease in employment growth. We introduce a novel two-stage difference method to identify the role of superstition in causing the ‘calamitous ages’ effect.</w:t>
      </w:r>
    </w:p>
    <w:p/>
    <w:p>
      <w:r>
        <w:rPr>
          <w:rFonts w:ascii="Times New Roman" w:hAnsi="Times New Roman" w:eastAsia="黑体"/>
          <w:b/>
          <w:i w:val="0"/>
          <w:sz w:val="24"/>
        </w:rPr>
        <w:t>移民如何使继承不平等：来自玻利维亚的理论与洞见</w:t>
      </w:r>
    </w:p>
    <w:p>
      <w:r>
        <w:rPr>
          <w:rFonts w:ascii="Times New Roman" w:hAnsi="Times New Roman" w:eastAsia="宋体"/>
          <w:b w:val="0"/>
          <w:i/>
          <w:color w:val="404040"/>
          <w:sz w:val="20"/>
        </w:rPr>
        <w:t>How can migration unequalize inheritance: Theory and insights from Bolivia</w:t>
      </w:r>
    </w:p>
    <w:p>
      <w:r>
        <w:rPr>
          <w:rFonts w:ascii="Times New Roman" w:hAnsi="Times New Roman" w:eastAsia="宋体"/>
          <w:b w:val="0"/>
          <w:i w:val="0"/>
          <w:color w:val="595959"/>
          <w:sz w:val="18"/>
        </w:rPr>
        <w:t>Anne Michels；Jean-Philippe Platteau</w:t>
      </w:r>
    </w:p>
    <w:p>
      <w:r>
        <w:rPr>
          <w:rFonts w:ascii="Times New Roman" w:hAnsi="Times New Roman" w:eastAsia="宋体"/>
          <w:b w:val="0"/>
          <w:i w:val="0"/>
          <w:sz w:val="22"/>
        </w:rPr>
        <w:t>摘要：【摘译】作者基于玻利维亚证据，说明移民如何将事前平等的继承规则转化为事后不平等的实践。</w:t>
      </w:r>
    </w:p>
    <w:p>
      <w:r>
        <w:rPr>
          <w:rFonts w:ascii="Times New Roman" w:hAnsi="Times New Roman" w:eastAsia="宋体"/>
          <w:b w:val="0"/>
          <w:i w:val="0"/>
          <w:sz w:val="20"/>
        </w:rPr>
        <w:t>Indian communities in Latin America, like in the Middle East and other regions of the world, tend to have rules of equal inheritance. Yet, migration can transform ex ante egalitarian rules into unequal ex post practices. In this paper, based on evidence collected at both sides of the migration link in Bolivia, we find that the unequalization process caused by migration tends to paradoxically harm poor migrants from egalitarian communities who are driven to voluntarily forfeit their inheritance. To resolve the puzzle, we propose a novel theory placed in the framework of strategic exchange but where the migration decision is endogenized: upon migration, children take into account the prospect of potentially losing access to family land if they are unable to fulfill their care obligations. Voluntary exclusion from inheritance is especially likely if the value of rural public goods is low, farm output per capita is small, and the wages in the urban modern sector are high compared to those in the informal sector. The main policy implication is the following: a more equal pattern of economic growth, along both the rural–urban and the intersectoral intra-urban dimensions, helps minimize the disruption of rural families and communities, which play an important social insurance function.</w:t>
      </w:r>
    </w:p>
    <w:p/>
    <w:p>
      <w:r>
        <w:rPr>
          <w:rFonts w:ascii="Times New Roman" w:hAnsi="Times New Roman" w:eastAsia="黑体"/>
          <w:b/>
          <w:i w:val="0"/>
          <w:sz w:val="24"/>
        </w:rPr>
        <w:t>失去的信任：托管局经历对东德政治疏离的影响</w:t>
      </w:r>
    </w:p>
    <w:p>
      <w:r>
        <w:rPr>
          <w:rFonts w:ascii="Times New Roman" w:hAnsi="Times New Roman" w:eastAsia="宋体"/>
          <w:b w:val="0"/>
          <w:i/>
          <w:color w:val="404040"/>
          <w:sz w:val="20"/>
        </w:rPr>
        <w:t>Trust we lost: The impact of the Treuhand experience on political alienation in East Germany</w:t>
      </w:r>
    </w:p>
    <w:p>
      <w:r>
        <w:rPr>
          <w:rFonts w:ascii="Times New Roman" w:hAnsi="Times New Roman" w:eastAsia="宋体"/>
          <w:b w:val="0"/>
          <w:i w:val="0"/>
          <w:color w:val="595959"/>
          <w:sz w:val="18"/>
        </w:rPr>
        <w:t>Kim Leonie Kellermann</w:t>
      </w:r>
    </w:p>
    <w:p>
      <w:r>
        <w:rPr>
          <w:rFonts w:ascii="Times New Roman" w:hAnsi="Times New Roman" w:eastAsia="宋体"/>
          <w:b w:val="0"/>
          <w:i w:val="0"/>
          <w:sz w:val="22"/>
        </w:rPr>
        <w:t>摘要：【摘译】作者发现东德托管局私有化带来的大规模失业削弱了政治信任与政治兴趣。</w:t>
      </w:r>
    </w:p>
    <w:p>
      <w:r>
        <w:rPr>
          <w:rFonts w:ascii="Times New Roman" w:hAnsi="Times New Roman" w:eastAsia="宋体"/>
          <w:b w:val="0"/>
          <w:i w:val="0"/>
          <w:sz w:val="20"/>
        </w:rPr>
        <w:t>Do politically administered mass layoffs undermine trust and political interest? During the German reunification, formerly state-owned socialist firms in East Germany were privatized by the Treuhand, which came at the cost of massive job losses and public protest. We demonstrate that these activities had a detrimental effect on attitudes and political behavior of the affected individuals. Using survey data from the German Socio-economic Panel and election results, we find that East Germans who lost their jobs exhibit significantly lower trust levels, lower political interest and a lower identification with mainstream democratic parties, even up to 30 years after reunification. We corroborate the causality of the results using fixed-effects estimations and a placebo analysis, which fails to explain political disenchantment by reasons other than the Treuhand experience. We interpret the findings as the persistent, negative effect of perceived political mismanagement during a crucial phase of economic transition on long-run political identification.</w:t>
      </w:r>
    </w:p>
    <w:p/>
    <w:p>
      <w:r>
        <w:rPr>
          <w:rFonts w:ascii="Times New Roman" w:hAnsi="Times New Roman" w:eastAsia="黑体"/>
          <w:b/>
          <w:i w:val="0"/>
          <w:sz w:val="24"/>
        </w:rPr>
        <w:t>政治家童年经历与政府政策：来自中国大饥荒的证据</w:t>
      </w:r>
    </w:p>
    <w:p>
      <w:r>
        <w:rPr>
          <w:rFonts w:ascii="Times New Roman" w:hAnsi="Times New Roman" w:eastAsia="宋体"/>
          <w:b w:val="0"/>
          <w:i/>
          <w:color w:val="404040"/>
          <w:sz w:val="20"/>
        </w:rPr>
        <w:t>Politician’s childhood experience and government policies: Evidence from the Chinese Great Famine</w:t>
      </w:r>
    </w:p>
    <w:p>
      <w:r>
        <w:rPr>
          <w:rFonts w:ascii="Times New Roman" w:hAnsi="Times New Roman" w:eastAsia="宋体"/>
          <w:b w:val="0"/>
          <w:i w:val="0"/>
          <w:color w:val="595959"/>
          <w:sz w:val="18"/>
        </w:rPr>
        <w:t>Cheng Li；Le Wang；Junsen Zhang</w:t>
      </w:r>
    </w:p>
    <w:p>
      <w:r>
        <w:rPr>
          <w:rFonts w:ascii="Times New Roman" w:hAnsi="Times New Roman" w:eastAsia="宋体"/>
          <w:b w:val="0"/>
          <w:i w:val="0"/>
          <w:sz w:val="22"/>
        </w:rPr>
        <w:t>摘要：【摘译】作者发现省级领导童年经历大饥荒显著提高其任内相关政策支出比重。</w:t>
      </w:r>
    </w:p>
    <w:p>
      <w:r>
        <w:rPr>
          <w:rFonts w:ascii="Times New Roman" w:hAnsi="Times New Roman" w:eastAsia="宋体"/>
          <w:b w:val="0"/>
          <w:i w:val="0"/>
          <w:sz w:val="20"/>
        </w:rPr>
        <w:t>We analyze the impact of a politician’s childhood experience on their policy choices. By exploiting exogenous variations in exposure to China’s Great Famine, we find that a provincial leader’s childhood experience of the famine significantly increases the share of government expenditure allocated to health care during his term. This effect is observed only for those who were aged under five during the famine and is not found among older cohorts. The impact is substantial: our back-of-the-envelope calculation indicates that an increase of one standard deviation in exposure to the famine can lead to an increase of roughly 7.84 billion RMB (equivalent to about 1.19 billion US Dollars) in annual provincial health care expenditure for a province with average government spending in 2017. We provide evidence suggesting that this effect may be driven by a politician’s personal experience of negative health outcomes due to the famine. Furthermore, we observe that China’s political promotion system, which favors economic growth, incentivizes provincial leaders to counterbalance increased health care spending by reducing funding for less visible public services, particularly cultural activities. Such strategic allocations ensure the continuity of other policy areas that are more influential in their political career.</w:t>
      </w:r>
    </w:p>
    <w:p/>
    <w:p>
      <w:r>
        <w:rPr>
          <w:rFonts w:ascii="Times New Roman" w:hAnsi="Times New Roman" w:eastAsia="黑体"/>
          <w:b/>
          <w:i w:val="0"/>
          <w:sz w:val="24"/>
        </w:rPr>
        <w:t>流行病、疾病控制与中国的长期发展</w:t>
      </w:r>
    </w:p>
    <w:p>
      <w:r>
        <w:rPr>
          <w:rFonts w:ascii="Times New Roman" w:hAnsi="Times New Roman" w:eastAsia="宋体"/>
          <w:b w:val="0"/>
          <w:i/>
          <w:color w:val="404040"/>
          <w:sz w:val="20"/>
        </w:rPr>
        <w:t>Epidemics, disease control, and China’s long-term development</w:t>
      </w:r>
    </w:p>
    <w:p>
      <w:r>
        <w:rPr>
          <w:rFonts w:ascii="Times New Roman" w:hAnsi="Times New Roman" w:eastAsia="宋体"/>
          <w:b w:val="0"/>
          <w:i w:val="0"/>
          <w:color w:val="595959"/>
          <w:sz w:val="18"/>
        </w:rPr>
        <w:t>Jun Wang；James B. Ang</w:t>
      </w:r>
    </w:p>
    <w:p>
      <w:r>
        <w:rPr>
          <w:rFonts w:ascii="Times New Roman" w:hAnsi="Times New Roman" w:eastAsia="宋体"/>
          <w:b w:val="0"/>
          <w:i w:val="0"/>
          <w:sz w:val="22"/>
        </w:rPr>
        <w:t>摘要：【摘译】作者构建中国近六个世纪县级疫病数据，考察历史疾病负担对当代发展的影响。</w:t>
      </w:r>
    </w:p>
    <w:p>
      <w:r>
        <w:rPr>
          <w:rFonts w:ascii="Times New Roman" w:hAnsi="Times New Roman" w:eastAsia="宋体"/>
          <w:b w:val="0"/>
          <w:i w:val="0"/>
          <w:sz w:val="20"/>
        </w:rPr>
        <w:t>This study examines the impact of historical disease burden on the development of contemporary China. Using historical records spanning nearly six centuries, we construct a county-level dataset for the distribution of epidemics in China. Our results indicate that historical disease pressure has a positive impact on long-term economic development. This positive association withstands rigorous testing through a series of robustness checks. Furthermore, we find that earlier institutional development in disease control and the improvement in human capital are effective channels. The establishment of disease prevention centers facilitated the early adoption of modern disease control systems, which, in turn, enhanced public health, education, and productive activities.</w:t>
      </w:r>
    </w:p>
    <w:p/>
    <w:p>
      <w:r>
        <w:rPr>
          <w:rFonts w:ascii="Times New Roman" w:hAnsi="Times New Roman" w:eastAsia="黑体"/>
          <w:b/>
          <w:i w:val="0"/>
          <w:sz w:val="24"/>
        </w:rPr>
        <w:t>美国超级明星企业的崛起：全球采购的作用</w:t>
      </w:r>
    </w:p>
    <w:p>
      <w:r>
        <w:rPr>
          <w:rFonts w:ascii="Times New Roman" w:hAnsi="Times New Roman" w:eastAsia="宋体"/>
          <w:b w:val="0"/>
          <w:i/>
          <w:color w:val="404040"/>
          <w:sz w:val="20"/>
        </w:rPr>
        <w:t>The rise of superstar firms in the United States: The role of global sourcing</w:t>
      </w:r>
    </w:p>
    <w:p>
      <w:r>
        <w:rPr>
          <w:rFonts w:ascii="Times New Roman" w:hAnsi="Times New Roman" w:eastAsia="宋体"/>
          <w:b w:val="0"/>
          <w:i w:val="0"/>
          <w:color w:val="595959"/>
          <w:sz w:val="18"/>
        </w:rPr>
        <w:t>Yifan Li；Zhuang Miao</w:t>
      </w:r>
    </w:p>
    <w:p>
      <w:r>
        <w:rPr>
          <w:rFonts w:ascii="Times New Roman" w:hAnsi="Times New Roman" w:eastAsia="宋体"/>
          <w:b w:val="0"/>
          <w:i w:val="0"/>
          <w:sz w:val="22"/>
        </w:rPr>
        <w:t>摘要：【摘译】作者构建理论模型并实证考察中间品全球采购对美国市场结构与加成变化的影响。</w:t>
      </w:r>
    </w:p>
    <w:p>
      <w:r>
        <w:rPr>
          <w:rFonts w:ascii="Times New Roman" w:hAnsi="Times New Roman" w:eastAsia="宋体"/>
          <w:b w:val="0"/>
          <w:i w:val="0"/>
          <w:sz w:val="20"/>
        </w:rPr>
        <w:t>Recent trends of global sourcing, market concentration, and aggregate markup have garnered increased attention. This paper examines the impact of global sourcing of inputs on market structure and markup changes in the United States. We develop a theoretical model with heterogeneous firms that suggests only the most-productivity firms will self-select to source inputs overseas, resulting in an increase in the markups and market shares of these leading firms, while lower-productivity firms are crowded out. Based on the theoretical analysis, aggregate markup rises due to both the within-firm markup adjustments and market share concentration among leading firms. We then provide empirical evidence supporting our theoretical predictions, analyzing the effect of imported inputs on markup adjustments, market shares, and industrial markups in the United States over the past four decades. Our results highlight the importance of firms’ self-selection effect in the global sourcing market and its impact on market outcomes. Failing to account for this influencing channel could lead to an underestimation of the contribution of input globalization to the rise of markup and other market consequences.</w:t>
      </w:r>
    </w:p>
    <w:p/>
    <w:p>
      <w:r>
        <w:rPr>
          <w:rFonts w:ascii="Times New Roman" w:hAnsi="Times New Roman" w:eastAsia="黑体"/>
          <w:b/>
          <w:i w:val="0"/>
          <w:sz w:val="24"/>
        </w:rPr>
        <w:t>判例法与工业革命时期英格兰的经济表现：数据与证据</w:t>
      </w:r>
    </w:p>
    <w:p>
      <w:r>
        <w:rPr>
          <w:rFonts w:ascii="Times New Roman" w:hAnsi="Times New Roman" w:eastAsia="宋体"/>
          <w:b w:val="0"/>
          <w:i/>
          <w:color w:val="404040"/>
          <w:sz w:val="20"/>
        </w:rPr>
        <w:t>Caselaw and England's economic performance during the Industrial Revolution: Data and evidence</w:t>
      </w:r>
    </w:p>
    <w:p>
      <w:r>
        <w:rPr>
          <w:rFonts w:ascii="Times New Roman" w:hAnsi="Times New Roman" w:eastAsia="宋体"/>
          <w:b w:val="0"/>
          <w:i w:val="0"/>
          <w:color w:val="595959"/>
          <w:sz w:val="18"/>
        </w:rPr>
        <w:t>Peter Grajzl；Peter Murrell</w:t>
      </w:r>
    </w:p>
    <w:p>
      <w:r>
        <w:rPr>
          <w:rFonts w:ascii="Times New Roman" w:hAnsi="Times New Roman" w:eastAsia="宋体"/>
          <w:b w:val="0"/>
          <w:i w:val="0"/>
          <w:sz w:val="22"/>
        </w:rPr>
        <w:t>摘要：【摘译】作者对67455份英格兰判例报告做主题模型，构建指标考察判例法发展与工业革命时期经济表现的关系。</w:t>
      </w:r>
    </w:p>
    <w:p>
      <w:r>
        <w:rPr>
          <w:rFonts w:ascii="Times New Roman" w:hAnsi="Times New Roman" w:eastAsia="宋体"/>
          <w:b w:val="0"/>
          <w:i w:val="0"/>
          <w:sz w:val="20"/>
        </w:rPr>
        <w:t>We generate and analyze data pertinent to examining whether developments in caselaw were consequential for England's economic performance during the Industrial Revolution. Applying topic modeling to a corpus of 67,455 reports on English court cases, we construct annual time series of caselaw developments between 1765 and 1865. We then add a real per-capita GDP series to our caselaw series and estimate a structural VAR featuring a linear time trend. Our evidence shows that caselaw developments were an important determinant of economic fluctuations. Caselaw shocks jointly account for more of the variability in per-capita GDP around its long-term trend than do shocks directly to per-capita GDP. The response of per-capita GDP to caselaw innovations critically depends on the legal domain. Developments in caselaw on intellectual property, organizations, debt and finance, and inheritance boosted economic performance while developments in property and ecclesiastical caselaw had negative effects on per-capita GDP. Our analysis uncovers a 'bleak-law era' when the legal system misallocated attention between output-promoting and output-hindering areas of law.</w:t>
      </w:r>
    </w:p>
    <w:p/>
    <w:p>
      <w:r>
        <w:rPr>
          <w:rFonts w:ascii="Times New Roman" w:hAnsi="Times New Roman" w:eastAsia="黑体"/>
          <w:b/>
          <w:i w:val="0"/>
          <w:sz w:val="24"/>
        </w:rPr>
        <w:t>保守派谈话电台与美国的政治说服（1950—1970）</w:t>
      </w:r>
    </w:p>
    <w:p>
      <w:r>
        <w:rPr>
          <w:rFonts w:ascii="Times New Roman" w:hAnsi="Times New Roman" w:eastAsia="宋体"/>
          <w:b w:val="0"/>
          <w:i/>
          <w:color w:val="404040"/>
          <w:sz w:val="20"/>
        </w:rPr>
        <w:t>Conservative Talk Radio and political persuasion in the US,1950–1970</w:t>
      </w:r>
    </w:p>
    <w:p>
      <w:r>
        <w:rPr>
          <w:rFonts w:ascii="Times New Roman" w:hAnsi="Times New Roman" w:eastAsia="宋体"/>
          <w:b w:val="0"/>
          <w:i w:val="0"/>
          <w:color w:val="595959"/>
          <w:sz w:val="18"/>
        </w:rPr>
        <w:t>Oliver Engist；Paul Matzko；Erik Merkus</w:t>
      </w:r>
    </w:p>
    <w:p>
      <w:r>
        <w:rPr>
          <w:rFonts w:ascii="Times New Roman" w:hAnsi="Times New Roman" w:eastAsia="宋体"/>
          <w:b w:val="0"/>
          <w:i w:val="0"/>
          <w:sz w:val="22"/>
        </w:rPr>
        <w:t>摘要：【摘译】作者利用新数字化档案，评估保守派谈话电台在1950—1970年代的选举效应。</w:t>
      </w:r>
    </w:p>
    <w:p>
      <w:r>
        <w:rPr>
          <w:rFonts w:ascii="Times New Roman" w:hAnsi="Times New Roman" w:eastAsia="宋体"/>
          <w:b w:val="0"/>
          <w:i w:val="0"/>
          <w:sz w:val="20"/>
        </w:rPr>
        <w:t>Conservative Talk Radio continues to shape US politics in the 21st century, but it has a deeper history. Using newly digitized archival records, we provide new evidence on the electoral effects of Conservative Talk Radio in the historically consequential period from 1950 to 1970. Conservative radio hosts like Clarence Manion, Billy James Hargis, and Carl McIntire rapidly expanded their network during the early 1960s before the Kennedy administration took regulatory steps to dismantle their business model. We find that in counties where these shows aired on local stations, the Republican vote share increased following their introduction. Anticipatory effects are small and insignificant, which supports a causal interpretation of this effect.</w:t>
      </w:r>
    </w:p>
    <w:p/>
    <w:p>
      <w:r>
        <w:rPr>
          <w:rFonts w:ascii="Times New Roman" w:hAnsi="Times New Roman" w:eastAsia="黑体"/>
          <w:b/>
          <w:i w:val="0"/>
          <w:sz w:val="24"/>
        </w:rPr>
        <w:t>按企业性别的资源错配</w:t>
      </w:r>
    </w:p>
    <w:p>
      <w:r>
        <w:rPr>
          <w:rFonts w:ascii="Times New Roman" w:hAnsi="Times New Roman" w:eastAsia="宋体"/>
          <w:b w:val="0"/>
          <w:i/>
          <w:color w:val="404040"/>
          <w:sz w:val="20"/>
        </w:rPr>
        <w:t>Misallocation across establishment gender</w:t>
      </w:r>
    </w:p>
    <w:p>
      <w:r>
        <w:rPr>
          <w:rFonts w:ascii="Times New Roman" w:hAnsi="Times New Roman" w:eastAsia="宋体"/>
          <w:b w:val="0"/>
          <w:i w:val="0"/>
          <w:color w:val="595959"/>
          <w:sz w:val="18"/>
        </w:rPr>
        <w:t>Ashantha Ranasinghe</w:t>
      </w:r>
    </w:p>
    <w:p>
      <w:r>
        <w:rPr>
          <w:rFonts w:ascii="Times New Roman" w:hAnsi="Times New Roman" w:eastAsia="宋体"/>
          <w:b w:val="0"/>
          <w:i w:val="0"/>
          <w:sz w:val="22"/>
        </w:rPr>
        <w:t>摘要：【摘译】作者发现在多个中低收入国家，女性主导企业面临更高的经营扭曲。</w:t>
      </w:r>
    </w:p>
    <w:p>
      <w:r>
        <w:rPr>
          <w:rFonts w:ascii="Times New Roman" w:hAnsi="Times New Roman" w:eastAsia="宋体"/>
          <w:b w:val="0"/>
          <w:i w:val="0"/>
          <w:sz w:val="20"/>
        </w:rPr>
        <w:t>I find substantial differences in the extent of misallocation across male and female-led establishments spanning many low and middle-income countries. Across broad geographic regions, female establishments face higher distortions to operating a business which are primarily due to higher capital distortions. Equalizing distortions across gender increases female sales shares and can imply proportionally large increases in TFP attributed to women. Regression estimates show that higher female distortions are negatively associated with economic development.</w:t>
      </w:r>
    </w:p>
    <w:p/>
    <w:p>
      <w:r>
        <w:rPr>
          <w:rFonts w:ascii="Times New Roman" w:hAnsi="Times New Roman" w:eastAsia="黑体"/>
          <w:b/>
          <w:i w:val="0"/>
          <w:sz w:val="24"/>
        </w:rPr>
        <w:t>武器能带来和平吗？从美国进口武器对内战的影响</w:t>
      </w:r>
    </w:p>
    <w:p>
      <w:r>
        <w:rPr>
          <w:rFonts w:ascii="Times New Roman" w:hAnsi="Times New Roman" w:eastAsia="宋体"/>
          <w:b w:val="0"/>
          <w:i/>
          <w:color w:val="404040"/>
          <w:sz w:val="20"/>
        </w:rPr>
        <w:t>Can arms breed peace? The consequence of arms imports from the US on civil wars</w:t>
      </w:r>
    </w:p>
    <w:p>
      <w:r>
        <w:rPr>
          <w:rFonts w:ascii="Times New Roman" w:hAnsi="Times New Roman" w:eastAsia="宋体"/>
          <w:b w:val="0"/>
          <w:i w:val="0"/>
          <w:color w:val="595959"/>
          <w:sz w:val="18"/>
        </w:rPr>
        <w:t>Xiaoyu He；Yixin Mei</w:t>
      </w:r>
    </w:p>
    <w:p>
      <w:r>
        <w:rPr>
          <w:rFonts w:ascii="Times New Roman" w:hAnsi="Times New Roman" w:eastAsia="宋体"/>
          <w:b w:val="0"/>
          <w:i w:val="0"/>
          <w:sz w:val="22"/>
        </w:rPr>
        <w:t>摘要：【摘译】作者考察从美国进口武器对135个非经合组织国家内部冲突的影响。</w:t>
      </w:r>
    </w:p>
    <w:p>
      <w:r>
        <w:rPr>
          <w:rFonts w:ascii="Times New Roman" w:hAnsi="Times New Roman" w:eastAsia="宋体"/>
          <w:b w:val="0"/>
          <w:i w:val="0"/>
          <w:sz w:val="20"/>
        </w:rPr>
        <w:t>While little evidence sheds light on the positive role of arms, it is still arguably possible for arms imports to reduce conflicts. In this study, we examine whether and how arms imports from the US affect internal conflicts in 135 non-OECD countries. Leveraging a two-way interacted instrumental variable, we exploit a time-series variation of arms supply that arises from the political component of the US Congress and a cross-country variation of arms demand measured as the propensity of purchasing arms. Our analysis reveals that importing US arms exerts a significantly negative impact on the incidence of civil war, particularly in recipients with extreme climate conditions, scarce natural resources, or less diversified socio-demographic structures. We further provide explanations for such a positive role of arms imports by examining the existence of a deterrent effect, the enhancement of public confidence, and the strengthening of state capacity.</w:t>
      </w:r>
    </w:p>
    <w:p/>
    <w:p>
      <w:r>
        <w:rPr>
          <w:rFonts w:ascii="Times New Roman" w:hAnsi="Times New Roman" w:eastAsia="黑体"/>
          <w:b/>
          <w:i w:val="0"/>
          <w:sz w:val="24"/>
        </w:rPr>
        <w:t>领导真空与城市经济发展：来自转型国家的证据</w:t>
      </w:r>
    </w:p>
    <w:p>
      <w:r>
        <w:rPr>
          <w:rFonts w:ascii="Times New Roman" w:hAnsi="Times New Roman" w:eastAsia="宋体"/>
          <w:b w:val="0"/>
          <w:i/>
          <w:color w:val="404040"/>
          <w:sz w:val="20"/>
        </w:rPr>
        <w:t>Leadership vacuum and urban economic development: Evidence from a transition country</w:t>
      </w:r>
    </w:p>
    <w:p>
      <w:r>
        <w:rPr>
          <w:rFonts w:ascii="Times New Roman" w:hAnsi="Times New Roman" w:eastAsia="宋体"/>
          <w:b w:val="0"/>
          <w:i w:val="0"/>
          <w:color w:val="595959"/>
          <w:sz w:val="18"/>
        </w:rPr>
        <w:t>Maoyong Cheng；Yutong Yao；Justin Y. Jin；Khalid Nainar；Yu Meng</w:t>
      </w:r>
    </w:p>
    <w:p>
      <w:r>
        <w:rPr>
          <w:rFonts w:ascii="Times New Roman" w:hAnsi="Times New Roman" w:eastAsia="宋体"/>
          <w:b w:val="0"/>
          <w:i w:val="0"/>
          <w:sz w:val="22"/>
        </w:rPr>
        <w:t>摘要：【摘译】作者利用手工收集的中国市委书记空缺数据，考察领导空缺对城市经济发展的影响。</w:t>
      </w:r>
    </w:p>
    <w:p>
      <w:r>
        <w:rPr>
          <w:rFonts w:ascii="Times New Roman" w:hAnsi="Times New Roman" w:eastAsia="宋体"/>
          <w:b w:val="0"/>
          <w:i w:val="0"/>
          <w:sz w:val="20"/>
        </w:rPr>
        <w:t>This study focuses on the impact of municipal government officials’ vacancies on the economic development of their cities. Using manually collected data on unfilled senior governmental positions measured by the absence of municipal party secretaries in China from 2003 to 2019, we find that these absences limit city economic development. We identify two possible channels through which this happens: government efficiency and economic policy uncertainty. Finally, we show that the impact of these vacancies on city economic development is stronger in cities in which there is greater pressure to promote government officials and in less developed cities. Thus, this study offers new evidence that vacancies in city government undermine that city's economic development, particularly in a country undergoing an economic transition.</w:t>
      </w:r>
    </w:p>
    <w:p/>
    <w:p>
      <w:r>
        <w:rPr>
          <w:rFonts w:ascii="Times New Roman" w:hAnsi="Times New Roman" w:eastAsia="黑体"/>
          <w:b/>
          <w:i w:val="0"/>
          <w:sz w:val="24"/>
        </w:rPr>
        <w:t>法律与经济行为</w:t>
      </w:r>
    </w:p>
    <w:p>
      <w:r>
        <w:rPr>
          <w:rFonts w:ascii="Times New Roman" w:hAnsi="Times New Roman" w:eastAsia="宋体"/>
          <w:b w:val="0"/>
          <w:i/>
          <w:color w:val="404040"/>
          <w:sz w:val="20"/>
        </w:rPr>
        <w:t>Law and economic behaviour</w:t>
      </w:r>
    </w:p>
    <w:p>
      <w:r>
        <w:rPr>
          <w:rFonts w:ascii="Times New Roman" w:hAnsi="Times New Roman" w:eastAsia="宋体"/>
          <w:b w:val="0"/>
          <w:i w:val="0"/>
          <w:color w:val="595959"/>
          <w:sz w:val="18"/>
        </w:rPr>
        <w:t>Ranoua Bouchouicha；Olivier L’Haridon；Ferdinand M. Vieider</w:t>
      </w:r>
    </w:p>
    <w:p>
      <w:r>
        <w:rPr>
          <w:rFonts w:ascii="Times New Roman" w:hAnsi="Times New Roman" w:eastAsia="宋体"/>
          <w:b w:val="0"/>
          <w:i w:val="0"/>
          <w:sz w:val="22"/>
        </w:rPr>
        <w:t>摘要：【摘译】作者讨论将偏好视为内生时，法律如何作为偏好的决定因素影响经济行为及其对实证研究的挑战。</w:t>
      </w:r>
    </w:p>
    <w:p>
      <w:r>
        <w:rPr>
          <w:rFonts w:ascii="Times New Roman" w:hAnsi="Times New Roman" w:eastAsia="宋体"/>
          <w:b w:val="0"/>
          <w:i w:val="0"/>
          <w:sz w:val="20"/>
        </w:rPr>
        <w:t>Preferences play a key role in economic models as drivers of behaviour. Recent contributions have started to model preferences as endogenously determined. This creates two fundamental issues for empirical research. The first concerns the determinants of preferences. The second concerns the effect of preferences on economic outcomes, which become difficult to quantify once preferences are endogenous. We explore the extent to which the prevalence of risk tolerance across countries is endogenously determined by the legal and institutional environment of a country, and whether this behavioural trait in turn contributes to shaping the aggregate entrepreneurship rate. To do so, we rely on structural equation modelling, where the direction of causality arises from the underlying model assumed to construct the equations. Data fit to the model serve to determine whether the underlying causal model presents a plausible representation of the empirical facts. We find that legal origins exert a strong effect on risk tolerance. We further document an indirect effect of legal origins on entrepreneurship rates passing through risk preferences. These findings illustrate the pervasiveness of the effect of legal origins on economic behaviour.</w:t>
      </w:r>
    </w:p>
    <w:p/>
    <w:p>
      <w:r>
        <w:rPr>
          <w:rFonts w:ascii="Times New Roman" w:hAnsi="Times New Roman" w:eastAsia="黑体"/>
          <w:b/>
          <w:i w:val="0"/>
          <w:sz w:val="24"/>
        </w:rPr>
        <w:t>制度、能力与人才配置：来自俄罗斯各地区的证据</w:t>
      </w:r>
    </w:p>
    <w:p>
      <w:r>
        <w:rPr>
          <w:rFonts w:ascii="Times New Roman" w:hAnsi="Times New Roman" w:eastAsia="宋体"/>
          <w:b w:val="0"/>
          <w:i/>
          <w:color w:val="404040"/>
          <w:sz w:val="20"/>
        </w:rPr>
        <w:t>Institutions, abilities, and the allocation of talent: Evidence from Russian regions</w:t>
      </w:r>
    </w:p>
    <w:p>
      <w:r>
        <w:rPr>
          <w:rFonts w:ascii="Times New Roman" w:hAnsi="Times New Roman" w:eastAsia="宋体"/>
          <w:b w:val="0"/>
          <w:i w:val="0"/>
          <w:color w:val="595959"/>
          <w:sz w:val="18"/>
        </w:rPr>
        <w:t>Michael Alexeev；Timur Natkhov；Leonid Polishchuk</w:t>
      </w:r>
    </w:p>
    <w:p>
      <w:r>
        <w:rPr>
          <w:rFonts w:ascii="Times New Roman" w:hAnsi="Times New Roman" w:eastAsia="宋体"/>
          <w:b w:val="0"/>
          <w:i w:val="0"/>
          <w:sz w:val="22"/>
        </w:rPr>
        <w:t>摘要：【摘译】作者提出理论并以俄罗斯各地区数据检验：强制度吸引人才从事生产，弱制度提高寻租吸引力。</w:t>
      </w:r>
    </w:p>
    <w:p>
      <w:r>
        <w:rPr>
          <w:rFonts w:ascii="Times New Roman" w:hAnsi="Times New Roman" w:eastAsia="宋体"/>
          <w:b w:val="0"/>
          <w:i w:val="0"/>
          <w:sz w:val="20"/>
        </w:rPr>
        <w:t>Strong institutions attract talent to productive activities, whereas weak ones raise the appeal of rent seeking. We propose a theory that describes the impact of institutions on occupational choices over a range of abilities, and predicts that the sensitivity of such choices to the quality of institutions rises in talent when the latter increases from low to intermediate levels, and declines thereafter. To test these predictions empirically, we use a unique micro data set describing the choices of fields of studies by newly enrolled university students in Russian regions in 2011–2014. We show that the popularity of sciences and engineering, on one hand, and law and public administration, on the other, are linked to the quality of regional investment climate and another measure of institutional quality in a manner predicted by our theory.</w:t>
      </w:r>
    </w:p>
    <w:p/>
    <w:p>
      <w:r>
        <w:rPr>
          <w:rFonts w:ascii="Times New Roman" w:hAnsi="Times New Roman" w:eastAsia="黑体"/>
          <w:b/>
          <w:i w:val="0"/>
          <w:sz w:val="24"/>
        </w:rPr>
        <w:t>中国研发与生产率的（脱）节：研发税收抵免的政策含义</w:t>
      </w:r>
    </w:p>
    <w:p>
      <w:r>
        <w:rPr>
          <w:rFonts w:ascii="Times New Roman" w:hAnsi="Times New Roman" w:eastAsia="宋体"/>
          <w:b w:val="0"/>
          <w:i/>
          <w:color w:val="404040"/>
          <w:sz w:val="20"/>
        </w:rPr>
        <w:t>The (dis)connection between R&amp;D and productivity in China: Policy implications of R&amp;D tax credits</w:t>
      </w:r>
    </w:p>
    <w:p>
      <w:r>
        <w:rPr>
          <w:rFonts w:ascii="Times New Roman" w:hAnsi="Times New Roman" w:eastAsia="宋体"/>
          <w:b w:val="0"/>
          <w:i w:val="0"/>
          <w:color w:val="595959"/>
          <w:sz w:val="18"/>
        </w:rPr>
        <w:t>Qing Liu；Larry D. Qiu；Xing Wei；Chaoqun Zhan</w:t>
      </w:r>
    </w:p>
    <w:p>
      <w:r>
        <w:rPr>
          <w:rFonts w:ascii="Times New Roman" w:hAnsi="Times New Roman" w:eastAsia="宋体"/>
          <w:b w:val="0"/>
          <w:i w:val="0"/>
          <w:sz w:val="22"/>
        </w:rPr>
        <w:t>摘要：【摘译】作者发现中国企业研发的生产率效应很低，推测企业为获得税收抵免而开展或申报低效研发。</w:t>
      </w:r>
    </w:p>
    <w:p>
      <w:r>
        <w:rPr>
          <w:rFonts w:ascii="Times New Roman" w:hAnsi="Times New Roman" w:eastAsia="宋体"/>
          <w:b w:val="0"/>
          <w:i w:val="0"/>
          <w:sz w:val="20"/>
        </w:rPr>
        <w:t>We use Chinese firm-level data from 2001 to 2007 to estimate the (dis)connection between firms’ R&amp;D and productivity and find that the productivity effect of R&amp;D investment is very low. We conjecture that firms conduct/report unproductive R&amp;D in order to obtain policy benefits. To explore this plausible misconduct, we investigate the effects of China's 2003 R&amp;D tax reform on firms’ R&amp;D investment. The reform generates exogenous treatment variations across firm ownerships for causal identification. We find that the reform has statistically significant and positive effects on firms’ R&amp;D investments. Quantitatively, the reform raises firms’ R&amp;D investments by 6.68 % and the estimated R&amp;D elasticity of tax deduction for private firms is 0.9147, which is comparable to other countries. However, our further empirical results indicate that the policy-induced R&amp;D is less efficient in promoting firms’ productivity than the spontaneous R&amp;D. We provide evidence of firms’ relabeling non-R&amp;D expenses to R&amp;D expenses, which partly explains the inefficiency of R&amp;D investment.</w:t>
      </w:r>
    </w:p>
    <w:p/>
    <w:p>
      <w:r>
        <w:rPr>
          <w:rFonts w:ascii="Times New Roman" w:hAnsi="Times New Roman" w:eastAsia="黑体"/>
          <w:b/>
          <w:i w:val="0"/>
          <w:sz w:val="24"/>
        </w:rPr>
        <w:t>户口很重要：中国出口扩张对地方劳动力市场的异质性影响</w:t>
      </w:r>
    </w:p>
    <w:p>
      <w:r>
        <w:rPr>
          <w:rFonts w:ascii="Times New Roman" w:hAnsi="Times New Roman" w:eastAsia="宋体"/>
          <w:b w:val="0"/>
          <w:i/>
          <w:color w:val="404040"/>
          <w:sz w:val="20"/>
        </w:rPr>
        <w:t>Hukou Matters: The heterogeneous local labor market effects of export expansions in China</w:t>
      </w:r>
    </w:p>
    <w:p>
      <w:r>
        <w:rPr>
          <w:rFonts w:ascii="Times New Roman" w:hAnsi="Times New Roman" w:eastAsia="宋体"/>
          <w:b w:val="0"/>
          <w:i w:val="0"/>
          <w:color w:val="595959"/>
          <w:sz w:val="18"/>
        </w:rPr>
        <w:t>Shuaizhang Feng；Jingliang Lu；Leilei Shen</w:t>
      </w:r>
    </w:p>
    <w:p>
      <w:r>
        <w:rPr>
          <w:rFonts w:ascii="Times New Roman" w:hAnsi="Times New Roman" w:eastAsia="宋体"/>
          <w:b w:val="0"/>
          <w:i w:val="0"/>
          <w:sz w:val="22"/>
        </w:rPr>
        <w:t>摘要：【摘译】作者考察2000—2015年出口扩张对不同户口身份者的异质性劳动市场影响。</w:t>
      </w:r>
    </w:p>
    <w:p>
      <w:r>
        <w:rPr>
          <w:rFonts w:ascii="Times New Roman" w:hAnsi="Times New Roman" w:eastAsia="宋体"/>
          <w:b w:val="0"/>
          <w:i w:val="0"/>
          <w:sz w:val="20"/>
        </w:rPr>
        <w:t>This paper studies the effects of export expansions between 2000 and 2015 on China's local labor markets, focusing on the heterogeneous effects for people with different Hukou statuses. We find that rising local exports increased manufacturing and service-sector employment shares but decreased agricultural employment share for non-local-urban-Hukou residents, including local-rural-Hukou people and cross-prefecture migrants. On the other hand, trade expansions decreased the likelihood of employment and service-sector employment for local-urban-Hukou people. We provide evidence on the substitution and wealth effects for the “crowding-out” of local-urban-Hukou people out of employment.</w:t>
      </w:r>
    </w:p>
    <w:p/>
    <w:p>
      <w:r>
        <w:rPr>
          <w:rFonts w:ascii="Times New Roman" w:hAnsi="Times New Roman" w:eastAsia="黑体"/>
          <w:b/>
          <w:i w:val="0"/>
          <w:sz w:val="24"/>
        </w:rPr>
        <w:t>风险分担与创业</w:t>
      </w:r>
    </w:p>
    <w:p>
      <w:r>
        <w:rPr>
          <w:rFonts w:ascii="Times New Roman" w:hAnsi="Times New Roman" w:eastAsia="宋体"/>
          <w:b w:val="0"/>
          <w:i/>
          <w:color w:val="404040"/>
          <w:sz w:val="20"/>
        </w:rPr>
        <w:t>Risk-sharing and entrepreneurship</w:t>
      </w:r>
    </w:p>
    <w:p>
      <w:r>
        <w:rPr>
          <w:rFonts w:ascii="Times New Roman" w:hAnsi="Times New Roman" w:eastAsia="宋体"/>
          <w:b w:val="0"/>
          <w:i w:val="0"/>
          <w:color w:val="595959"/>
          <w:sz w:val="18"/>
        </w:rPr>
        <w:t>Matilda Kilström；Paula Roth</w:t>
      </w:r>
    </w:p>
    <w:p>
      <w:r>
        <w:rPr>
          <w:rFonts w:ascii="Times New Roman" w:hAnsi="Times New Roman" w:eastAsia="宋体"/>
          <w:b w:val="0"/>
          <w:i w:val="0"/>
          <w:sz w:val="22"/>
        </w:rPr>
        <w:t>摘要：【摘译】作者以职业选择模型分析风险分担对创业驱动型创新的影响。</w:t>
      </w:r>
    </w:p>
    <w:p>
      <w:r>
        <w:rPr>
          <w:rFonts w:ascii="Times New Roman" w:hAnsi="Times New Roman" w:eastAsia="宋体"/>
          <w:b w:val="0"/>
          <w:i w:val="0"/>
          <w:sz w:val="20"/>
        </w:rPr>
        <w:t>This study examines the impact of risk-sharing on entrepreneurship-driven innovation in an occupational choice model, where entrepreneurs exert effort to innovate. Risk-sharing may increase the number of individuals who become entrepreneurs by limiting the downside risk. The effort of entrepreneurs may, however, be hampered by high risk-sharing if this limits the returns faced by successful entrepreneurs relative to unsuccessful entrepreneurs. We construct a simple theoretical model where risk-sharing may be either private or provided through the welfare state by means of taxation. We show that, in addition to the occupational and effort choice dimensions, the level of public risk-sharing also matters for the characteristics of entrepreneurs.</w:t>
      </w:r>
    </w:p>
    <w:p/>
    <w:p>
      <w:r>
        <w:rPr>
          <w:rFonts w:ascii="Times New Roman" w:hAnsi="Times New Roman" w:eastAsia="黑体"/>
          <w:b/>
          <w:i w:val="0"/>
          <w:sz w:val="24"/>
        </w:rPr>
        <w:t>《新政治经济学》</w:t>
      </w:r>
    </w:p>
    <w:p>
      <w:r>
        <w:rPr>
          <w:rFonts w:ascii="Times New Roman" w:hAnsi="Times New Roman" w:eastAsia="宋体"/>
          <w:b/>
          <w:i w:val="0"/>
          <w:sz w:val="22"/>
        </w:rPr>
        <w:t>NPE： Vol. 31, No. 5, 2026</w:t>
      </w:r>
    </w:p>
    <w:p/>
    <w:p>
      <w:r>
        <w:rPr>
          <w:rFonts w:ascii="Times New Roman" w:hAnsi="Times New Roman" w:eastAsia="黑体"/>
          <w:b/>
          <w:i w:val="0"/>
          <w:sz w:val="24"/>
        </w:rPr>
        <w:t>百臂巨人对泰坦：中东欧右翼民粹政府对外国跨国公司的处置</w:t>
      </w:r>
    </w:p>
    <w:p>
      <w:r>
        <w:rPr>
          <w:rFonts w:ascii="Times New Roman" w:hAnsi="Times New Roman" w:eastAsia="宋体"/>
          <w:b w:val="0"/>
          <w:i/>
          <w:color w:val="404040"/>
          <w:sz w:val="20"/>
        </w:rPr>
        <w:t>Centimanes v. Titans: right-wing populist governments’ treatment of foreign multinationals in East Central Europe</w:t>
      </w:r>
    </w:p>
    <w:p>
      <w:r>
        <w:rPr>
          <w:rFonts w:ascii="Times New Roman" w:hAnsi="Times New Roman" w:eastAsia="宋体"/>
          <w:b w:val="0"/>
          <w:i w:val="0"/>
          <w:color w:val="595959"/>
          <w:sz w:val="18"/>
        </w:rPr>
        <w:t>Andreas Nölke（Goethe University Frankfurt）；Gerhard Schnyder（Loughborough University London; Centre for Business Research (CBR), University of Cambridge）；Dorottya Sallai（London School of Economics and Political Science (LSE)）；Daniel Kinderman（University of Delaware）</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跨国环境治理中的模糊投射：会计准则中谁与什么被计算在内</w:t>
      </w:r>
    </w:p>
    <w:p>
      <w:r>
        <w:rPr>
          <w:rFonts w:ascii="Times New Roman" w:hAnsi="Times New Roman" w:eastAsia="宋体"/>
          <w:b w:val="0"/>
          <w:i/>
          <w:color w:val="404040"/>
          <w:sz w:val="20"/>
        </w:rPr>
        <w:t>Projecting ambiguity in transnational environmental governance: who and what counts in accounting standards</w:t>
      </w:r>
    </w:p>
    <w:p>
      <w:r>
        <w:rPr>
          <w:rFonts w:ascii="Times New Roman" w:hAnsi="Times New Roman" w:eastAsia="宋体"/>
          <w:b w:val="0"/>
          <w:i w:val="0"/>
          <w:color w:val="595959"/>
          <w:sz w:val="18"/>
        </w:rPr>
        <w:t>Salomé Dugué（Copenhagen Business School）；Leonard Seabrooke（Copenhagen Business School）</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“那会拖慢工作”——性别敏感经济政策的挑战</w:t>
      </w:r>
    </w:p>
    <w:p>
      <w:r>
        <w:rPr>
          <w:rFonts w:ascii="Times New Roman" w:hAnsi="Times New Roman" w:eastAsia="宋体"/>
          <w:b w:val="0"/>
          <w:i/>
          <w:color w:val="404040"/>
          <w:sz w:val="20"/>
        </w:rPr>
        <w:t>‘It would have slowed down the work’ – the challenges of gender sensitive economic policy</w:t>
      </w:r>
    </w:p>
    <w:p>
      <w:r>
        <w:rPr>
          <w:rFonts w:ascii="Times New Roman" w:hAnsi="Times New Roman" w:eastAsia="宋体"/>
          <w:b w:val="0"/>
          <w:i w:val="0"/>
          <w:color w:val="595959"/>
          <w:sz w:val="18"/>
        </w:rPr>
        <w:t>Pauline Cullen（University of Maynooth）；Muireann O'Dwyer（School of International Relations, University of St Andrews）</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并购政策的再政治化：英国与意大利对外国收购的规制</w:t>
      </w:r>
    </w:p>
    <w:p>
      <w:r>
        <w:rPr>
          <w:rFonts w:ascii="Times New Roman" w:hAnsi="Times New Roman" w:eastAsia="宋体"/>
          <w:b w:val="0"/>
          <w:i/>
          <w:color w:val="404040"/>
          <w:sz w:val="20"/>
        </w:rPr>
        <w:t>Re-politicising merger policy: regulating foreign takeovers in Britain and Italy</w:t>
      </w:r>
    </w:p>
    <w:p>
      <w:r>
        <w:rPr>
          <w:rFonts w:ascii="Times New Roman" w:hAnsi="Times New Roman" w:eastAsia="宋体"/>
          <w:b w:val="0"/>
          <w:i w:val="0"/>
          <w:color w:val="595959"/>
          <w:sz w:val="18"/>
        </w:rPr>
        <w:t>Bernardo Rangoni（University of York; University of Antwerp; European University Institute）；Mark Thatcher（Luiss University; London School of Economics）</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以参与式去商品化指数评估民主创新</w:t>
      </w:r>
    </w:p>
    <w:p>
      <w:r>
        <w:rPr>
          <w:rFonts w:ascii="Times New Roman" w:hAnsi="Times New Roman" w:eastAsia="宋体"/>
          <w:b w:val="0"/>
          <w:i/>
          <w:color w:val="404040"/>
          <w:sz w:val="20"/>
        </w:rPr>
        <w:t>Evaluating democratic innovations through a participatory decommodification index</w:t>
      </w:r>
    </w:p>
    <w:p>
      <w:r>
        <w:rPr>
          <w:rFonts w:ascii="Times New Roman" w:hAnsi="Times New Roman" w:eastAsia="宋体"/>
          <w:b w:val="0"/>
          <w:i w:val="0"/>
          <w:color w:val="595959"/>
          <w:sz w:val="18"/>
        </w:rPr>
        <w:t>Nick Vlahos（National Civic League）</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全球社会政策中的慈善资本家：观念权力与政策优先事项</w:t>
      </w:r>
    </w:p>
    <w:p>
      <w:r>
        <w:rPr>
          <w:rFonts w:ascii="Times New Roman" w:hAnsi="Times New Roman" w:eastAsia="宋体"/>
          <w:b w:val="0"/>
          <w:i/>
          <w:color w:val="404040"/>
          <w:sz w:val="20"/>
        </w:rPr>
        <w:t>Philanthrocapitalists in global social policy: ideational power and policy priorities</w:t>
      </w:r>
    </w:p>
    <w:p>
      <w:r>
        <w:rPr>
          <w:rFonts w:ascii="Times New Roman" w:hAnsi="Times New Roman" w:eastAsia="宋体"/>
          <w:b w:val="0"/>
          <w:i w:val="0"/>
          <w:color w:val="595959"/>
          <w:sz w:val="18"/>
        </w:rPr>
        <w:t>Kevin Farnsworth（University of York）；Zoë Irving（University of York）</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全球南方威权AI政策组合的政治经济学：比较视野下平衡创新与数字控制</w:t>
      </w:r>
    </w:p>
    <w:p>
      <w:r>
        <w:rPr>
          <w:rFonts w:ascii="Times New Roman" w:hAnsi="Times New Roman" w:eastAsia="宋体"/>
          <w:b w:val="0"/>
          <w:i/>
          <w:color w:val="404040"/>
          <w:sz w:val="20"/>
        </w:rPr>
        <w:t>The political economy of authoritarian AI policy assemblages in the Global South: balancing innovation and digital control in comparative perspective</w:t>
      </w:r>
    </w:p>
    <w:p>
      <w:r>
        <w:rPr>
          <w:rFonts w:ascii="Times New Roman" w:hAnsi="Times New Roman" w:eastAsia="宋体"/>
          <w:b w:val="0"/>
          <w:i w:val="0"/>
          <w:color w:val="595959"/>
          <w:sz w:val="18"/>
        </w:rPr>
        <w:t>Arash Beidollahkhani（University of Manchester）</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永续与花完：投资与技术转型在慈善中的作用</w:t>
      </w:r>
    </w:p>
    <w:p>
      <w:r>
        <w:rPr>
          <w:rFonts w:ascii="Times New Roman" w:hAnsi="Times New Roman" w:eastAsia="宋体"/>
          <w:b w:val="0"/>
          <w:i/>
          <w:color w:val="404040"/>
          <w:sz w:val="20"/>
        </w:rPr>
        <w:t>Perpetuity and spend-down: the role of investment and technological transitions in philanthropy</w:t>
      </w:r>
    </w:p>
    <w:p>
      <w:r>
        <w:rPr>
          <w:rFonts w:ascii="Times New Roman" w:hAnsi="Times New Roman" w:eastAsia="宋体"/>
          <w:b w:val="0"/>
          <w:i w:val="0"/>
          <w:color w:val="595959"/>
          <w:sz w:val="18"/>
        </w:rPr>
        <w:t>Lina Ochoa-Carreno（Civance Research）</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绿色协商的局限：荷兰农业转型中的企业碎片化与政治经济学</w:t>
      </w:r>
    </w:p>
    <w:p>
      <w:r>
        <w:rPr>
          <w:rFonts w:ascii="Times New Roman" w:hAnsi="Times New Roman" w:eastAsia="宋体"/>
          <w:b w:val="0"/>
          <w:i/>
          <w:color w:val="404040"/>
          <w:sz w:val="20"/>
        </w:rPr>
        <w:t>The limits of green concertation: business fragmentation and the political economy of the agricultural transition in the Netherlands</w:t>
      </w:r>
    </w:p>
    <w:p>
      <w:r>
        <w:rPr>
          <w:rFonts w:ascii="Times New Roman" w:hAnsi="Times New Roman" w:eastAsia="宋体"/>
          <w:b w:val="0"/>
          <w:i w:val="0"/>
          <w:color w:val="595959"/>
          <w:sz w:val="18"/>
        </w:rPr>
        <w:t>Luca Cigna（Max Planck Institute for the Study of Societies; European University Institute）；Nina Lopez-Uroz（Max Planck Institute for the Study of Societies; European University Institute）</w:t>
      </w:r>
    </w:p>
    <w:p>
      <w:r>
        <w:rPr>
          <w:rFonts w:ascii="Times New Roman" w:hAnsi="Times New Roman" w:eastAsia="宋体"/>
          <w:b w:val="0"/>
          <w:i w:val="0"/>
          <w:sz w:val="22"/>
        </w:rPr>
        <w:t>摘要：（摘要暂缺：出版商尚未开放，数据库未收录）</w:t>
      </w:r>
    </w:p>
    <w:p/>
    <w:p>
      <w:r>
        <w:rPr>
          <w:rFonts w:ascii="Times New Roman" w:hAnsi="Times New Roman" w:eastAsia="黑体"/>
          <w:b/>
          <w:i w:val="0"/>
          <w:sz w:val="24"/>
        </w:rPr>
        <w:t>虚构货币：作为社会形式的加密货币</w:t>
      </w:r>
    </w:p>
    <w:p>
      <w:r>
        <w:rPr>
          <w:rFonts w:ascii="Times New Roman" w:hAnsi="Times New Roman" w:eastAsia="宋体"/>
          <w:b w:val="0"/>
          <w:i/>
          <w:color w:val="404040"/>
          <w:sz w:val="20"/>
        </w:rPr>
        <w:t>Fictitious money: cryptocurrency as a social form</w:t>
      </w:r>
    </w:p>
    <w:p>
      <w:r>
        <w:rPr>
          <w:rFonts w:ascii="Times New Roman" w:hAnsi="Times New Roman" w:eastAsia="宋体"/>
          <w:b w:val="0"/>
          <w:i w:val="0"/>
          <w:color w:val="595959"/>
          <w:sz w:val="18"/>
        </w:rPr>
        <w:t>Catherine Comyn（King’s College London）</w:t>
      </w:r>
    </w:p>
    <w:p>
      <w:r>
        <w:rPr>
          <w:rFonts w:ascii="Times New Roman" w:hAnsi="Times New Roman" w:eastAsia="宋体"/>
          <w:b w:val="0"/>
          <w:i w:val="0"/>
          <w:sz w:val="22"/>
        </w:rPr>
        <w:t>摘要：（摘要暂缺：出版商尚未开放，数据库未收录）</w:t>
      </w:r>
    </w:p>
    <w:p/>
    <w:p>
      <w:r>
        <w:rPr>
          <w:rFonts w:ascii="Times New Roman" w:hAnsi="Times New Roman" w:eastAsia="宋体"/>
          <w:b/>
          <w:i w:val="0"/>
          <w:sz w:val="22"/>
        </w:rPr>
        <w:t>NPE： Vol. 31, No. 4, 2026</w:t>
      </w:r>
    </w:p>
    <w:p/>
    <w:p>
      <w:r>
        <w:rPr>
          <w:rFonts w:ascii="Times New Roman" w:hAnsi="Times New Roman" w:eastAsia="黑体"/>
          <w:b/>
          <w:i w:val="0"/>
          <w:sz w:val="24"/>
        </w:rPr>
        <w:t>智利经济中的食利资本主义：剩余攫取与生产性投资的脱节</w:t>
      </w:r>
    </w:p>
    <w:p>
      <w:r>
        <w:rPr>
          <w:rFonts w:ascii="Times New Roman" w:hAnsi="Times New Roman" w:eastAsia="宋体"/>
          <w:b w:val="0"/>
          <w:i/>
          <w:color w:val="404040"/>
          <w:sz w:val="20"/>
        </w:rPr>
        <w:t>Rentier capitalism in the Chilean economy: disconnection between surplus capture and productive investment</w:t>
      </w:r>
    </w:p>
    <w:p>
      <w:r>
        <w:rPr>
          <w:rFonts w:ascii="Times New Roman" w:hAnsi="Times New Roman" w:eastAsia="宋体"/>
          <w:b w:val="0"/>
          <w:i w:val="0"/>
          <w:color w:val="595959"/>
          <w:sz w:val="18"/>
        </w:rPr>
        <w:t>José Miguel Ahumada（University of Chile）；Luis Méndez（Chile (USACH)）；Fernando Sossdorf（University of Chile）；Roberto Jara（University of Chile）</w:t>
      </w:r>
    </w:p>
    <w:p>
      <w:r>
        <w:rPr>
          <w:rFonts w:ascii="Times New Roman" w:hAnsi="Times New Roman" w:eastAsia="宋体"/>
          <w:b w:val="0"/>
          <w:i w:val="0"/>
          <w:sz w:val="22"/>
        </w:rPr>
        <w:t>摘要：【摘译】基于2013—2023年智利最大企业财务数据，作者发现利润系统性集中于少数企业集团且持续超出行业基准，构成持续租金；与亚洲经济体比较，智利在私人固定资本形成、研发与长期投资上显著落后，积累体制呈现剩余攫取与生产性投资的脱节。</w:t>
      </w:r>
    </w:p>
    <w:p>
      <w:r>
        <w:rPr>
          <w:rFonts w:ascii="Times New Roman" w:hAnsi="Times New Roman" w:eastAsia="宋体"/>
          <w:b w:val="0"/>
          <w:i w:val="0"/>
          <w:sz w:val="20"/>
        </w:rPr>
        <w:t>This article examines the structural disconnection between surplus capture and productive investment in the contemporary Chilean economy, contributing empirical evidence to debates on rentier capitalism. Drawing on heterodox political economy, we define rents as persistent surplus profits derived from private control over scarce and strategic assets rather than from value-creating activities. Using firm-level financial data for Chile's largest companies between 2013 and 2023, we identify a systematic concentration of profits among small business groups whose returns consistently exceed sectoral benchmarks, constituting sustained rents. To evaluate whether these rents foster productive upgrading, we complement the firm-level analysis with cross-national evidence on elite investment patterns in Chile and selected Asian economies. Across indicators—private fixed capital formation, R&amp;D spending, and long-term investment—Chile lags significantly behind, suggesting that its accumulation regime is structurally rent-extractive, and weakly oriented toward innovation. Our findings advance research on rentier capitalism by proposing an empirical framework to measure rents and by highlighting the developmental implications of persistent rent extraction in peripheral economies. The article calls for renewed debate on economic elites and the widening disconnection between appropriation and accumulation in the context of current discussions on structural transformation and the future of capitalism in the Global South.</w:t>
      </w:r>
    </w:p>
    <w:p/>
    <w:p>
      <w:r>
        <w:rPr>
          <w:rFonts w:ascii="Times New Roman" w:hAnsi="Times New Roman" w:eastAsia="黑体"/>
          <w:b/>
          <w:i w:val="0"/>
          <w:sz w:val="24"/>
        </w:rPr>
        <w:t>我们看重什么及其为何重要：GDP、生产边界与无偿家务劳动的历史回顾</w:t>
      </w:r>
    </w:p>
    <w:p>
      <w:r>
        <w:rPr>
          <w:rFonts w:ascii="Times New Roman" w:hAnsi="Times New Roman" w:eastAsia="宋体"/>
          <w:b w:val="0"/>
          <w:i/>
          <w:color w:val="404040"/>
          <w:sz w:val="20"/>
        </w:rPr>
        <w:t>What we value and why it matters: a historical overview of GDP, the production boundary and unpaid household labour</w:t>
      </w:r>
    </w:p>
    <w:p>
      <w:r>
        <w:rPr>
          <w:rFonts w:ascii="Times New Roman" w:hAnsi="Times New Roman" w:eastAsia="宋体"/>
          <w:b w:val="0"/>
          <w:i w:val="0"/>
          <w:color w:val="595959"/>
          <w:sz w:val="18"/>
        </w:rPr>
        <w:t>Mike Seiferling（University College London）</w:t>
      </w:r>
    </w:p>
    <w:p>
      <w:r>
        <w:rPr>
          <w:rFonts w:ascii="Times New Roman" w:hAnsi="Times New Roman" w:eastAsia="宋体"/>
          <w:b w:val="0"/>
          <w:i w:val="0"/>
          <w:sz w:val="22"/>
        </w:rPr>
        <w:t>摘要：【摘译】文章回顾国民账户体系将无偿家务劳动排除于GDP之外的历史及三种辩护，并提出四项衡量“未计量经济”的具体措施。</w:t>
      </w:r>
    </w:p>
    <w:p>
      <w:r>
        <w:rPr>
          <w:rFonts w:ascii="Times New Roman" w:hAnsi="Times New Roman" w:eastAsia="宋体"/>
          <w:b w:val="0"/>
          <w:i w:val="0"/>
          <w:sz w:val="20"/>
        </w:rPr>
        <w:t>The role that household services play in national economic production cannot be understated. This is reflected in a myriad of academic contributions spanning the past century, yet unpaid household services remain excluded from the underlying System of National Accounts (SNA) methodology for computing Gross Domestic Product (GDP). This paper provides a historical overview of unpaid labour in the SNA framework and a dissection of the three main defences for their continued exclusion from official GDP data (based on SNA 1993, 2008 and 2025). The core message of this paper is that a reliance on data that excludes the role of unpaid household services can create blind spots and misled policy advice where the valuable work that is already being done by millions of women and men across the globe is neglected in official statistical frameworks. Based on this, the paper recommends four concrete measures to capture the unmeasured economy and produce data that provides a more comprehensive and comparable reflection of economic development, growth and national production.</w:t>
      </w:r>
    </w:p>
    <w:p/>
    <w:p>
      <w:r>
        <w:rPr>
          <w:rFonts w:ascii="Times New Roman" w:hAnsi="Times New Roman" w:eastAsia="黑体"/>
          <w:b/>
          <w:i w:val="0"/>
          <w:sz w:val="24"/>
        </w:rPr>
        <w:t>理解去商品化在社会生态转型中的作用：一种新理论路径</w:t>
      </w:r>
    </w:p>
    <w:p>
      <w:r>
        <w:rPr>
          <w:rFonts w:ascii="Times New Roman" w:hAnsi="Times New Roman" w:eastAsia="宋体"/>
          <w:b w:val="0"/>
          <w:i/>
          <w:color w:val="404040"/>
          <w:sz w:val="20"/>
        </w:rPr>
        <w:t>Understanding the roles of decommodification in socioecological transformations: a new theoretical approach</w:t>
      </w:r>
    </w:p>
    <w:p>
      <w:r>
        <w:rPr>
          <w:rFonts w:ascii="Times New Roman" w:hAnsi="Times New Roman" w:eastAsia="宋体"/>
          <w:b w:val="0"/>
          <w:i w:val="0"/>
          <w:color w:val="595959"/>
          <w:sz w:val="18"/>
        </w:rPr>
        <w:t>Geoff Goodwin（University of Leeds）</w:t>
      </w:r>
    </w:p>
    <w:p>
      <w:r>
        <w:rPr>
          <w:rFonts w:ascii="Times New Roman" w:hAnsi="Times New Roman" w:eastAsia="宋体"/>
          <w:b w:val="0"/>
          <w:i w:val="0"/>
          <w:sz w:val="22"/>
        </w:rPr>
        <w:t>摘要：【摘译】作者提出新的去商品化理论路径，强调其与生产和价值的关系，以把握其在社会生态转型中既支持又挑战资本主义的多样作用，并超越欧洲中心视角。</w:t>
      </w:r>
    </w:p>
    <w:p>
      <w:r>
        <w:rPr>
          <w:rFonts w:ascii="Times New Roman" w:hAnsi="Times New Roman" w:eastAsia="宋体"/>
          <w:b w:val="0"/>
          <w:i w:val="0"/>
          <w:sz w:val="20"/>
        </w:rPr>
        <w:t>Decommodification is widely considered a central pillar of progressive socioecological transformations, like the green new deal, degrowth and ecosocialism. Yet it is inadequately problematised and theorised in the existing literature. It is often simply stated as a normative goal rather than theorised as a central part of the transformative process. It is also commonly reduced to services, such as transport and energy, and sometimes framed in Eurocentric terms. The global geographical diversity of decommodification is therefore overlooked and the wider role it plays in both supporting and challenging capitalism is underexplored. This article introduces a new theoretical approach that captures these dimensions and provides a stronger foundation to analyse and strategise the diverse roles of decommodification in socioecological transformations. It argues that the relationship between decommodification, production, and value is crucial for grasping the character of decommodification and its capacity to support or hinder progressive socioecological transformations. Further, the article shows that although decommodification is central to progressive transformations, it can also support regressive and reactionary responses to environmental crises. Hence, simply calling for more decommodification is not enough; grasping its limits and contradictions, and tailoring it to the context and task are essential.</w:t>
      </w:r>
    </w:p>
    <w:p/>
    <w:p>
      <w:r>
        <w:rPr>
          <w:rFonts w:ascii="Times New Roman" w:hAnsi="Times New Roman" w:eastAsia="黑体"/>
          <w:b/>
          <w:i w:val="0"/>
          <w:sz w:val="24"/>
        </w:rPr>
        <w:t>政策反馈与企业间权力的转型：对新自由主义韧性的一种解释</w:t>
      </w:r>
    </w:p>
    <w:p>
      <w:r>
        <w:rPr>
          <w:rFonts w:ascii="Times New Roman" w:hAnsi="Times New Roman" w:eastAsia="宋体"/>
          <w:b w:val="0"/>
          <w:i/>
          <w:color w:val="404040"/>
          <w:sz w:val="20"/>
        </w:rPr>
        <w:t>Policy feedback and the transformation of inter-corporate power: an account of neoliberal resilience.</w:t>
      </w:r>
    </w:p>
    <w:p>
      <w:r>
        <w:rPr>
          <w:rFonts w:ascii="Times New Roman" w:hAnsi="Times New Roman" w:eastAsia="宋体"/>
          <w:b w:val="0"/>
          <w:i w:val="0"/>
          <w:color w:val="595959"/>
          <w:sz w:val="18"/>
        </w:rPr>
        <w:t>Niall Reddy（Wits University）</w:t>
      </w:r>
    </w:p>
    <w:p>
      <w:r>
        <w:rPr>
          <w:rFonts w:ascii="Times New Roman" w:hAnsi="Times New Roman" w:eastAsia="宋体"/>
          <w:b w:val="0"/>
          <w:i w:val="0"/>
          <w:sz w:val="22"/>
        </w:rPr>
        <w:t>摘要：【摘译】基于数十年跨国数据，作者认为自由化改革改变企业人口结构：大型国际化企业的“结构性显著度”上升，较小本土企业退出，企业间不平等加剧，从而强化新自由主义本身的韧性。</w:t>
      </w:r>
    </w:p>
    <w:p>
      <w:r>
        <w:rPr>
          <w:rFonts w:ascii="Times New Roman" w:hAnsi="Times New Roman" w:eastAsia="宋体"/>
          <w:b w:val="0"/>
          <w:i w:val="0"/>
          <w:sz w:val="20"/>
        </w:rPr>
        <w:t>Why do neoliberal policies endure despite their contentious record? One school of thought emphasises the power that corporate actors have amassed as markets have been globalised and financialised. This article concurs but departs from the tendency to see business support as monolithic. Across a wide range of policy domains it highlights the potential for inter-firm conflict – particularly between larger, more internationalised companies and those likely to feel the pressure of foreign competition most intensely. The paper argues that liberalising reforms alter corporate demographics in ways that strengthen neoliberalism itself. Larger, internationally integrated firms – most likely to endorse market opening – grow their ‘structural prominence’, capturing a greater share of sales and profits. Meanwhile, smaller or less globally integrated enterprises often succumb, exiting the market. Drawing on multi-decade, cross-national data, it shows a marked upswing in inter-firm inequality. Using an instrumental-variable strategy, it further demonstrate that neoliberal reforms account for much of this skewing of corporate power.</w:t>
      </w:r>
    </w:p>
    <w:p/>
    <w:p>
      <w:r>
        <w:rPr>
          <w:rFonts w:ascii="Times New Roman" w:hAnsi="Times New Roman" w:eastAsia="黑体"/>
          <w:b/>
          <w:i w:val="0"/>
          <w:sz w:val="24"/>
        </w:rPr>
        <w:t>平台寄生：监管资本主义与平台资本主义的共同构成</w:t>
      </w:r>
    </w:p>
    <w:p>
      <w:r>
        <w:rPr>
          <w:rFonts w:ascii="Times New Roman" w:hAnsi="Times New Roman" w:eastAsia="宋体"/>
          <w:b w:val="0"/>
          <w:i/>
          <w:color w:val="404040"/>
          <w:sz w:val="20"/>
        </w:rPr>
        <w:t>Platform parasitism: co-constitution of regulatory and platform capitalism</w:t>
      </w:r>
    </w:p>
    <w:p>
      <w:r>
        <w:rPr>
          <w:rFonts w:ascii="Times New Roman" w:hAnsi="Times New Roman" w:eastAsia="宋体"/>
          <w:b w:val="0"/>
          <w:i w:val="0"/>
          <w:color w:val="595959"/>
          <w:sz w:val="18"/>
        </w:rPr>
        <w:t>Yosuke Uchiyama（Chulalongkorn University）；Jamie Woodcock（King's College London）</w:t>
      </w:r>
    </w:p>
    <w:p>
      <w:r>
        <w:rPr>
          <w:rFonts w:ascii="Times New Roman" w:hAnsi="Times New Roman" w:eastAsia="宋体"/>
          <w:b w:val="0"/>
          <w:i w:val="0"/>
          <w:sz w:val="22"/>
        </w:rPr>
        <w:t>摘要：【摘译】作者提出“平台寄生”概念：平台企业并非绕开监管，而是利用制度模糊、共同建构法规并寄生性占用制度基础设施；以马来西亚网约车与外卖行业为例。</w:t>
      </w:r>
    </w:p>
    <w:p>
      <w:r>
        <w:rPr>
          <w:rFonts w:ascii="Times New Roman" w:hAnsi="Times New Roman" w:eastAsia="宋体"/>
          <w:b w:val="0"/>
          <w:i w:val="0"/>
          <w:sz w:val="20"/>
        </w:rPr>
        <w:t>This study critically reconsiders the dominant portrayal of platform firms as external disruptors operating beyond the scope of institutional regulation. It introduces the concept of platform parasitism to capture the embedded and extractive relationship between platform capitalism and regulatory capitalism. Rather than bypassing regulation, platform firms strategically infiltrate and reconfigure state institutions to construct profit-oriented architectures. The framework theorises three interrelated mechanisms: the exploitation of institutional ambiguity, the co-construction of regulations, and the parasitic appropriation of institutional infrastructure. These dynamics are situated within a multi-layered regulatory context where platforms interact with and depend upon institutional structures for legitimacy, resources, and governance leverage. To explore the empirical applicability of this framework, the study investigates Malaysia’s ride-hailing and food delivery sectors through semi-structured interviews with 25 platform workers and five legal experts. The findings reveal how firms embed themselves within fragmented regulatory environments, not as passive rule-takers but as active co-constructors of governance, while avoiding employer responsibilities and public accountability. The study contributes a novel theorisation of digital labour regulation by showing that platform power stems not from regulatory absence but from strategic institutional embeddedness. The concept also advances understanding of capitalist governance by showing how platform and regulatory capitalism are co-constitutive.</w:t>
      </w:r>
    </w:p>
    <w:p/>
    <w:p>
      <w:r>
        <w:rPr>
          <w:rFonts w:ascii="Times New Roman" w:hAnsi="Times New Roman" w:eastAsia="黑体"/>
          <w:b/>
          <w:i w:val="0"/>
          <w:sz w:val="24"/>
        </w:rPr>
        <w:t>气候危机遇上欧洲央行：边缘修补还是范式转变？</w:t>
      </w:r>
    </w:p>
    <w:p>
      <w:r>
        <w:rPr>
          <w:rFonts w:ascii="Times New Roman" w:hAnsi="Times New Roman" w:eastAsia="宋体"/>
          <w:b w:val="0"/>
          <w:i/>
          <w:color w:val="404040"/>
          <w:sz w:val="20"/>
        </w:rPr>
        <w:t>The climate crisis meets the ECB: tinkering around the edges or paradigm shift?</w:t>
      </w:r>
    </w:p>
    <w:p>
      <w:r>
        <w:rPr>
          <w:rFonts w:ascii="Times New Roman" w:hAnsi="Times New Roman" w:eastAsia="宋体"/>
          <w:b w:val="0"/>
          <w:i w:val="0"/>
          <w:color w:val="595959"/>
          <w:sz w:val="18"/>
        </w:rPr>
        <w:t>Yannis Dafermos（SOAS University of London, London, UK）</w:t>
      </w:r>
    </w:p>
    <w:p>
      <w:r>
        <w:rPr>
          <w:rFonts w:ascii="Times New Roman" w:hAnsi="Times New Roman" w:eastAsia="宋体"/>
          <w:b w:val="0"/>
          <w:i w:val="0"/>
          <w:sz w:val="22"/>
        </w:rPr>
        <w:t>摘要：【摘译】作者识别气候危机对欧洲央行的三项变革性含义，认为其气候行动只是“边缘修补”，与气候时代所需的央行系统转型存在显著差距。</w:t>
      </w:r>
    </w:p>
    <w:p>
      <w:r>
        <w:rPr>
          <w:rFonts w:ascii="Times New Roman" w:hAnsi="Times New Roman" w:eastAsia="宋体"/>
          <w:b w:val="0"/>
          <w:i w:val="0"/>
          <w:sz w:val="20"/>
        </w:rPr>
        <w:t>In recent years, the European Central Bank (ECB) has integrated climate considerations into its policy framework. This paper assesses whether the ECB’s approach adequately responds to the challenges posed by the climate crisis. I identify three transformative implications of the climate crisis for the ECB: (i) the diminishing effectiveness of traditional monetary policy tools in controlling inflation; (ii) the growing necessity for the ECB to actively support decarbonisation in line with the EU’s net-zero targets; and (iii) the insufficiency of traditional risk exposure approaches to address financial instability arising from physical climate risks. I examine the extent to which these implications are reflected in the ECB’s climate actions and plans, arguing that a significant gap exists between the ECB’s ‘tinkering around the edges’ approach and the systemic transformation of central banking required in the climate crisis era. Drawing on post-Keynesian and critical macro-finance perspectives, I develop the theoretical foundations of a climate-aligned central banking paradigm and explore its implications for the ECB’s policy toolbox and mandate.</w:t>
      </w:r>
    </w:p>
    <w:p/>
    <w:p>
      <w:r>
        <w:rPr>
          <w:rFonts w:ascii="Times New Roman" w:hAnsi="Times New Roman" w:eastAsia="黑体"/>
          <w:b/>
          <w:i w:val="0"/>
          <w:sz w:val="24"/>
        </w:rPr>
        <w:t>平台失权：企业权力与数字金融服务征税</w:t>
      </w:r>
    </w:p>
    <w:p>
      <w:r>
        <w:rPr>
          <w:rFonts w:ascii="Times New Roman" w:hAnsi="Times New Roman" w:eastAsia="宋体"/>
          <w:b w:val="0"/>
          <w:i/>
          <w:color w:val="404040"/>
          <w:sz w:val="20"/>
        </w:rPr>
        <w:t>Platform disempowerment: business power and the taxation of digital financial services</w:t>
      </w:r>
    </w:p>
    <w:p>
      <w:r>
        <w:rPr>
          <w:rFonts w:ascii="Times New Roman" w:hAnsi="Times New Roman" w:eastAsia="宋体"/>
          <w:b w:val="0"/>
          <w:i w:val="0"/>
          <w:color w:val="595959"/>
          <w:sz w:val="18"/>
        </w:rPr>
        <w:t>Mary Abounabhan（University of Sussex）；Florence Dafe（Technical University Munich）；Martin Hearson（University of Sussex）</w:t>
      </w:r>
    </w:p>
    <w:p>
      <w:r>
        <w:rPr>
          <w:rFonts w:ascii="Times New Roman" w:hAnsi="Times New Roman" w:eastAsia="宋体"/>
          <w:b w:val="0"/>
          <w:i w:val="0"/>
          <w:sz w:val="22"/>
        </w:rPr>
        <w:t>摘要：【摘译】比较肯尼亚与加纳移动货币征税，作者提出“平台失权”：控制无处不在的基础设施既是力量也是弱点，政治纠缠强弱决定结果——肯尼亚纠缠强而获赋权，加纳则相反。</w:t>
      </w:r>
    </w:p>
    <w:p>
      <w:r>
        <w:rPr>
          <w:rFonts w:ascii="Times New Roman" w:hAnsi="Times New Roman" w:eastAsia="宋体"/>
          <w:b w:val="0"/>
          <w:i w:val="0"/>
          <w:sz w:val="20"/>
        </w:rPr>
        <w:t>This article advances our understanding of the political power of digital platform companies by uncovering its underexplored flipside: platform disempowerment. We argue that controlling an infrastructure that becomes ubiquitous in economic and social interactions can become a source of weakness as well as strength. Using primary interview and secondary data, we provide comparative case studies of mobile money taxation in Kenya and Ghana. As governments in both countries faced fiscal pressures, the profitability and captivity of the market that flowed from mobile money providers’ control of digital payment infrastructure caught their attention. Different outcomes in the two countries result from the interaction between the industry’s political entanglements and its infrastructural control: in Kenya, entanglements were strong, creating a dynamic of empowerment, while the opposite was the case in Ghana. The article contributes to broader debates about the sources and limits of the political power of digital platforms, while expanding the field of empirical cases to an underexplored region.</w:t>
      </w:r>
    </w:p>
    <w:p/>
    <w:p>
      <w:r>
        <w:rPr>
          <w:rFonts w:ascii="Times New Roman" w:hAnsi="Times New Roman" w:eastAsia="黑体"/>
          <w:b/>
          <w:i w:val="0"/>
          <w:sz w:val="24"/>
        </w:rPr>
        <w:t>气候变化生意：咖啡业绿色资本积累来源的变化</w:t>
      </w:r>
    </w:p>
    <w:p>
      <w:r>
        <w:rPr>
          <w:rFonts w:ascii="Times New Roman" w:hAnsi="Times New Roman" w:eastAsia="宋体"/>
          <w:b w:val="0"/>
          <w:i/>
          <w:color w:val="404040"/>
          <w:sz w:val="20"/>
        </w:rPr>
        <w:t>The business of climate change: changing sources of green capital accumulation in the coffee sector</w:t>
      </w:r>
    </w:p>
    <w:p>
      <w:r>
        <w:rPr>
          <w:rFonts w:ascii="Times New Roman" w:hAnsi="Times New Roman" w:eastAsia="宋体"/>
          <w:b w:val="0"/>
          <w:i w:val="0"/>
          <w:color w:val="595959"/>
          <w:sz w:val="18"/>
        </w:rPr>
        <w:t>Janina Grabs（University of Basel; Universitat Ramon Llull）；Stefano Ponte（Copenhagen Business School）；Marc Castellón Durán（Universitat Ramon Llull; Oregon State University）</w:t>
      </w:r>
    </w:p>
    <w:p>
      <w:r>
        <w:rPr>
          <w:rFonts w:ascii="Times New Roman" w:hAnsi="Times New Roman" w:eastAsia="宋体"/>
          <w:b w:val="0"/>
          <w:i w:val="0"/>
          <w:sz w:val="22"/>
        </w:rPr>
        <w:t>摘要：【摘译】以咖啡业为例，作者考察碳抵消与内部抵消及中游贸易商提供可持续保证与减缓服务，发现气候成本与风险主要由农户承担，下游企业则优先利用气候融资与客户需求带来的商机。</w:t>
      </w:r>
    </w:p>
    <w:p>
      <w:r>
        <w:rPr>
          <w:rFonts w:ascii="Times New Roman" w:hAnsi="Times New Roman" w:eastAsia="宋体"/>
          <w:b w:val="0"/>
          <w:i w:val="0"/>
          <w:sz w:val="20"/>
        </w:rPr>
        <w:t>Climate change presents a significant challenge while also offering opportunities for businesses to benefit from a decarbonised economy. In this paper, we examine the business of climate change – the process of mitigating risks and seizing opportunities arising from climate-related markets. We contribute to extant discussions on the sources of green capital accumulation and how they are being reshaped to leverage the opportunities offered by climate change interventions. Using the coffee sector as an illustrative case study, we explore how climate change is reshaping business strategies. We focus on mitigation measures, such as carbon offsetting and insetting, and the emerging role of midstream trading companies in providing sustainability assurance and climate mitigation services. We find that while climate change costs and risks are mainly borne by farmers, companies downstream are prioritising the business opportunities related to available climate financing and client demands related to net-zero commitments. Ultimately, we suggest that climate change is providing additional sources of green capital accumulation to mid- and downstream companies in value chains, while at the same time threatening their long-term survival.</w:t>
      </w:r>
    </w:p>
    <w:p/>
    <w:p>
      <w:r>
        <w:rPr>
          <w:rFonts w:ascii="Times New Roman" w:hAnsi="Times New Roman" w:eastAsia="黑体"/>
          <w:b/>
          <w:i w:val="0"/>
          <w:sz w:val="24"/>
        </w:rPr>
        <w:t>卷曲、洞穴与阴影：加密货币如何在（多重）危机中兴盛</w:t>
      </w:r>
    </w:p>
    <w:p>
      <w:r>
        <w:rPr>
          <w:rFonts w:ascii="Times New Roman" w:hAnsi="Times New Roman" w:eastAsia="宋体"/>
          <w:b w:val="0"/>
          <w:i/>
          <w:color w:val="404040"/>
          <w:sz w:val="20"/>
        </w:rPr>
        <w:t>Curls, caves, and shadows: how cryptocurrencies thrive in (poly)crisis</w:t>
      </w:r>
    </w:p>
    <w:p>
      <w:r>
        <w:rPr>
          <w:rFonts w:ascii="Times New Roman" w:hAnsi="Times New Roman" w:eastAsia="宋体"/>
          <w:b w:val="0"/>
          <w:i w:val="0"/>
          <w:color w:val="595959"/>
          <w:sz w:val="18"/>
        </w:rPr>
        <w:t>Antulio Rosales（York University, Toronto, Canada）</w:t>
      </w:r>
    </w:p>
    <w:p>
      <w:r>
        <w:rPr>
          <w:rFonts w:ascii="Times New Roman" w:hAnsi="Times New Roman" w:eastAsia="宋体"/>
          <w:b w:val="0"/>
          <w:i w:val="0"/>
          <w:sz w:val="22"/>
        </w:rPr>
        <w:t>摘要：【摘译】以阿根廷为例，作者说明加密货币不只是对危机的回应，而是在动荡与扭曲中兴盛：作为获取美元的捷径与规避监管的渠道。</w:t>
      </w:r>
    </w:p>
    <w:p>
      <w:r>
        <w:rPr>
          <w:rFonts w:ascii="Times New Roman" w:hAnsi="Times New Roman" w:eastAsia="宋体"/>
          <w:b w:val="0"/>
          <w:i w:val="0"/>
          <w:sz w:val="20"/>
        </w:rPr>
        <w:t>Bitcoin, the most important and well-known cryptocurrency, was born out of the Global Financial Crisis (GFC) of 2008–9. In a context of institutional mistrust, cryptocurrencies emerged as part of a larger wave of criticism toward governments and banks. Recent works in political economy and political geography have underscored the interlinkages between cryptocurrencies and crisis, wherein crypto ecosystems not only reflect price volatility, but they exploit the vulnerabilities, frictions, and tensions of global and domestic financial systems. Argentina is a notable case of the recent uptake in Bitcoin and stablecoins because of major inflationary pressures and other distortions in the economy. This article explains how cryptocurrencies are not just a response to crisis but simultaneously thrive in contexts of upheaval and distortion. Cryptocurrencies in Argentina serve as shortcuts to access US dollars and as channels to avoid government regulation through exchanges and wallets. The businesses that promote cryptocurrencies leverage arbitrage, lean toward centralisation, and succeed in alliance with traditional financial institutions. The article draws from field research in Buenos Aires and interviews with Argentina’s booming cryptocurrency business sector as well as exhaustive secondary research.</w:t>
      </w:r>
    </w:p>
    <w:p/>
    <w:p>
      <w:r>
        <w:rPr>
          <w:rFonts w:ascii="Times New Roman" w:hAnsi="Times New Roman" w:eastAsia="黑体"/>
          <w:b/>
          <w:i w:val="0"/>
          <w:sz w:val="24"/>
        </w:rPr>
        <w:t>策略性再政治化：美国的通胀、归咎与民主问责的断裂</w:t>
      </w:r>
    </w:p>
    <w:p>
      <w:r>
        <w:rPr>
          <w:rFonts w:ascii="Times New Roman" w:hAnsi="Times New Roman" w:eastAsia="宋体"/>
          <w:b w:val="0"/>
          <w:i/>
          <w:color w:val="404040"/>
          <w:sz w:val="20"/>
        </w:rPr>
        <w:t>Strategic repoliticisation: inflation, blame, and the fracturing of democratic accountability in the United States</w:t>
      </w:r>
    </w:p>
    <w:p>
      <w:r>
        <w:rPr>
          <w:rFonts w:ascii="Times New Roman" w:hAnsi="Times New Roman" w:eastAsia="宋体"/>
          <w:b w:val="0"/>
          <w:i w:val="0"/>
          <w:color w:val="595959"/>
          <w:sz w:val="18"/>
        </w:rPr>
        <w:t>James D. G. Wood（University of Cambridge）</w:t>
      </w:r>
    </w:p>
    <w:p>
      <w:r>
        <w:rPr>
          <w:rFonts w:ascii="Times New Roman" w:hAnsi="Times New Roman" w:eastAsia="宋体"/>
          <w:b w:val="0"/>
          <w:i w:val="0"/>
          <w:sz w:val="22"/>
        </w:rPr>
        <w:t>摘要：【摘译】对2021—2022年国会听证、新闻发布会与X平台政治传播的混合方法分析显示，美国既未对美联储实施真正问责，也未将通胀管理真正再政治化，而是出现跨正式与公共场域的“策略性再政治化”。</w:t>
      </w:r>
    </w:p>
    <w:p>
      <w:r>
        <w:rPr>
          <w:rFonts w:ascii="Times New Roman" w:hAnsi="Times New Roman" w:eastAsia="宋体"/>
          <w:b w:val="0"/>
          <w:i w:val="0"/>
          <w:sz w:val="20"/>
        </w:rPr>
        <w:t>When inflation returned to the United States during the COVID-19 pandemic after decades of price stability, it created a critical test for the accountability mechanisms underpinning the system of delegated monetary policy governance. Using a mixed-methods analysis of congressional testimony, press conferences, and political communications on X during the 2021–2022 mid-term cycle, this paper examines whether Congress subjected the Federal Reserve to genuine accountability through reciprocal oversight, or whether the crisis prompted genuine repoliticisation by restoring inflation management to democratic control. The analysis reveals neither occurred. Instead, systematic strategic repoliticisation operated across formal and public arenas. Political actors engaged largely in procedural scrutiny of the Federal Reserve's institutional performance whilst robustly contesting the partisan drivers of inflation. Republicans attributed inflation to the Democrats’ fiscal policies and the Fed's progressive ‘mission creep’; Democrats blamed corporate behaviour, global energy shocks and supply chain disruptions; the Federal Reserve blamed external shocks and the Democrats’ fiscal stimulus whilst framing monetary tightening's distributional consequences as technical necessities. Strategic repoliticisation thus represents political contestation that reinforces rather than dismantles technocratic autonomy through mechanisms of agenda-setting power, revealing how the democratic deficit in delegated inflation management is actively maintained rather than passively inherited.</w:t>
      </w:r>
    </w:p>
    <w:p/>
    <w:p>
      <w:r>
        <w:rPr>
          <w:rFonts w:ascii="Times New Roman" w:hAnsi="Times New Roman" w:eastAsia="宋体"/>
          <w:b/>
          <w:i w:val="0"/>
          <w:sz w:val="22"/>
        </w:rPr>
        <w:t>NPE： Vol. 31, No. 3, 2026</w:t>
      </w:r>
    </w:p>
    <w:p/>
    <w:p>
      <w:r>
        <w:rPr>
          <w:rFonts w:ascii="Times New Roman" w:hAnsi="Times New Roman" w:eastAsia="黑体"/>
          <w:b/>
          <w:i w:val="0"/>
          <w:sz w:val="24"/>
        </w:rPr>
        <w:t>碳的不平等交换：通过碳抵消计算价值攫取与大气殖民</w:t>
      </w:r>
    </w:p>
    <w:p>
      <w:r>
        <w:rPr>
          <w:rFonts w:ascii="Times New Roman" w:hAnsi="Times New Roman" w:eastAsia="宋体"/>
          <w:b w:val="0"/>
          <w:i/>
          <w:color w:val="404040"/>
          <w:sz w:val="20"/>
        </w:rPr>
        <w:t>The unequal exchange of carbon: calculating value appropriation and atmospheric colonisation through carbon offsetting</w:t>
      </w:r>
    </w:p>
    <w:p>
      <w:r>
        <w:rPr>
          <w:rFonts w:ascii="Times New Roman" w:hAnsi="Times New Roman" w:eastAsia="宋体"/>
          <w:b w:val="0"/>
          <w:i w:val="0"/>
          <w:color w:val="595959"/>
          <w:sz w:val="18"/>
        </w:rPr>
        <w:t>Andrea Rizzi（University of Bologna）；Torsten Krause（Lund University Centre for Sustainability Studies）</w:t>
      </w:r>
    </w:p>
    <w:p>
      <w:r>
        <w:rPr>
          <w:rFonts w:ascii="Times New Roman" w:hAnsi="Times New Roman" w:eastAsia="宋体"/>
          <w:b w:val="0"/>
          <w:i w:val="0"/>
          <w:sz w:val="22"/>
        </w:rPr>
        <w:t>摘要：尽管大量批判性分析讨论了碳抵消在有效性与社会可行性方面的争议记录，碳抵消仍是全球气候治理的关键机制之一。作者关注抵消范式中研究不足的一个维度——聚焦自愿碳市场与基于自然的“解决方案”——追问碳交易是否构成一种不平等的生态与经济交换，并量化通过碳信用实现的全球不平等交换。为支撑假设，作者分析哥伦比亚的碳交易格局，给出通过碳商品链实现价值掠夺的国别量化：仅通过自愿碳市场，富裕国家4年内从全球南方攫取40亿美元，哥伦比亚的价值流失估计为2亿美元；作者还指出通过正式与非正式碳经纪人的进一步价值泄漏。</w:t>
      </w:r>
    </w:p>
    <w:p>
      <w:r>
        <w:rPr>
          <w:rFonts w:ascii="Times New Roman" w:hAnsi="Times New Roman" w:eastAsia="宋体"/>
          <w:b w:val="0"/>
          <w:i w:val="0"/>
          <w:sz w:val="20"/>
        </w:rPr>
        <w:t>Despite a flurry of critical analyses discussing its controversial track record in terms of effectiveness and social feasibility, carbon offsetting remains one of the key mechanisms within global climate governance. We address an understudied dimension of the offsetting paradigm, with a focus on the voluntary carbon market and nature-based ‘solutions’, to inquire whether carbon trading constitutes a form of unequal ecological and economic exchange. We quantify the global unequal exchange through carbon credits. To ground our hypotheses, we analyse the carbon trading landscape of Colombia and offer a country-specific quantification of value plunder through carbon commodity chains. We find that, only through voluntary carbon markets, wealthy countries appropriated 4 billion USD in 4 years from the Global South, whereas the value drain from Colombia is estimated at 200 million USD. We also highlight further value leakage through both formal and informal carbon brokers.</w:t>
      </w:r>
    </w:p>
    <w:p/>
    <w:p>
      <w:r>
        <w:rPr>
          <w:rFonts w:ascii="Times New Roman" w:hAnsi="Times New Roman" w:eastAsia="黑体"/>
          <w:b/>
          <w:i w:val="0"/>
          <w:sz w:val="24"/>
        </w:rPr>
        <w:t>货币紧缩的去政治化：欧洲央行如何应对2021—2023年通胀冲击</w:t>
      </w:r>
    </w:p>
    <w:p>
      <w:r>
        <w:rPr>
          <w:rFonts w:ascii="Times New Roman" w:hAnsi="Times New Roman" w:eastAsia="宋体"/>
          <w:b w:val="0"/>
          <w:i/>
          <w:color w:val="404040"/>
          <w:sz w:val="20"/>
        </w:rPr>
        <w:t>Depoliticising monetary tightening: how the European Central Bank managed the 2021–2023 inflation shock</w:t>
      </w:r>
    </w:p>
    <w:p>
      <w:r>
        <w:rPr>
          <w:rFonts w:ascii="Times New Roman" w:hAnsi="Times New Roman" w:eastAsia="宋体"/>
          <w:b w:val="0"/>
          <w:i w:val="0"/>
          <w:color w:val="595959"/>
          <w:sz w:val="18"/>
        </w:rPr>
        <w:t>Jeroen Thielens（Ghent Institute for International and European Studies, Ghent University）；Mattias Vermeiren（Ghent Institute for International and European Studies, Ghent University）</w:t>
      </w:r>
    </w:p>
    <w:p>
      <w:r>
        <w:rPr>
          <w:rFonts w:ascii="Times New Roman" w:hAnsi="Times New Roman" w:eastAsia="宋体"/>
          <w:b w:val="0"/>
          <w:i w:val="0"/>
          <w:sz w:val="22"/>
        </w:rPr>
        <w:t>摘要：【摘译】对2021—2024年欧洲央行执董128篇讲话的定性内容分析显示，其以新凯恩斯菲利普斯曲线作为话语去政治化工具，通过“必要化”等机制将紧缩呈现为唯一可行策略。</w:t>
      </w:r>
    </w:p>
    <w:p>
      <w:r>
        <w:rPr>
          <w:rFonts w:ascii="Times New Roman" w:hAnsi="Times New Roman" w:eastAsia="宋体"/>
          <w:b w:val="0"/>
          <w:i w:val="0"/>
          <w:sz w:val="20"/>
        </w:rPr>
        <w:t>The 2021-2023 inflation shock fuelled a heated public debate about the role of the monetary tightening strategy as the key strategy to the return to price stability. Central banks' rate hikes were not only seen as an overly blunt mechanism to deal with an inflationary surge caused by a series of negative supply shocks over which monetary policy had no control. They were also criticised for depressing labour markets and weakening workers' bargaining power to demand higher wages, even though rising profits were playing a greater role in entrenching inflation than rising wages. How did central bankers respond to these accusations? Drawing on a qualitative content analysis of 128 speeches given by ECB Executive Board members from 2021 to 2024, we demonstrate how ECB Executives relied on a New-Keynesian Phillips curve model of inflation as a discursive depoliticisation device with two components: (1) necessitation, which presented monetary tightening as the only viable strategy to preserve the credibility of the ECB in anchoring inflation expectations and restore demand-supply imbalances; (2) diffusion, which served to mask the anti-labour bias in their monetary policy. Our article raises critical questions about the ECB's self-representation as a neutral player in the management of inflation.</w:t>
      </w:r>
    </w:p>
    <w:p/>
    <w:p>
      <w:r>
        <w:rPr>
          <w:rFonts w:ascii="Times New Roman" w:hAnsi="Times New Roman" w:eastAsia="黑体"/>
          <w:b/>
          <w:i w:val="0"/>
          <w:sz w:val="24"/>
        </w:rPr>
        <w:t>如履薄冰：德国与帝国主义问题</w:t>
      </w:r>
    </w:p>
    <w:p>
      <w:r>
        <w:rPr>
          <w:rFonts w:ascii="Times New Roman" w:hAnsi="Times New Roman" w:eastAsia="宋体"/>
          <w:b w:val="0"/>
          <w:i/>
          <w:color w:val="404040"/>
          <w:sz w:val="20"/>
        </w:rPr>
        <w:t>Walking a fine line: Germany and the question of imperialism</w:t>
      </w:r>
    </w:p>
    <w:p>
      <w:r>
        <w:rPr>
          <w:rFonts w:ascii="Times New Roman" w:hAnsi="Times New Roman" w:eastAsia="宋体"/>
          <w:b w:val="0"/>
          <w:i w:val="0"/>
          <w:color w:val="595959"/>
          <w:sz w:val="18"/>
        </w:rPr>
        <w:t>Kai Koddenbrock（Bielefeld University）；Carolin Fiete Norina Voß（University of Kassel）</w:t>
      </w:r>
    </w:p>
    <w:p>
      <w:r>
        <w:rPr>
          <w:rFonts w:ascii="Times New Roman" w:hAnsi="Times New Roman" w:eastAsia="宋体"/>
          <w:b w:val="0"/>
          <w:i w:val="0"/>
          <w:sz w:val="22"/>
        </w:rPr>
        <w:t>摘要：【摘译】作者综合北方与南方帝国主义理论传统，以战争与军事暴力、国内国家—资本关系、从全球南方汲取价值三方面分析军事化的德国。</w:t>
      </w:r>
    </w:p>
    <w:p>
      <w:r>
        <w:rPr>
          <w:rFonts w:ascii="Times New Roman" w:hAnsi="Times New Roman" w:eastAsia="宋体"/>
          <w:b w:val="0"/>
          <w:i w:val="0"/>
          <w:sz w:val="20"/>
        </w:rPr>
        <w:t>In a world of increased warfare and unstable accumulation regimes, German investments into large-scale weapons production and its support to the Gaza genocide have brought the question of imperialism back on the table. Lessons from national socialist expansionism and exterminationism have begun to wane, and Germany once again embraces the use of violence more openly. What comes into view when we study a militarizing Germany from the perspective of theories of imperialism? These have been actively forgotten in the academy of the Global North while scholars in the Global South never stopped theorising and experiencing actually existing imperialism. Synthesizing these two traditions to re-center the study of imperialism in IPE and IR we suggest a conceptual focus on war and military violence, domestic state-capital relations, and the extraction of value from the Global South. Empirically, we investigate recent shifts in security and economic policy, Germany's corporate giants Volkswagen and BASF, as well as the quest for mineral supplies from the Global South. The paper concludes that imperialism as an analytical term allows to tackle the geopolitics and geoeconomics of the present in a holistic way and is uniquely placed to deal with a world engulfed in war and crisis.</w:t>
      </w:r>
    </w:p>
    <w:p/>
    <w:p>
      <w:r>
        <w:rPr>
          <w:rFonts w:ascii="Times New Roman" w:hAnsi="Times New Roman" w:eastAsia="黑体"/>
          <w:b/>
          <w:i w:val="0"/>
          <w:sz w:val="24"/>
        </w:rPr>
        <w:t>争议太大无法回避、太复杂无法常态化：将金融稳定纳入欧洲央行货币政策的政治</w:t>
      </w:r>
    </w:p>
    <w:p>
      <w:r>
        <w:rPr>
          <w:rFonts w:ascii="Times New Roman" w:hAnsi="Times New Roman" w:eastAsia="宋体"/>
          <w:b w:val="0"/>
          <w:i/>
          <w:color w:val="404040"/>
          <w:sz w:val="20"/>
        </w:rPr>
        <w:t>Too contested to avoid, too complex to normalise: the politics of integrating financial stability considerations into the ECB’s monetary policy</w:t>
      </w:r>
    </w:p>
    <w:p>
      <w:r>
        <w:rPr>
          <w:rFonts w:ascii="Times New Roman" w:hAnsi="Times New Roman" w:eastAsia="宋体"/>
          <w:b w:val="0"/>
          <w:i w:val="0"/>
          <w:color w:val="595959"/>
          <w:sz w:val="18"/>
        </w:rPr>
        <w:t>Bart Stellinga（Netherlands Scientific Council for Government Policy）；Matthias Thiemann（Sciences Po）</w:t>
      </w:r>
    </w:p>
    <w:p>
      <w:r>
        <w:rPr>
          <w:rFonts w:ascii="Times New Roman" w:hAnsi="Times New Roman" w:eastAsia="宋体"/>
          <w:b w:val="0"/>
          <w:i w:val="0"/>
          <w:sz w:val="22"/>
        </w:rPr>
        <w:t>摘要：【摘译】作者以认知发展与管委会偏好冲突的互动解释欧洲央行2021年在货币政策框架中模糊纳入金融稳定考量的转变。</w:t>
      </w:r>
    </w:p>
    <w:p>
      <w:r>
        <w:rPr>
          <w:rFonts w:ascii="Times New Roman" w:hAnsi="Times New Roman" w:eastAsia="宋体"/>
          <w:b w:val="0"/>
          <w:i w:val="0"/>
          <w:sz w:val="20"/>
        </w:rPr>
        <w:t>Whether and how to integrate financial stability considerations into monetary policy has been a long-standing challenge for central banks. The 2007–2009 global financial crisis disrupted the previously dominant ‘separation principle’, in which, congruent with the Tinbergen rule, monetary policymakers focused on price stability and delegated financial stability to regulation. Given the crisis’ devastating consequences for central bank legitimacy, this financial stability-monetary policy nexus arguably needed resolution. While the European Central Bank, this article’s focus, initially upheld the separation principle by promoting macroprudential policy as the solution, it has in 2021 shifted towards an ambiguous embrace of financial stability considerations in its monetary policy framework. Drawing on two prominent IPE approaches, we explain this shift through the interplay of epistemic developments and preference-based clashes within the ECB Governing Council over unconventional monetary policies. Concerned about large-scale asset purchases (QE), hawkish members contested these policies by pointing to their long-term financial stability risks. Their push – combined with improved macro-financial analysis and the perceived weakness of macroprudential policy – weakened the separation principle. Yet as epistemic challenges and internal disagreements about the complex trade-offs and complementarities between price stability and financial stability remained unresolved, an ambiguous compromise remained the only viable outcome.</w:t>
      </w:r>
    </w:p>
    <w:p/>
    <w:p>
      <w:r>
        <w:rPr>
          <w:rFonts w:ascii="Times New Roman" w:hAnsi="Times New Roman" w:eastAsia="黑体"/>
          <w:b/>
          <w:i w:val="0"/>
          <w:sz w:val="24"/>
        </w:rPr>
        <w:t>福特主义的两条道路：朝鲜半岛南北的分岔工业化</w:t>
      </w:r>
    </w:p>
    <w:p>
      <w:r>
        <w:rPr>
          <w:rFonts w:ascii="Times New Roman" w:hAnsi="Times New Roman" w:eastAsia="宋体"/>
          <w:b w:val="0"/>
          <w:i/>
          <w:color w:val="404040"/>
          <w:sz w:val="20"/>
        </w:rPr>
        <w:t>Two paths of Fordism: divergent industrialisation in the two Koreas</w:t>
      </w:r>
    </w:p>
    <w:p>
      <w:r>
        <w:rPr>
          <w:rFonts w:ascii="Times New Roman" w:hAnsi="Times New Roman" w:eastAsia="宋体"/>
          <w:b w:val="0"/>
          <w:i w:val="0"/>
          <w:color w:val="595959"/>
          <w:sz w:val="18"/>
        </w:rPr>
        <w:t>Yong Sub Choi（Sunmoon University）</w:t>
      </w:r>
    </w:p>
    <w:p>
      <w:r>
        <w:rPr>
          <w:rFonts w:ascii="Times New Roman" w:hAnsi="Times New Roman" w:eastAsia="宋体"/>
          <w:b w:val="0"/>
          <w:i w:val="0"/>
          <w:sz w:val="22"/>
        </w:rPr>
        <w:t>摘要：【摘译】作者比较韩国“出口型福特主义”与朝鲜“自给型苏联福特主义”，说明两种工业化路径都强化了威权统治。</w:t>
      </w:r>
    </w:p>
    <w:p>
      <w:r>
        <w:rPr>
          <w:rFonts w:ascii="Times New Roman" w:hAnsi="Times New Roman" w:eastAsia="宋体"/>
          <w:b w:val="0"/>
          <w:i w:val="0"/>
          <w:sz w:val="20"/>
        </w:rPr>
        <w:t>This article examines the divergent applications of Fordism in South and North Korea, demonstrating how political and economic structures have shaped their distinct industrial trajectories. South Korea’s ‘exportist Fordism’ integrated state-led, export-driven growth with low wages and chaebol collaboration, achieving rapid industrialisation at the cost of social inequality and suppressed domestic consumption. Conversely, North Korea’s ‘autarkist Soviet Fordism’ embedded production within a state-controlled, ideologically driven framework, initially enabling mass mobilisation but ultimately fostering inefficiency and stagnation. Both models reinforced authoritarian rule, with South Korea’s state–business nexus and North Korea’s party-led production system consolidating political power. By directly comparing these trajectories, this article contributes to international political economy, demonstrating how Fordism functions, not only as a production model but also as a mechanism for authoritarian consolidation.</w:t>
      </w:r>
    </w:p>
    <w:p/>
    <w:p>
      <w:r>
        <w:rPr>
          <w:rFonts w:ascii="Times New Roman" w:hAnsi="Times New Roman" w:eastAsia="黑体"/>
          <w:b/>
          <w:i w:val="0"/>
          <w:sz w:val="24"/>
        </w:rPr>
        <w:t>当新自由主义遇上技术官僚：特拉斯时期英国精英内部冲突与宏观经济体制重组</w:t>
      </w:r>
    </w:p>
    <w:p>
      <w:r>
        <w:rPr>
          <w:rFonts w:ascii="Times New Roman" w:hAnsi="Times New Roman" w:eastAsia="宋体"/>
          <w:b w:val="0"/>
          <w:i/>
          <w:color w:val="404040"/>
          <w:sz w:val="20"/>
        </w:rPr>
        <w:t>When neoliberalism meets technocracy: intra-elite conflict and the realignment of Britain’s macroeconomic regime under Liz Truss</w:t>
      </w:r>
    </w:p>
    <w:p>
      <w:r>
        <w:rPr>
          <w:rFonts w:ascii="Times New Roman" w:hAnsi="Times New Roman" w:eastAsia="宋体"/>
          <w:b w:val="0"/>
          <w:i w:val="0"/>
          <w:color w:val="595959"/>
          <w:sz w:val="18"/>
        </w:rPr>
        <w:t>Dillon Wamsley（The University of Manchester）</w:t>
      </w:r>
    </w:p>
    <w:p>
      <w:r>
        <w:rPr>
          <w:rFonts w:ascii="Times New Roman" w:hAnsi="Times New Roman" w:eastAsia="宋体"/>
          <w:b w:val="0"/>
          <w:i w:val="0"/>
          <w:sz w:val="22"/>
        </w:rPr>
        <w:t>摘要：【摘译】作者将特拉斯政府兴衰视为宏观经济治理上的精英内部冲突，危机中形成的“英格兰银行—财政部—预算责任办公室联结”重申货币主导与技术官僚治理。</w:t>
      </w:r>
    </w:p>
    <w:p>
      <w:r>
        <w:rPr>
          <w:rFonts w:ascii="Times New Roman" w:hAnsi="Times New Roman" w:eastAsia="宋体"/>
          <w:b w:val="0"/>
          <w:i w:val="0"/>
          <w:sz w:val="20"/>
        </w:rPr>
        <w:t>This article offers a new account of Liz Truss’s premiership by analysing the political economy of the 2022 mini-Budget crisis. Engaging with literature on depoliticisation, statecraft, and the City-Bank-Treasury nexus, it reconceptualises the rise and fall of the Truss government as a moment of intra-elite conflict over the governance of macroeconomic policy. It argues that Truss’s radical neoliberal experiment constituted a novel form of elite-led backlash against the depoliticisation of economic management. By challenging the independence of key institutions in the British state and breaching long-established practices of depoliticised governance, her disorderly approach to statecraft catalysed an institutional response. Developing a theory of institutional realignment through crisis, the article shows how a ‘Bank-Treasury-OBR nexus’ coalesced during the crisis around a consensus of monetary dominance, fiscal discipline, and technocratic expertise. Leveraging their institutional authority to signal impending market turmoil, the nexus ultimately played a key role in Truss’s downfall. The article concludes by arguing that Truss’s premiership provides important insight into changing dynamics of contestation surrounding depoliticised governance.</w:t>
      </w:r>
    </w:p>
    <w:p/>
    <w:p>
      <w:r>
        <w:rPr>
          <w:rFonts w:ascii="Times New Roman" w:hAnsi="Times New Roman" w:eastAsia="黑体"/>
          <w:b/>
          <w:i w:val="0"/>
          <w:sz w:val="24"/>
        </w:rPr>
        <w:t>有承认无再分配：新冠期间英国分权地区的无偿照护</w:t>
      </w:r>
    </w:p>
    <w:p>
      <w:r>
        <w:rPr>
          <w:rFonts w:ascii="Times New Roman" w:hAnsi="Times New Roman" w:eastAsia="宋体"/>
          <w:b w:val="0"/>
          <w:i/>
          <w:color w:val="404040"/>
          <w:sz w:val="20"/>
        </w:rPr>
        <w:t>Partial recognition without redistribution: unpaid care in the devolved UK during COVID-19</w:t>
      </w:r>
    </w:p>
    <w:p>
      <w:r>
        <w:rPr>
          <w:rFonts w:ascii="Times New Roman" w:hAnsi="Times New Roman" w:eastAsia="宋体"/>
          <w:b w:val="0"/>
          <w:i w:val="0"/>
          <w:color w:val="595959"/>
          <w:sz w:val="18"/>
        </w:rPr>
        <w:t>Asha Herten-Crabb（London School of Economics and Political Science）；Yadanar Yadanar（Monash University）；Clare Wenham（London School of Economics and Political Science）</w:t>
      </w:r>
    </w:p>
    <w:p>
      <w:r>
        <w:rPr>
          <w:rFonts w:ascii="Times New Roman" w:hAnsi="Times New Roman" w:eastAsia="宋体"/>
          <w:b w:val="0"/>
          <w:i w:val="0"/>
          <w:sz w:val="22"/>
        </w:rPr>
        <w:t>摘要：【摘译】比较英国四地政府疫情期间对无偿照护的政策，作者发现修辞上的承认与结构性不可见之间存在反差，有承认无再分配。</w:t>
      </w:r>
    </w:p>
    <w:p>
      <w:r>
        <w:rPr>
          <w:rFonts w:ascii="Times New Roman" w:hAnsi="Times New Roman" w:eastAsia="宋体"/>
          <w:b w:val="0"/>
          <w:i w:val="0"/>
          <w:sz w:val="20"/>
        </w:rPr>
        <w:t>The COVID-19 pandemic elevated care work as it was applauded on doorsteps and deemed ‘essential’ by governments. Yet this rhetorical visibility stood in stark contrast to its persistent structural invisibility. In the UK, women disproportionately shouldered the burden of social reproduction as healthcare workers, childcare providers, and unpaid carers, all while facing heightened job insecurity, domestic violence, and mental health strain. These patterns, mirrored globally, were exacerbated by policy responses that largely failed to recognise or support unpaid care. Feminist scholars have long shown how health crises reinforce gendered divisions of labour and marginalise unpaid care; this paper explores how that pattern was reproduced in the UK’s pandemic response, shaped by a decade of austerity and a residual model of care governance. Drawing on feminist political economy and critical policy analysis, this study compares how the four UK administrations – England, Scotland, Wales, and Northern Ireland – approached unpaid care across four domains of childcare, adult care, workplace flexibility, and public recognition. The analysis of policy documents reveals marked divergence: while Westminster leaned heavily on unpaid care with minimal support, devolved administrations adopted more redistributive measures, exposing the ideological and institutional logics that shape how care is valued in crisis.</w:t>
      </w:r>
    </w:p>
    <w:p/>
    <w:p>
      <w:r>
        <w:rPr>
          <w:rFonts w:ascii="Times New Roman" w:hAnsi="Times New Roman" w:eastAsia="黑体"/>
          <w:b/>
          <w:i w:val="0"/>
          <w:sz w:val="24"/>
        </w:rPr>
        <w:t>有阶级的房东</w:t>
      </w:r>
    </w:p>
    <w:p>
      <w:r>
        <w:rPr>
          <w:rFonts w:ascii="Times New Roman" w:hAnsi="Times New Roman" w:eastAsia="宋体"/>
          <w:b w:val="0"/>
          <w:i/>
          <w:color w:val="404040"/>
          <w:sz w:val="20"/>
        </w:rPr>
        <w:t>Landlords with class</w:t>
      </w:r>
    </w:p>
    <w:p>
      <w:r>
        <w:rPr>
          <w:rFonts w:ascii="Times New Roman" w:hAnsi="Times New Roman" w:eastAsia="宋体"/>
          <w:b w:val="0"/>
          <w:i w:val="0"/>
          <w:color w:val="595959"/>
          <w:sz w:val="18"/>
        </w:rPr>
        <w:t>Hulya Dagdeviren（University of Hertfordshire）；Jiayi Balasuriya（University of Hertfordshire）</w:t>
      </w:r>
    </w:p>
    <w:p>
      <w:r>
        <w:rPr>
          <w:rFonts w:ascii="Times New Roman" w:hAnsi="Times New Roman" w:eastAsia="宋体"/>
          <w:b w:val="0"/>
          <w:i w:val="0"/>
          <w:sz w:val="22"/>
        </w:rPr>
        <w:t>摘要：【摘译】基于英国财富与资产调查，作者发现住房所有权最大的阶级分野在传统工人阶级与其他群体之间，“靠租金生活”很少见，地域不平等比阶级不平等更明显。</w:t>
      </w:r>
    </w:p>
    <w:p>
      <w:r>
        <w:rPr>
          <w:rFonts w:ascii="Times New Roman" w:hAnsi="Times New Roman" w:eastAsia="宋体"/>
          <w:b w:val="0"/>
          <w:i w:val="0"/>
          <w:sz w:val="20"/>
        </w:rPr>
        <w:t>This article engages with recent literature on the class-based underpinnings of domestic property ownership, using data from the British Wealth and Assets Survey. Specifically, it explores the potential rise in ‘living off rent’, as argued by some studies. Moving beyond the conventional emphasis on property ownership in relation to income or wealth inequality, this study offers a novel perspective by examining domestic property as a source of rental income, owner-occupation, and investment across occupational classes, with particular attention to geographic location. The findings show that the sharpest class divide in domestic property ownership exists between the traditional working class and all other groups. ‘Living off rent’ is rare amongst the working class and remains minute amongst professional and technical workers as well as managers and employers. Place-based inequalities appear more pronounced than class-based inequalities related to property wealth and rental earnings.</w:t>
      </w:r>
    </w:p>
    <w:p/>
    <w:p>
      <w:r>
        <w:rPr>
          <w:rFonts w:ascii="Times New Roman" w:hAnsi="Times New Roman" w:eastAsia="黑体"/>
          <w:b/>
          <w:i w:val="0"/>
          <w:sz w:val="24"/>
        </w:rPr>
        <w:t>欧元区的矛盾：金融权力如何使外围从属并威胁货币一体化</w:t>
      </w:r>
    </w:p>
    <w:p>
      <w:r>
        <w:rPr>
          <w:rFonts w:ascii="Times New Roman" w:hAnsi="Times New Roman" w:eastAsia="宋体"/>
          <w:b w:val="0"/>
          <w:i/>
          <w:color w:val="404040"/>
          <w:sz w:val="20"/>
        </w:rPr>
        <w:t>The Eurozone’s contradiction: how the power of finance subordinates the periphery and threatens monetary integration</w:t>
      </w:r>
    </w:p>
    <w:p>
      <w:r>
        <w:rPr>
          <w:rFonts w:ascii="Times New Roman" w:hAnsi="Times New Roman" w:eastAsia="宋体"/>
          <w:b w:val="0"/>
          <w:i w:val="0"/>
          <w:color w:val="595959"/>
          <w:sz w:val="18"/>
        </w:rPr>
        <w:t>Cinthia de Souza（PhD Candidate in Economics at the University of Siena）</w:t>
      </w:r>
    </w:p>
    <w:p>
      <w:r>
        <w:rPr>
          <w:rFonts w:ascii="Times New Roman" w:hAnsi="Times New Roman" w:eastAsia="宋体"/>
          <w:b w:val="0"/>
          <w:i w:val="0"/>
          <w:sz w:val="22"/>
        </w:rPr>
        <w:t>摘要：本文分析欧元区外围的区域性金融从属，认为它由主权债务等级支撑。作者提出以“欧元区矛盾”为核心的新分析框架，该概念捕捉金融的规训权力与货币联盟存续之间的张力：当张力加剧时，需要制度变革以保障共同货币区。这些发展重塑了区域主权债务等级，并通过它重塑外围国家多样化的金融从属。文章通过分析欧元区矛盾在债务危机、疫情及其后如何被管理来说明这一论点。</w:t>
      </w:r>
    </w:p>
    <w:p>
      <w:r>
        <w:rPr>
          <w:rFonts w:ascii="Times New Roman" w:hAnsi="Times New Roman" w:eastAsia="宋体"/>
          <w:b w:val="0"/>
          <w:i w:val="0"/>
          <w:sz w:val="20"/>
        </w:rPr>
        <w:t>This article analyses the regional financial subordination of the Eurozone periphery, arguing that it is underpinned by a hierarchy of sovereign debts. It introduces a novel analytical framework centred on the ‘Eurozone’s contradiction’, a concept that captures the tension between the disciplinary power of finance and the perpetuation of the monetary union. When this tension intensifies, institutional changes are required to safeguard the common currency area. These developments reshape the regional sovereign debt hierarchy and, through it, the variegated financial subordination of the periphery. The argument is illustrated through an analysis of how the Eurozone’s contradiction was managed during the debt crisis, the pandemic, and its aftermath.</w:t>
      </w:r>
    </w:p>
    <w:p/>
    <w:p>
      <w:r>
        <w:rPr>
          <w:rFonts w:ascii="Times New Roman" w:hAnsi="Times New Roman" w:eastAsia="黑体"/>
          <w:b/>
          <w:i w:val="0"/>
          <w:sz w:val="24"/>
        </w:rPr>
        <w:t>制造引力：作为安全资产缔造者的信用评级</w:t>
      </w:r>
    </w:p>
    <w:p>
      <w:r>
        <w:rPr>
          <w:rFonts w:ascii="Times New Roman" w:hAnsi="Times New Roman" w:eastAsia="宋体"/>
          <w:b w:val="0"/>
          <w:i/>
          <w:color w:val="404040"/>
          <w:sz w:val="20"/>
        </w:rPr>
        <w:t>Manufacturing gravity: credit ratings as the makers of safe assets</w:t>
      </w:r>
    </w:p>
    <w:p>
      <w:r>
        <w:rPr>
          <w:rFonts w:ascii="Times New Roman" w:hAnsi="Times New Roman" w:eastAsia="宋体"/>
          <w:b w:val="0"/>
          <w:i w:val="0"/>
          <w:color w:val="595959"/>
          <w:sz w:val="18"/>
        </w:rPr>
        <w:t>Zsófia Barta（Centre for European Studies and Comparative Politics, Paris, France）</w:t>
      </w:r>
    </w:p>
    <w:p>
      <w:r>
        <w:rPr>
          <w:rFonts w:ascii="Times New Roman" w:hAnsi="Times New Roman" w:eastAsia="宋体"/>
          <w:b w:val="0"/>
          <w:i w:val="0"/>
          <w:sz w:val="22"/>
        </w:rPr>
        <w:t>摘要：【摘译】作者认为三大评级机构的反复失败与持久权威都应理解为评级作为“安全资产”预期锚定的协调机制：失败源于流动性周期而非评估失误，因此任何替代评级都难免同样问题，市场与监管者都缺乏挑战其地位的激励。</w:t>
      </w:r>
    </w:p>
    <w:p>
      <w:r>
        <w:rPr>
          <w:rFonts w:ascii="Times New Roman" w:hAnsi="Times New Roman" w:eastAsia="宋体"/>
          <w:b w:val="0"/>
          <w:i w:val="0"/>
          <w:sz w:val="20"/>
        </w:rPr>
        <w:t>What explains the enduring market influence of Moody’s, S&amp;P and Fitch despite their conspicuous role in repeated crises? This paper argues that both the recurrent failures and the resilient authority of the ‘Big Three’ rating agencies should be understood not in terms of credit assessment failure and regulatory permissiveness but in terms of the systemic role that ratings play as a coordination mechanism providing an anchor for market participants’ expectations about ‘safe assets’. This coordination mechanism is vulnerable to failure not because of poorly assessed fundamentals but because of liquidity cycles, in which ratings are validated during the expansionary phase and rendered catastrophically wrong when liquidity dries up. Since failures are inherent in the essential function ratings perform, they are bound to plague any potential alternatives to the ratings of the Big Three, too. Therefore, neither markets nor regulators have incentives to challenge the entrenched position of the Big Three.</w:t>
      </w:r>
    </w:p>
    <w:p/>
    <w:p>
      <w:r>
        <w:rPr>
          <w:rFonts w:ascii="Times New Roman" w:hAnsi="Times New Roman" w:eastAsia="宋体"/>
          <w:b/>
          <w:i w:val="0"/>
          <w:sz w:val="22"/>
        </w:rPr>
        <w:t>NPE： Vol. 31, No. 2, 2026</w:t>
      </w:r>
    </w:p>
    <w:p/>
    <w:p>
      <w:r>
        <w:rPr>
          <w:rFonts w:ascii="Times New Roman" w:hAnsi="Times New Roman" w:eastAsia="黑体"/>
          <w:b/>
          <w:i w:val="0"/>
          <w:sz w:val="24"/>
        </w:rPr>
        <w:t>两轮两翼：中国在中东的“产业园—港口”政治经济学</w:t>
      </w:r>
    </w:p>
    <w:p>
      <w:r>
        <w:rPr>
          <w:rFonts w:ascii="Times New Roman" w:hAnsi="Times New Roman" w:eastAsia="宋体"/>
          <w:b w:val="0"/>
          <w:i/>
          <w:color w:val="404040"/>
          <w:sz w:val="20"/>
        </w:rPr>
        <w:t>Two wheels and two wings: the political economy of Chinese Industrial Park-Ports in the Middle East</w:t>
      </w:r>
    </w:p>
    <w:p>
      <w:r>
        <w:rPr>
          <w:rFonts w:ascii="Times New Roman" w:hAnsi="Times New Roman" w:eastAsia="宋体"/>
          <w:b w:val="0"/>
          <w:i w:val="0"/>
          <w:color w:val="595959"/>
          <w:sz w:val="18"/>
        </w:rPr>
        <w:t>Safa Joudeh（University of Exeter）</w:t>
      </w:r>
    </w:p>
    <w:p>
      <w:r>
        <w:rPr>
          <w:rFonts w:ascii="Times New Roman" w:hAnsi="Times New Roman" w:eastAsia="宋体"/>
          <w:b w:val="0"/>
          <w:i w:val="0"/>
          <w:sz w:val="22"/>
        </w:rPr>
        <w:t>摘要：本文探讨中国如何通过建设“产业园—港口”重塑中东政治经济。以中国在埃及建设的苏伊士经贸合作区为实证参照，作者将产业园—港口发展置于中国资本主义的发展轨迹中，追踪这些基础设施愿景如何在不同政治经济情境中实现，描绘出中国与该地区基础设施互动的复杂图景。地区内的产业园—港口协议凸显中国日益重视投资、贸易与产能合作，以及获取能源供应的优先地位；但埃及的合资基础设施项目也揭示了由固定资本生产所产生、超越基础设施本身功能的新积累模式及其政治：苏伊士产业园—港口并未促进生产性活动和增强工业，而是作为产生租金的资产运作，服务于东道国政府的政治经济目标，并巩固执政军方政权的稳定。涉及中国投资与专业知识的基础设施成为调和与转译多种交织雄心的动态关系场所。</w:t>
      </w:r>
    </w:p>
    <w:p>
      <w:r>
        <w:rPr>
          <w:rFonts w:ascii="Times New Roman" w:hAnsi="Times New Roman" w:eastAsia="宋体"/>
          <w:b w:val="0"/>
          <w:i w:val="0"/>
          <w:sz w:val="20"/>
        </w:rPr>
        <w:t>This article explores the ways in which China is reshaping the political economy of the Middle East through the construction of Industrial Park-Ports (IPPs). Using the Chinese-built Suez Economic and Trade Cooperation zone in Egypt as an empirical reference point, it situates IPP development within the trajectory of Chinese capitalism and traces how these infrastructural visions become realised across different political economic contexts, painting a complex picture of China’s infrastructural engagement with the region. IPP agreements across the region highlight China’s growing emphasis on investment, trade and industrial capacity promotion, alongside the priority of access to energy supplies. However, joint infrastructure projects in Egypt also reveal new modes of accumulation and their associated politics generated by the production of fixed capital extending beyond the functionality of infrastructure itself. Rather than facilitating productive activity and augmenting industry, the Suez IPP operates as a rent-generating asset, serving the political economic objectives of the host government and reinforcing the ruling military regime’s stability. Infrastructures involving Chinese investments and expertise emerge as sites of dynamic relations that mediate and translate a variety of intersecting ambitions.</w:t>
      </w:r>
    </w:p>
    <w:p/>
    <w:p>
      <w:r>
        <w:rPr>
          <w:rFonts w:ascii="Times New Roman" w:hAnsi="Times New Roman" w:eastAsia="黑体"/>
          <w:b/>
          <w:i w:val="0"/>
          <w:sz w:val="24"/>
        </w:rPr>
        <w:t>以生产实施剥夺：制药业与印度和波多黎各的新冠资源短缺</w:t>
      </w:r>
    </w:p>
    <w:p>
      <w:r>
        <w:rPr>
          <w:rFonts w:ascii="Times New Roman" w:hAnsi="Times New Roman" w:eastAsia="宋体"/>
          <w:b w:val="0"/>
          <w:i/>
          <w:color w:val="404040"/>
          <w:sz w:val="20"/>
        </w:rPr>
        <w:t>Dispossession by production : the pharmaceutical industry and COVID-19 resource shortages in India and Puerto Rico</w:t>
      </w:r>
    </w:p>
    <w:p>
      <w:r>
        <w:rPr>
          <w:rFonts w:ascii="Times New Roman" w:hAnsi="Times New Roman" w:eastAsia="宋体"/>
          <w:b w:val="0"/>
          <w:i w:val="0"/>
          <w:color w:val="595959"/>
          <w:sz w:val="18"/>
        </w:rPr>
        <w:t>Jose Atiles（University of Illinois at Urbana-Champaign, Urbana, IL, USA）；Asha Sawhney（University of Illinois at Urbana-Champaign, Urbana, IL, USA）</w:t>
      </w:r>
    </w:p>
    <w:p>
      <w:r>
        <w:rPr>
          <w:rFonts w:ascii="Times New Roman" w:hAnsi="Times New Roman" w:eastAsia="宋体"/>
          <w:b w:val="0"/>
          <w:i w:val="0"/>
          <w:sz w:val="22"/>
        </w:rPr>
        <w:t>摘要：【摘译】作者提出“以生产实施剥夺”概念，解释作为全球制药供应链关键节点的印度与波多黎各为何在新冠期间缺乏基本医疗物资：殖民—法律安排支持下的全球资本主义价值汲取削弱了南方公共卫生体系。</w:t>
      </w:r>
    </w:p>
    <w:p>
      <w:r>
        <w:rPr>
          <w:rFonts w:ascii="Times New Roman" w:hAnsi="Times New Roman" w:eastAsia="宋体"/>
          <w:b w:val="0"/>
          <w:i w:val="0"/>
          <w:sz w:val="20"/>
        </w:rPr>
        <w:t>The COVID-19 pandemic severely affected India and Puerto Rico despite their crucial roles in the global pharmaceutical supply chain. This article identifies the core issue behind the pandemic’s mismanagement as dispossession by production, a form of value extraction rooted in global capitalist practices supported by colonial-legal arrangements involving local states, pharmaceutical corporations, and transnational organisations. Existing scholarship has focused on the roles of the WTO, COVAX, and WHO, as well as vaccine apartheid between the Global North and South. This article examines the socio-spatial dynamics that led to the paradoxical situation where India and Puerto Rico – two key nodes of global pharmaceutical production – lacked access to essential medical equipment needed to address the pandemic. The article demonstrates how the pharmaceutical industry undermines the Global South’s public health systems by engaging in extreme value extraction while denying local populations access to the very products their states manufacture.</w:t>
      </w:r>
    </w:p>
    <w:p/>
    <w:p>
      <w:r>
        <w:rPr>
          <w:rFonts w:ascii="Times New Roman" w:hAnsi="Times New Roman" w:eastAsia="黑体"/>
          <w:b/>
          <w:i w:val="0"/>
          <w:sz w:val="24"/>
        </w:rPr>
        <w:t>如何废除资本的抽象权力？</w:t>
      </w:r>
    </w:p>
    <w:p>
      <w:r>
        <w:rPr>
          <w:rFonts w:ascii="Times New Roman" w:hAnsi="Times New Roman" w:eastAsia="宋体"/>
          <w:b w:val="0"/>
          <w:i/>
          <w:color w:val="404040"/>
          <w:sz w:val="20"/>
        </w:rPr>
        <w:t>How to abolish the abstract power of capital?</w:t>
      </w:r>
    </w:p>
    <w:p>
      <w:r>
        <w:rPr>
          <w:rFonts w:ascii="Times New Roman" w:hAnsi="Times New Roman" w:eastAsia="宋体"/>
          <w:b w:val="0"/>
          <w:i w:val="0"/>
          <w:color w:val="595959"/>
          <w:sz w:val="18"/>
        </w:rPr>
        <w:t>Demet Şahende Dinler（University of Sussex）</w:t>
      </w:r>
    </w:p>
    <w:p>
      <w:r>
        <w:rPr>
          <w:rFonts w:ascii="Times New Roman" w:hAnsi="Times New Roman" w:eastAsia="宋体"/>
          <w:b w:val="0"/>
          <w:i w:val="0"/>
          <w:sz w:val="22"/>
        </w:rPr>
        <w:t>摘要：【摘译】作者结合佩珀雷尔内在马克思主义与吉布森—格雷厄姆多元经济理论，并比较切花业市场制度，探讨如何设计不再生产资本抽象力量的后资本主义实践。</w:t>
      </w:r>
    </w:p>
    <w:p>
      <w:r>
        <w:rPr>
          <w:rFonts w:ascii="Times New Roman" w:hAnsi="Times New Roman" w:eastAsia="宋体"/>
          <w:b w:val="0"/>
          <w:i w:val="0"/>
          <w:sz w:val="20"/>
        </w:rPr>
        <w:t>How to transform the capitalist system, which we experience as an abstract, alienating force that is independent from us? How can we design post-capitalist practices and institutions that will not reproduce this abstract force? In this article, Nicole Pepperell’s immanent Marxism, J.K. Gibson-Graham’s diverse economies, and a comparative analysis of market institutions in the cut flower sector are brought together to answer these questions. Pepperell theorises value and capital as emergent results of various local practices, none of which would reproduce capital in isolation from the broader assemblage in which they are currently embedded. Post-capitalism is understood as the repurposing of existing local practices for new emancipatory ends. Gibson-Graham’s project concretises this possibility through a reparative reading of diverse economic practices as the building blocks of an alternative collective life. This theoretical debate informs the empirical analysis of two cut flower markets in Turkey. Whereas the export market compels individuals to rationalise production and transform labour process, a domestic cut flower cooperative reconfigures the relationship between supply and demand, diverse prices, solidarity, and mutual aid through regulated local auctions. This helps growers to have autonomy and control over production without capitalist differentiation.</w:t>
      </w:r>
    </w:p>
    <w:p/>
    <w:p>
      <w:r>
        <w:rPr>
          <w:rFonts w:ascii="Times New Roman" w:hAnsi="Times New Roman" w:eastAsia="黑体"/>
          <w:b/>
          <w:i w:val="0"/>
          <w:sz w:val="24"/>
        </w:rPr>
        <w:t>新自由主义知识生产策略：自由市场智库如何应对新冠疫情？</w:t>
      </w:r>
    </w:p>
    <w:p>
      <w:r>
        <w:rPr>
          <w:rFonts w:ascii="Times New Roman" w:hAnsi="Times New Roman" w:eastAsia="宋体"/>
          <w:b w:val="0"/>
          <w:i/>
          <w:color w:val="404040"/>
          <w:sz w:val="20"/>
        </w:rPr>
        <w:t>Strategies of neoliberal knowledge production: how did free-market think tanks react to the COVID-19 pandemic?</w:t>
      </w:r>
    </w:p>
    <w:p>
      <w:r>
        <w:rPr>
          <w:rFonts w:ascii="Times New Roman" w:hAnsi="Times New Roman" w:eastAsia="宋体"/>
          <w:b w:val="0"/>
          <w:i w:val="0"/>
          <w:color w:val="595959"/>
          <w:sz w:val="18"/>
        </w:rPr>
        <w:t>Nina Lotze（University of Sheffield）</w:t>
      </w:r>
    </w:p>
    <w:p>
      <w:r>
        <w:rPr>
          <w:rFonts w:ascii="Times New Roman" w:hAnsi="Times New Roman" w:eastAsia="宋体"/>
          <w:b w:val="0"/>
          <w:i w:val="0"/>
          <w:sz w:val="22"/>
        </w:rPr>
        <w:t>摘要：【摘译】分析德英十家新自由主义智库疫情期间产出与访谈，作者发现意识形态坚守是关键策略，使其跨学派、跨国家建构一致的疫情叙事。</w:t>
      </w:r>
    </w:p>
    <w:p>
      <w:r>
        <w:rPr>
          <w:rFonts w:ascii="Times New Roman" w:hAnsi="Times New Roman" w:eastAsia="宋体"/>
          <w:b w:val="0"/>
          <w:i w:val="0"/>
          <w:sz w:val="20"/>
        </w:rPr>
        <w:t>The actions states took in response to the Covid-19 pandemic posed serious questions about the role of the state in the economy and posed a challenge to neoliberals invested in defending and re-asserting neoliberalism. This paper seizes the pandemic as an opportunity to examine how neoliberals react to modern crises, how they may attempt to re-establish neoliberalism and what role neoliberal ideas play within those processes. It analyses outputs from ten neoliberal think tanks in Germany and the UK and interviews with members of those think tanks to trace neoliberals’ narratives of the crisis and the ways in which neoliberal ideas are wielded to construct these. It finds that for neoliberal think tanks ideological adherence is the key strategy, enabling the construction of a cohesive narrative about the pandemic across various schools of neoliberal thought and country contexts, adjustable through the variations within neoliberalism to specific policy environments. Brief major disagreements did not affect this overarching narrative and, interpreted as matters of principle, instead strengthened self-perceptions of a communal ‘liberal’ identity. Neoliberal ideas form the cornerstone of neoliberal think tanks’ work in large part because they are strategically useful for the production, coordination and attempts at dissemination of neoliberal knowledge.</w:t>
      </w:r>
    </w:p>
    <w:p/>
    <w:p>
      <w:r>
        <w:rPr>
          <w:rFonts w:ascii="Times New Roman" w:hAnsi="Times New Roman" w:eastAsia="黑体"/>
          <w:b/>
          <w:i w:val="0"/>
          <w:sz w:val="24"/>
        </w:rPr>
        <w:t>后再生产社会的政治经济学</w:t>
      </w:r>
    </w:p>
    <w:p>
      <w:r>
        <w:rPr>
          <w:rFonts w:ascii="Times New Roman" w:hAnsi="Times New Roman" w:eastAsia="宋体"/>
          <w:b w:val="0"/>
          <w:i/>
          <w:color w:val="404040"/>
          <w:sz w:val="20"/>
        </w:rPr>
        <w:t>The political economy of post-reproduction society</w:t>
      </w:r>
    </w:p>
    <w:p>
      <w:r>
        <w:rPr>
          <w:rFonts w:ascii="Times New Roman" w:hAnsi="Times New Roman" w:eastAsia="宋体"/>
          <w:b w:val="0"/>
          <w:i w:val="0"/>
          <w:color w:val="595959"/>
          <w:sz w:val="18"/>
        </w:rPr>
        <w:t>Paul Cammack（The University of Manchester）</w:t>
      </w:r>
    </w:p>
    <w:p>
      <w:r>
        <w:rPr>
          <w:rFonts w:ascii="Times New Roman" w:hAnsi="Times New Roman" w:eastAsia="宋体"/>
          <w:b w:val="0"/>
          <w:i w:val="0"/>
          <w:sz w:val="22"/>
        </w:rPr>
        <w:t>摘要：【摘译】作者以历史唯物主义视角提出资本主义存在生育率下降的结构性趋势：机会扩展与全球竞争力政治使日常再生产与代际再生产根本矛盾，各国表现不同。</w:t>
      </w:r>
    </w:p>
    <w:p>
      <w:r>
        <w:rPr>
          <w:rFonts w:ascii="Times New Roman" w:hAnsi="Times New Roman" w:eastAsia="宋体"/>
          <w:b w:val="0"/>
          <w:i w:val="0"/>
          <w:sz w:val="20"/>
        </w:rPr>
        <w:t>For decades, in society after society, fertility rates have been falling below the level needed to maintain the population over time, apparently permanently so. Most societies continue to grow, but are set to shrink as falling fertility outweighs greater longevity. They are no longer reproducing themselves. This article offers an historical materialist perspective on the political economy of post-reproduction society, arguing that there is a structural tendency in capitalism for the rate of fertility to fall. It identifies two overlapping processes in the global development of capitalism since the 1960s, the first selectively widening opportunities beyond marriage and child-bearing, the second bringing all individuals and governments under the discipline of the politics of global competitiveness. The resulting dynamics bring daily and generational reproduction into fundamental contradiction with each other, in ways that are differentiated by race, class, and location. The international and supranational agencies supportive of the development of the world market accept that falling rates of fertility will not be reversed, and promote policies intended to hasten the development of capitalism on a global scale, while the attitudes of governments vary, in accordance with their socio-cultural politics and the level of their commitment to a politics of global competitiveness.</w:t>
      </w:r>
    </w:p>
    <w:p/>
    <w:p>
      <w:r>
        <w:rPr>
          <w:rFonts w:ascii="Times New Roman" w:hAnsi="Times New Roman" w:eastAsia="黑体"/>
          <w:b/>
          <w:i w:val="0"/>
          <w:sz w:val="24"/>
        </w:rPr>
        <w:t>别处的草更绿吗？议会对欧洲央行与美联储的监督</w:t>
      </w:r>
    </w:p>
    <w:p>
      <w:r>
        <w:rPr>
          <w:rFonts w:ascii="Times New Roman" w:hAnsi="Times New Roman" w:eastAsia="宋体"/>
          <w:b w:val="0"/>
          <w:i/>
          <w:color w:val="404040"/>
          <w:sz w:val="20"/>
        </w:rPr>
        <w:t>Is the grass really greener on the other side? Parliamentary oversight of the European Central Bank and the Fed</w:t>
      </w:r>
    </w:p>
    <w:p>
      <w:r>
        <w:rPr>
          <w:rFonts w:ascii="Times New Roman" w:hAnsi="Times New Roman" w:eastAsia="宋体"/>
          <w:b w:val="0"/>
          <w:i w:val="0"/>
          <w:color w:val="595959"/>
          <w:sz w:val="18"/>
        </w:rPr>
        <w:t>Adina Akbik（Leiden University）</w:t>
      </w:r>
    </w:p>
    <w:p>
      <w:r>
        <w:rPr>
          <w:rFonts w:ascii="Times New Roman" w:hAnsi="Times New Roman" w:eastAsia="宋体"/>
          <w:b w:val="0"/>
          <w:i w:val="0"/>
          <w:sz w:val="22"/>
        </w:rPr>
        <w:t>摘要：【摘译】系统比较2020—2022年议会对欧洲央行与美联储的质询，检验“欧洲央行货币对话问责弱于美国国会听证”的说法。</w:t>
      </w:r>
    </w:p>
    <w:p>
      <w:r>
        <w:rPr>
          <w:rFonts w:ascii="Times New Roman" w:hAnsi="Times New Roman" w:eastAsia="宋体"/>
          <w:b w:val="0"/>
          <w:i w:val="0"/>
          <w:sz w:val="20"/>
        </w:rPr>
        <w:t>This article explores differences in the parliamentary oversight of the European Central Bank (ECB) and the Federal Reserve (the Fed) in the United States during crisis situations. It is often argued that the Monetary Dialogues with the ECB lack the high level of accountability found in congressional hearings with the Fed. To test this assertion, the study conducts a systematic comparison of parliamentary questions addressed to the two central banks in regular hearings. The analysis focuses on the monetary policy response to Covid-19 from March 2020 to March 2022, when both the ECB and the Fed faced similar challenges and adopted comparable measures. Drawing on a refined analytical framework measuring accountability in parliamentary oversight, the goal is to assess how members of parliaments contest central bank decisions during crisis situations, and in turn, how central banks respond to that contestation. Using qualitative content analysis, the article investigates 1,014 individual questions and their respective answers identified during regular committee hearings. The findings challenge the assumed superiority of Fed oversight compared to that of the ECB: while the Monetary Dialogues may lack the intensity of congressional hearings, the ECB is held to a higher standard of accountability than the Fed.</w:t>
      </w:r>
    </w:p>
    <w:p/>
    <w:p>
      <w:r>
        <w:rPr>
          <w:rFonts w:ascii="Times New Roman" w:hAnsi="Times New Roman" w:eastAsia="黑体"/>
          <w:b/>
          <w:i w:val="0"/>
          <w:sz w:val="24"/>
        </w:rPr>
        <w:t>激进历史主义与马克思主义国际政治经济学中的历史运用</w:t>
      </w:r>
    </w:p>
    <w:p>
      <w:r>
        <w:rPr>
          <w:rFonts w:ascii="Times New Roman" w:hAnsi="Times New Roman" w:eastAsia="宋体"/>
          <w:b w:val="0"/>
          <w:i/>
          <w:color w:val="404040"/>
          <w:sz w:val="20"/>
        </w:rPr>
        <w:t>Radical historicism and the uses of history in Marxist IPE</w:t>
      </w:r>
    </w:p>
    <w:p>
      <w:r>
        <w:rPr>
          <w:rFonts w:ascii="Times New Roman" w:hAnsi="Times New Roman" w:eastAsia="宋体"/>
          <w:b w:val="0"/>
          <w:i w:val="0"/>
          <w:color w:val="595959"/>
          <w:sz w:val="18"/>
        </w:rPr>
        <w:t>Ian Lovering（Te Herenga Waka | Victoria University of Wellington）；Matthieu Hughes（University of Sussex）；Sahil Jai Dutta（International Politics）</w:t>
      </w:r>
    </w:p>
    <w:p>
      <w:r>
        <w:rPr>
          <w:rFonts w:ascii="Times New Roman" w:hAnsi="Times New Roman" w:eastAsia="宋体"/>
          <w:b w:val="0"/>
          <w:i w:val="0"/>
          <w:sz w:val="22"/>
        </w:rPr>
        <w:t>摘要：【摘译】作者批评“开放马克思主义”重理论一致而轻资本主义的政治建构，主张以“激进历史主义”的黑格尔—马克思主义异化观研究IPE。</w:t>
      </w:r>
    </w:p>
    <w:p>
      <w:r>
        <w:rPr>
          <w:rFonts w:ascii="Times New Roman" w:hAnsi="Times New Roman" w:eastAsia="宋体"/>
          <w:b w:val="0"/>
          <w:i w:val="0"/>
          <w:sz w:val="20"/>
        </w:rPr>
        <w:t>International Political Economy (IPE) has long positioned itself against the ahistoricism of mainstream economics. Yet IPE scholarship itself is not immune to putting theoretical commitments over historical specificity. This article engages with this tension within Marxist IPE. We examine a prominent ‘Open Marxist’ tradition that has made important recent interventions within IPE on state capitalism, industrial policy, financialisation, and social reproduction. While sharing the Open Marxist commitment to a critical and historically informed IPE, we argue their framework prioritises theoretical coherence over accounting for the political construction of capitalism. In contrast, we propose a ‘radical historicist’ approach for IPE. Building on a sympathetic critique of one prominent synthesis of Open Marxism as the ‘politics of governing alienation’, we outline how an alternative Hegelian-Marxist perspective on alienation underpins a novel methodological basis for IPE that can live up to the discipline’s historicist ambitions. To demonstrate this, we show how a radical historicist approach can provide a fresh depiction of a core issue that has long focused IPE attention – the contradictions of the neoliberal state.</w:t>
      </w:r>
    </w:p>
    <w:p/>
    <w:p>
      <w:r>
        <w:rPr>
          <w:rFonts w:ascii="Times New Roman" w:hAnsi="Times New Roman" w:eastAsia="黑体"/>
          <w:b/>
          <w:i w:val="0"/>
          <w:sz w:val="24"/>
        </w:rPr>
        <w:t>作为国家主导战略的金融科技：重新界定阿根廷家庭的金融化</w:t>
      </w:r>
    </w:p>
    <w:p>
      <w:r>
        <w:rPr>
          <w:rFonts w:ascii="Times New Roman" w:hAnsi="Times New Roman" w:eastAsia="宋体"/>
          <w:b w:val="0"/>
          <w:i/>
          <w:color w:val="404040"/>
          <w:sz w:val="20"/>
        </w:rPr>
        <w:t>FinTech as a state-orchestrated strategy: redefining financialization of households in Argentina</w:t>
      </w:r>
    </w:p>
    <w:p>
      <w:r>
        <w:rPr>
          <w:rFonts w:ascii="Times New Roman" w:hAnsi="Times New Roman" w:eastAsia="宋体"/>
          <w:b w:val="0"/>
          <w:i w:val="0"/>
          <w:color w:val="595959"/>
          <w:sz w:val="18"/>
        </w:rPr>
        <w:t>Kubra M. Altaytas（FLACSO; IEALC, UBA/CONICET, Buenos Aires, Argentina）</w:t>
      </w:r>
    </w:p>
    <w:p>
      <w:r>
        <w:rPr>
          <w:rFonts w:ascii="Times New Roman" w:hAnsi="Times New Roman" w:eastAsia="宋体"/>
          <w:b w:val="0"/>
          <w:i w:val="0"/>
          <w:sz w:val="22"/>
        </w:rPr>
        <w:t>摘要：【摘译】基于官方数据与布宜诺斯艾利斯田野，作者认为阿根廷金融科技是对长期普惠金融失败的权变回应，国家通过监管与基础设施选择性支持，使金融包容按分层方式重组。</w:t>
      </w:r>
    </w:p>
    <w:p>
      <w:r>
        <w:rPr>
          <w:rFonts w:ascii="Times New Roman" w:hAnsi="Times New Roman" w:eastAsia="宋体"/>
          <w:b w:val="0"/>
          <w:i w:val="0"/>
          <w:sz w:val="20"/>
        </w:rPr>
        <w:t>This article examines how longstanding asymmetries in Argentina’s financial system have shaped the adoption and expansion of financial technologies (FinTech). Rather than signaling a rupture from past institutional trajectories, FinTech emerge as a contingent response to persistent failures in the country’s financial inclusion agenda. It analyzes how structural inequalities and historical mistrust have conditioned FinTech’s emergence, and how the Argentine state has selectively supported this process through regulatory frameworks and infrastructural interventions. Drawing on official data from the IMF, World Bank, Bank for International Settlements, and Central Bank of Argentina, complemented by qualitative fieldwork conducted between 2022 and 2023 in Buenos Aires, the study argues that FinTech represents an institutional adaptation that reorganises financial inclusion along stratified lines. Central to this argument is the reconfiguration of inclusion as differentiated exposure to new forms of financial intermediation, a process in which access to savings and credit is structured by inflationary pressures, labour informality, and regulatory segmentation. In this configuration, financial participation is enabled by new infrastructures, yet remains conditional, precarious, and uneven. Ultimately, FinTech’s expansion reflects a strategic repurposing through neoliberal governance, selectively integrating households as financial subjects while enduring longstanding contradictions in Argentina’s financial landscape.</w:t>
      </w:r>
    </w:p>
    <w:p/>
    <w:p>
      <w:r>
        <w:rPr>
          <w:rFonts w:ascii="Times New Roman" w:hAnsi="Times New Roman" w:eastAsia="黑体"/>
          <w:b/>
          <w:i w:val="0"/>
          <w:sz w:val="24"/>
        </w:rPr>
        <w:t>住房与照护金融化中的奥地利例外：堡垒与通道的不稳定互动</w:t>
      </w:r>
    </w:p>
    <w:p>
      <w:r>
        <w:rPr>
          <w:rFonts w:ascii="Times New Roman" w:hAnsi="Times New Roman" w:eastAsia="宋体"/>
          <w:b w:val="0"/>
          <w:i/>
          <w:color w:val="404040"/>
          <w:sz w:val="20"/>
        </w:rPr>
        <w:t>Austrian exceptionalism in the financialisation of housing and care: a precarious interplay of bulwarks and conduits</w:t>
      </w:r>
    </w:p>
    <w:p>
      <w:r>
        <w:rPr>
          <w:rFonts w:ascii="Times New Roman" w:hAnsi="Times New Roman" w:eastAsia="宋体"/>
          <w:b w:val="0"/>
          <w:i w:val="0"/>
          <w:color w:val="595959"/>
          <w:sz w:val="18"/>
        </w:rPr>
        <w:t>Emma Dowling（University of Vienna）；Hans Volmary（Technical University Dresden）；Leonhard Plank（TU Wien）</w:t>
      </w:r>
    </w:p>
    <w:p>
      <w:r>
        <w:rPr>
          <w:rFonts w:ascii="Times New Roman" w:hAnsi="Times New Roman" w:eastAsia="宋体"/>
          <w:b w:val="0"/>
          <w:i w:val="0"/>
          <w:sz w:val="22"/>
        </w:rPr>
        <w:t>摘要：【摘译】作者分析奥地利住房与养老照护领域金融化程度较低的原因：保守—合作主义福利模式及路径依赖制度等“堡垒”抵御金融化。</w:t>
      </w:r>
    </w:p>
    <w:p>
      <w:r>
        <w:rPr>
          <w:rFonts w:ascii="Times New Roman" w:hAnsi="Times New Roman" w:eastAsia="宋体"/>
          <w:b w:val="0"/>
          <w:i w:val="0"/>
          <w:sz w:val="20"/>
        </w:rPr>
        <w:t>This article investigates the sectors of housing and residential care in Austria regarding the extent of privatisation and exposure to financialisation through real estate investment, private equity or shareholder value orientation to ascertain reasons for Austria's comparatively low levels of financialisation. We argue that country-specific welfare regimes give rise to different degrees of financialisation of social provisioning. We refer to the regulatory frameworks and institutional arrangements enabling and/or restricting this process as bulwarks against or conduits for financialisation. At the more general level, we identify the conservative-corporatist welfare model with its emphasis on continuity and preference for incremental over drastic change as a key reason for the stability in welfare provision. Further, our sectoral analysis reveals three key bulwarks across both sectors, namely (1) path-dependent institutions that have developed out of Austrian social partnership; (2) widely (although not exclusively) upheld common-good stipulations for publicly funded goods and services; (3) strong frameworks of tenant, service users and workers' protection. However, we also see that financial investment opportunities are sought around the fringes by (1) taking advantage of fragmented regulations; (2) exploiting sectoral variation, for example, by investing in care homes as real estate.</w:t>
      </w:r>
    </w:p>
    <w:p/>
    <w:p>
      <w:r>
        <w:rPr>
          <w:rFonts w:ascii="Times New Roman" w:hAnsi="Times New Roman" w:eastAsia="黑体"/>
          <w:b/>
          <w:i w:val="0"/>
          <w:sz w:val="24"/>
        </w:rPr>
        <w:t>在地：绿色产业政策的微观基础</w:t>
      </w:r>
    </w:p>
    <w:p>
      <w:r>
        <w:rPr>
          <w:rFonts w:ascii="Times New Roman" w:hAnsi="Times New Roman" w:eastAsia="宋体"/>
          <w:b w:val="0"/>
          <w:i/>
          <w:color w:val="404040"/>
          <w:sz w:val="20"/>
        </w:rPr>
        <w:t>On the ground: the microfoundations of green industrial policy</w:t>
      </w:r>
    </w:p>
    <w:p>
      <w:r>
        <w:rPr>
          <w:rFonts w:ascii="Times New Roman" w:hAnsi="Times New Roman" w:eastAsia="宋体"/>
          <w:b w:val="0"/>
          <w:i w:val="0"/>
          <w:color w:val="595959"/>
          <w:sz w:val="18"/>
        </w:rPr>
        <w:t>Søren Lund Frandsen（Copenhagen Business School）</w:t>
      </w:r>
    </w:p>
    <w:p>
      <w:r>
        <w:rPr>
          <w:rFonts w:ascii="Times New Roman" w:hAnsi="Times New Roman" w:eastAsia="宋体"/>
          <w:b w:val="0"/>
          <w:i w:val="0"/>
          <w:sz w:val="22"/>
        </w:rPr>
        <w:t>摘要：【摘译】基于丹麦2002—2022年社会网络分析、档案与政策精英群体传记研究，作者发现丹麦以私营部门主导、嵌入国家的独立委员会模式分配绿色研发补贴。</w:t>
      </w:r>
    </w:p>
    <w:p>
      <w:r>
        <w:rPr>
          <w:rFonts w:ascii="Times New Roman" w:hAnsi="Times New Roman" w:eastAsia="宋体"/>
          <w:b w:val="0"/>
          <w:i w:val="0"/>
          <w:sz w:val="20"/>
        </w:rPr>
        <w:t>Governments across the world are expanding public investments to support green industries and infrastructures under the banner of green growth and decarbonisation. Much of the political economy scholarship has examined these developments through macro-level frameworks, emphasising state capacity, macro-financial regimes, and global competition. This paper shifts the focus to the microfoundations of green industrial policy: the concrete organisational arenas, boards, and elite networks through which policy is implemented. Based on an in-depth case study of Denmark between 2002 and 2022, the analysis combines social network analysis, archival material, and a prosopographic study of policy elites to examine the governance of green R&amp;D subsidies. The findings show that Denmark has organised its industrial policy through a ‘board model’ in which independent boards embedded within the state but dominated by private-sector actors allocate subsidies. Business representatives occupy most positions and brokerage roles, while state officials remain largely procedural. The professional backgrounds of board members further reinforce a techno-economic framing of the transition. The paper argues that the effectiveness and direction of green industrial policy cannot be understood by investment volumes alone but must be traced through its organisational microfoundations.</w:t>
      </w:r>
    </w:p>
    <w:p/>
    <w:p>
      <w:r>
        <w:rPr>
          <w:rFonts w:ascii="Times New Roman" w:hAnsi="Times New Roman" w:eastAsia="宋体"/>
          <w:b/>
          <w:i w:val="0"/>
          <w:sz w:val="22"/>
        </w:rPr>
        <w:t>NPE： Vol. 31, No. 1, 2026</w:t>
      </w:r>
    </w:p>
    <w:p/>
    <w:p>
      <w:r>
        <w:rPr>
          <w:rFonts w:ascii="Times New Roman" w:hAnsi="Times New Roman" w:eastAsia="黑体"/>
          <w:b/>
          <w:i w:val="0"/>
          <w:sz w:val="24"/>
        </w:rPr>
        <w:t>将剥削置于全球政治经济学的中心</w:t>
      </w:r>
    </w:p>
    <w:p>
      <w:r>
        <w:rPr>
          <w:rFonts w:ascii="Times New Roman" w:hAnsi="Times New Roman" w:eastAsia="宋体"/>
          <w:b w:val="0"/>
          <w:i/>
          <w:color w:val="404040"/>
          <w:sz w:val="20"/>
        </w:rPr>
        <w:t>Centring exploitation in global political economy</w:t>
      </w:r>
    </w:p>
    <w:p>
      <w:r>
        <w:rPr>
          <w:rFonts w:ascii="Times New Roman" w:hAnsi="Times New Roman" w:eastAsia="宋体"/>
          <w:b w:val="0"/>
          <w:i w:val="0"/>
          <w:color w:val="595959"/>
          <w:sz w:val="18"/>
        </w:rPr>
        <w:t>Nick Bernards（University of Warwick）</w:t>
      </w:r>
    </w:p>
    <w:p>
      <w:r>
        <w:rPr>
          <w:rFonts w:ascii="Times New Roman" w:hAnsi="Times New Roman" w:eastAsia="宋体"/>
          <w:b w:val="0"/>
          <w:i w:val="0"/>
          <w:sz w:val="22"/>
        </w:rPr>
        <w:t>摘要：【摘译】特刊导言主张以多元、动态的“剥削”视角理解当代全球资本主义中劳动与工作，追问“一些人的活动如何成为另一些人的财富”。</w:t>
      </w:r>
    </w:p>
    <w:p>
      <w:r>
        <w:rPr>
          <w:rFonts w:ascii="Times New Roman" w:hAnsi="Times New Roman" w:eastAsia="宋体"/>
          <w:b w:val="0"/>
          <w:i w:val="0"/>
          <w:sz w:val="20"/>
        </w:rPr>
        <w:t>This article introduces a special issue on ‘Centring Exploitation in Global Political Economy'. The article and broader collection argue for wider engagement with Marxist debates about ‘exploitation' as a way of grasping the continued importance of labour and work amidst the turbulent transformations of contemporary global capitalism. Engaging the problematic exploitation from this perspective demands enquiry into the concrete forms of relational activity through which value is created, circulated and accumulated. Or, in short, it enjoins us to ask: How does some people's activity become other people's wealth? The article moves on to argue that a plural and dynamic view of exploitation is needed in order to adequately grasp how these dynamics operate in past and present capitalism. It closes by considering questions around how the dynamics of exploitation are stabilised and reproduced through processes of racialisation and practices of statecraft.</w:t>
      </w:r>
    </w:p>
    <w:p/>
    <w:p>
      <w:r>
        <w:rPr>
          <w:rFonts w:ascii="Times New Roman" w:hAnsi="Times New Roman" w:eastAsia="黑体"/>
          <w:b/>
          <w:i w:val="0"/>
          <w:sz w:val="24"/>
        </w:rPr>
        <w:t>剥削物流劳动：南非豪登省的流通与种族化资本主义的再生产</w:t>
      </w:r>
    </w:p>
    <w:p>
      <w:r>
        <w:rPr>
          <w:rFonts w:ascii="Times New Roman" w:hAnsi="Times New Roman" w:eastAsia="宋体"/>
          <w:b w:val="0"/>
          <w:i/>
          <w:color w:val="404040"/>
          <w:sz w:val="20"/>
        </w:rPr>
        <w:t>Exploiting the labour of logistics: circulation and the reproduction of racialised capitalism in Gauteng, South Africa</w:t>
      </w:r>
    </w:p>
    <w:p>
      <w:r>
        <w:rPr>
          <w:rFonts w:ascii="Times New Roman" w:hAnsi="Times New Roman" w:eastAsia="宋体"/>
          <w:b w:val="0"/>
          <w:i w:val="0"/>
          <w:color w:val="595959"/>
          <w:sz w:val="18"/>
        </w:rPr>
        <w:t>Bridget Kenny（The University of the Witwatersrand）</w:t>
      </w:r>
    </w:p>
    <w:p>
      <w:r>
        <w:rPr>
          <w:rFonts w:ascii="Times New Roman" w:hAnsi="Times New Roman" w:eastAsia="宋体"/>
          <w:b w:val="0"/>
          <w:i w:val="0"/>
          <w:sz w:val="22"/>
        </w:rPr>
        <w:t>摘要：【摘译】基于约翰内斯堡访谈与报告，作者显示南非豪登省物流业的空间与技术投资及具体剥削形式利用并再生产既有种族等级。</w:t>
      </w:r>
    </w:p>
    <w:p>
      <w:r>
        <w:rPr>
          <w:rFonts w:ascii="Times New Roman" w:hAnsi="Times New Roman" w:eastAsia="宋体"/>
          <w:b w:val="0"/>
          <w:i w:val="0"/>
          <w:sz w:val="20"/>
        </w:rPr>
        <w:t>This paper examines the growth of logistics in Gauteng, South Africa, and the exploitation of a primarily black warehouse workforce. Based on interviews with industry experts, warehouse and logistics workers and unions in greater Johannesburg and industry and government reports, the paper examines investment and state interest, changes to the landscape, reorganisation of the labour process and conditions of work and worker responses in two firms in road freight and logistics and e-commerce. This paper shows how the spatial and technological shifts in capital investment through logistics and the associated concrete forms of exploitation draw on, adapt and reproduce pre-existing racial hierarchies. It argues that debates on exploitation can gain from a focus on circulation, and that debates around logistics can benefit from attention to the concrete forms of exploitation constituting located social relations which explain workers’ experiences.</w:t>
      </w:r>
    </w:p>
    <w:p/>
    <w:p>
      <w:r>
        <w:rPr>
          <w:rFonts w:ascii="Times New Roman" w:hAnsi="Times New Roman" w:eastAsia="黑体"/>
          <w:b/>
          <w:i w:val="0"/>
          <w:sz w:val="24"/>
        </w:rPr>
        <w:t>资本主义价值链的生态—社会基础</w:t>
      </w:r>
    </w:p>
    <w:p>
      <w:r>
        <w:rPr>
          <w:rFonts w:ascii="Times New Roman" w:hAnsi="Times New Roman" w:eastAsia="宋体"/>
          <w:b w:val="0"/>
          <w:i/>
          <w:color w:val="404040"/>
          <w:sz w:val="20"/>
        </w:rPr>
        <w:t>Eco-social foundations of capitalist value chains</w:t>
      </w:r>
    </w:p>
    <w:p>
      <w:r>
        <w:rPr>
          <w:rFonts w:ascii="Times New Roman" w:hAnsi="Times New Roman" w:eastAsia="宋体"/>
          <w:b w:val="0"/>
          <w:i w:val="0"/>
          <w:color w:val="595959"/>
          <w:sz w:val="18"/>
        </w:rPr>
        <w:t>Benjamin Selwyn（University of Sussex）</w:t>
      </w:r>
    </w:p>
    <w:p>
      <w:r>
        <w:rPr>
          <w:rFonts w:ascii="Times New Roman" w:hAnsi="Times New Roman" w:eastAsia="宋体"/>
          <w:b w:val="0"/>
          <w:i w:val="0"/>
          <w:sz w:val="22"/>
        </w:rPr>
        <w:t>摘要：【摘译】作者提出“资本主义价值链”概念，将价值链与劳动剥削和自然征用的生态—社会基础相连，以代谢断裂理论说明其扩张。</w:t>
      </w:r>
    </w:p>
    <w:p>
      <w:r>
        <w:rPr>
          <w:rFonts w:ascii="Times New Roman" w:hAnsi="Times New Roman" w:eastAsia="宋体"/>
          <w:b w:val="0"/>
          <w:i w:val="0"/>
          <w:sz w:val="20"/>
        </w:rPr>
        <w:t>The transformation of the world economy over the last three decades has ushered in what the World Bank calls an ‘age’ of global value chains (GVCs). Of note, most academic and policy literature on GVC’s fail to relate them to their eco-social foundations. This is in part because of these literature’s weak theorisation of capitalism. This article introduces the term capitalist value chains (CVCs) to signify the importance of conceptually connecting one of contemporary capitalism’s prime organisational forms (value chains) to its essential social and ecological relations. It argues that capitalism in general, and CVCs in particular, are based on general appropriation – the exploitation of labour and expropriation of nature. It deploys metabolic and corporeal rift theory to illuminate how CVCs expand through the ever-greater, increasingly ecocidal, expropriation of nature by conjointly drawing upon a growing exploited labour force. It demonstrates these arguments through a case study of the digital-technology – Capitalist Value Chain nexus.</w:t>
      </w:r>
    </w:p>
    <w:p/>
    <w:p>
      <w:r>
        <w:rPr>
          <w:rFonts w:ascii="Times New Roman" w:hAnsi="Times New Roman" w:eastAsia="黑体"/>
          <w:b/>
          <w:i w:val="0"/>
          <w:sz w:val="24"/>
        </w:rPr>
        <w:t>重新思考难民过剩人口：马来西亚吉隆坡的剥削与辩证可弃性</w:t>
      </w:r>
    </w:p>
    <w:p>
      <w:r>
        <w:rPr>
          <w:rFonts w:ascii="Times New Roman" w:hAnsi="Times New Roman" w:eastAsia="宋体"/>
          <w:b w:val="0"/>
          <w:i/>
          <w:color w:val="404040"/>
          <w:sz w:val="20"/>
        </w:rPr>
        <w:t>Rethinking refugee surplus populations: exploitation and dialectical disposability in Kuala Lumpur, Malaysia</w:t>
      </w:r>
    </w:p>
    <w:p>
      <w:r>
        <w:rPr>
          <w:rFonts w:ascii="Times New Roman" w:hAnsi="Times New Roman" w:eastAsia="宋体"/>
          <w:b w:val="0"/>
          <w:i w:val="0"/>
          <w:color w:val="595959"/>
          <w:sz w:val="18"/>
        </w:rPr>
        <w:t>Shae Frydenlund（University of Colorado Boulder）</w:t>
      </w:r>
    </w:p>
    <w:p>
      <w:r>
        <w:rPr>
          <w:rFonts w:ascii="Times New Roman" w:hAnsi="Times New Roman" w:eastAsia="宋体"/>
          <w:b w:val="0"/>
          <w:i w:val="0"/>
          <w:sz w:val="22"/>
        </w:rPr>
        <w:t>摘要：【摘译】基于对吉隆坡罗兴亚难民日工九个月民族志，作者提出“辩证可弃性”概念：种族主义与移民安全使其在被急需与被弃置之间反复切换。</w:t>
      </w:r>
    </w:p>
    <w:p>
      <w:r>
        <w:rPr>
          <w:rFonts w:ascii="Times New Roman" w:hAnsi="Times New Roman" w:eastAsia="宋体"/>
          <w:b w:val="0"/>
          <w:i w:val="0"/>
          <w:sz w:val="20"/>
        </w:rPr>
        <w:t>The existence of relative surplus populations is a constant law of capitalist accumulation. Yet workers themselves do not experience surplus-ness as a constant condition; rather, they experience unpredictable intervals of exploitation, disposability, and pauperism. Drawing on 9 months of ethnographic research with Rohingya refugee day labourers in Kuala Lumpur, Malaysia, I rethink refugee surplus populations by exploring their concrete mode of existence. I argue that racialism and immigration security join to create conditions where Rohingyas are pushed in and out of paid work, while mystifying the imperative to furnish more labour as the result of supply-and-demand economics. I suggest that this concrete mode existence of a refugee surplus population is helpfully understood as dialectical disposability, or the phase change from urgently needed wage worker to worker made available for future exploitation. In so doing, I illustrate how tensions between the general law of capitalism and its concrete existence shape diverse experiences of exploitation.</w:t>
      </w:r>
    </w:p>
    <w:p/>
    <w:p>
      <w:r>
        <w:rPr>
          <w:rFonts w:ascii="Times New Roman" w:hAnsi="Times New Roman" w:eastAsia="黑体"/>
          <w:b/>
          <w:i w:val="0"/>
          <w:sz w:val="24"/>
        </w:rPr>
        <w:t>剥削、殖民资本主义与西非气候脆弱性的深层根源</w:t>
      </w:r>
    </w:p>
    <w:p>
      <w:r>
        <w:rPr>
          <w:rFonts w:ascii="Times New Roman" w:hAnsi="Times New Roman" w:eastAsia="宋体"/>
          <w:b w:val="0"/>
          <w:i/>
          <w:color w:val="404040"/>
          <w:sz w:val="20"/>
        </w:rPr>
        <w:t>Exploitation, colonial capitalism, and the deep roots of climate vulnerability in West Africa</w:t>
      </w:r>
    </w:p>
    <w:p>
      <w:r>
        <w:rPr>
          <w:rFonts w:ascii="Times New Roman" w:hAnsi="Times New Roman" w:eastAsia="宋体"/>
          <w:b w:val="0"/>
          <w:i w:val="0"/>
          <w:color w:val="595959"/>
          <w:sz w:val="18"/>
        </w:rPr>
        <w:t>Nick Bernards（Global Sustainable Development, University of Warwick）</w:t>
      </w:r>
    </w:p>
    <w:p>
      <w:r>
        <w:rPr>
          <w:rFonts w:ascii="Times New Roman" w:hAnsi="Times New Roman" w:eastAsia="宋体"/>
          <w:b w:val="0"/>
          <w:i w:val="0"/>
          <w:sz w:val="22"/>
        </w:rPr>
        <w:t>摘要：【摘译】作者借马克思主义实际与形式吸纳及“二次剥削”概念，以塞内加尔与加纳殖民出口作物为例，揭示殖民殖产与当代气候脆弱性不均的联系。</w:t>
      </w:r>
    </w:p>
    <w:p>
      <w:r>
        <w:rPr>
          <w:rFonts w:ascii="Times New Roman" w:hAnsi="Times New Roman" w:eastAsia="宋体"/>
          <w:b w:val="0"/>
          <w:i w:val="0"/>
          <w:sz w:val="20"/>
        </w:rPr>
        <w:t>This article draws on Marxian debates about exploitation in order to examine the colonial roots of uneven exposure to climate crisis. While the colonial origins of the climate crisis and of uneven exposure to climate risks are increasingly widely acknowledged, the connections between colonial histories and the uneven and variegated form and distribution of climate vulnerability within colonised territories have remained relatively underexamined. The article argues for a set of conceptual tools, drawing particularly on Marxian perspectives on real and formal subsumption and debates about ‘secondary exploitation’, useful for unpicking these historical processes. This argument is illustrated with brief explorations of the connections between key colonial export crops and climate vulnerability in Senegal and Ghana. These discussions show how the characteristic forms of exploitation that emerged in the context of colonial capitalism in these contexts are linked to the particular form and uneven distribution of climate hazards in the present.</w:t>
      </w:r>
    </w:p>
    <w:p/>
    <w:p>
      <w:r>
        <w:rPr>
          <w:rFonts w:ascii="Times New Roman" w:hAnsi="Times New Roman" w:eastAsia="黑体"/>
          <w:b/>
          <w:i w:val="0"/>
          <w:sz w:val="24"/>
        </w:rPr>
        <w:t>转型国家：一种政治经济学路径</w:t>
      </w:r>
    </w:p>
    <w:p>
      <w:r>
        <w:rPr>
          <w:rFonts w:ascii="Times New Roman" w:hAnsi="Times New Roman" w:eastAsia="宋体"/>
          <w:b w:val="0"/>
          <w:i/>
          <w:color w:val="404040"/>
          <w:sz w:val="20"/>
        </w:rPr>
        <w:t>States of transition: a political economy approach</w:t>
      </w:r>
    </w:p>
    <w:p>
      <w:r>
        <w:rPr>
          <w:rFonts w:ascii="Times New Roman" w:hAnsi="Times New Roman" w:eastAsia="宋体"/>
          <w:b w:val="0"/>
          <w:i w:val="0"/>
          <w:color w:val="595959"/>
          <w:sz w:val="18"/>
        </w:rPr>
        <w:t>Peter Newell（University of Sussex）</w:t>
      </w:r>
    </w:p>
    <w:p>
      <w:r>
        <w:rPr>
          <w:rFonts w:ascii="Times New Roman" w:hAnsi="Times New Roman" w:eastAsia="宋体"/>
          <w:b w:val="0"/>
          <w:i w:val="0"/>
          <w:sz w:val="22"/>
        </w:rPr>
        <w:t>摘要：【摘译】作者主张超越治理视角与“环境国家/绿色国家”框架，更全面分析国家在可持续转型中同时承担、相互竞争的多重角色。</w:t>
      </w:r>
    </w:p>
    <w:p>
      <w:r>
        <w:rPr>
          <w:rFonts w:ascii="Times New Roman" w:hAnsi="Times New Roman" w:eastAsia="宋体"/>
          <w:b w:val="0"/>
          <w:i w:val="0"/>
          <w:sz w:val="20"/>
        </w:rPr>
        <w:t>The role of the state in transitions towards a more sustainable society is receiving increasing academic and policy attention. Despite this, the focus often starts (and frequently) ends with the governance of transitions where the state is merely one actor among many and the tensions and contradictions between the range of roles it simultaneously performs are often under-analysed. Given the centrality of states to the sorts of socio-technical transitions and deeper transformations required to live safely within planetary boundaries, this article makes the case for a richer and more rounded account of the multiple and often competing roles that states perform that goes beyond both narrower questions of governance and a predominant focus either on the ‘environmental state’ or the normative basis of a ‘green state’. Building on key strands of critical scholarship in political economy it highlights, in particular, the analytically interconnected dimensions of multiplicity, relationality and global and historical differentiation as being central to understanding the roles states currently play in sustainability transitions and to providing an analytical grounding for assessing the prospects of them playing more transformational and progressive roles.</w:t>
      </w:r>
    </w:p>
    <w:p/>
    <w:p>
      <w:r>
        <w:rPr>
          <w:rFonts w:ascii="Times New Roman" w:hAnsi="Times New Roman" w:eastAsia="黑体"/>
          <w:b/>
          <w:i w:val="0"/>
          <w:sz w:val="24"/>
        </w:rPr>
        <w:t>为人类解放复兴政治经济学：阿马蒂亚·森与剑桥社会本体论</w:t>
      </w:r>
    </w:p>
    <w:p>
      <w:r>
        <w:rPr>
          <w:rFonts w:ascii="Times New Roman" w:hAnsi="Times New Roman" w:eastAsia="宋体"/>
          <w:b w:val="0"/>
          <w:i/>
          <w:color w:val="404040"/>
          <w:sz w:val="20"/>
        </w:rPr>
        <w:t>Reviving political economy in pursuit of human emancipation: the case of Amartya Sen and Cambridge Social Ontology</w:t>
      </w:r>
    </w:p>
    <w:p>
      <w:r>
        <w:rPr>
          <w:rFonts w:ascii="Times New Roman" w:hAnsi="Times New Roman" w:eastAsia="宋体"/>
          <w:b w:val="0"/>
          <w:i w:val="0"/>
          <w:color w:val="595959"/>
          <w:sz w:val="18"/>
        </w:rPr>
        <w:t>Andonis Ragusis（University of Cambridge, Girton College; Centre for Business Research）</w:t>
      </w:r>
    </w:p>
    <w:p>
      <w:r>
        <w:rPr>
          <w:rFonts w:ascii="Times New Roman" w:hAnsi="Times New Roman" w:eastAsia="宋体"/>
          <w:b w:val="0"/>
          <w:i w:val="0"/>
          <w:sz w:val="22"/>
        </w:rPr>
        <w:t>摘要：【摘译】比较阿马蒂亚·森与剑桥社会本体论两种复兴政治经济学以追求人类解放的路径及其本体论差异。</w:t>
      </w:r>
    </w:p>
    <w:p>
      <w:r>
        <w:rPr>
          <w:rFonts w:ascii="Times New Roman" w:hAnsi="Times New Roman" w:eastAsia="宋体"/>
          <w:b w:val="0"/>
          <w:i w:val="0"/>
          <w:sz w:val="20"/>
        </w:rPr>
        <w:t>This paper compares the approaches of Amartya Sen and Cambridge Social Ontology (CSO) as two perspectives that, while following different trajectories, seek to revive political economy in pursuit of human emancipation within a broader Cambridge tradition. It examines the consequences of their divergent ontological orientations for their understanding of human flourishing and the strategies to achieve it. Sen, noted for his contributions to Social Choice Theory and the Capability Approach, integrates ethical insights into economic theory but remains reluctant to engage explicitly with ontology. In contrast, CSO, led by Tony Lawson, seeks to revive political economy as a comprehensive social science by advocating an ontological turn in economics. CSO rejects the indiscriminate reliance on mathematical-deductivist methods and advances theories such as Social Positioning Theory and Critical Ethical Naturalism, which conceptualise the social realm as an open normative order. Sen’s work is shown to be shaped by analytical inconsistencies and embedded liberalism, which constrain its ability to address structural issues and drive transformative change. Meanwhile, CSO’s concepts—such as eudaimonic bubbles and communities of care—are explored as a potential alternative framework for analysing flourishing communities and enquiring into emancipatory strategies.</w:t>
      </w:r>
    </w:p>
    <w:p/>
    <w:p>
      <w:r>
        <w:rPr>
          <w:rFonts w:ascii="Times New Roman" w:hAnsi="Times New Roman" w:eastAsia="黑体"/>
          <w:b/>
          <w:i w:val="0"/>
          <w:sz w:val="24"/>
        </w:rPr>
        <w:t>中国对委内瑞拉发展的影响：结构性停滞的动态</w:t>
      </w:r>
    </w:p>
    <w:p>
      <w:r>
        <w:rPr>
          <w:rFonts w:ascii="Times New Roman" w:hAnsi="Times New Roman" w:eastAsia="宋体"/>
          <w:b w:val="0"/>
          <w:i/>
          <w:color w:val="404040"/>
          <w:sz w:val="20"/>
        </w:rPr>
        <w:t>Chinese impact on development in Venezuela: the dynamics of structural stagnation</w:t>
      </w:r>
    </w:p>
    <w:p>
      <w:r>
        <w:rPr>
          <w:rFonts w:ascii="Times New Roman" w:hAnsi="Times New Roman" w:eastAsia="宋体"/>
          <w:b w:val="0"/>
          <w:i w:val="0"/>
          <w:color w:val="595959"/>
          <w:sz w:val="18"/>
        </w:rPr>
        <w:t>Benedicte Bull（University of Oslo）；Antulio Rosales（York University）</w:t>
      </w:r>
    </w:p>
    <w:p>
      <w:r>
        <w:rPr>
          <w:rFonts w:ascii="Times New Roman" w:hAnsi="Times New Roman" w:eastAsia="宋体"/>
          <w:b w:val="0"/>
          <w:i w:val="0"/>
          <w:sz w:val="22"/>
        </w:rPr>
        <w:t>摘要：本文追踪2001—2023年中国参与对委内瑞拉发展的影响。基于经典发展理论，作者评估这一关系如何影响发展的三个关键条件：工业化、经济多元化与制度强度，并分三阶段讨论中国参与的影响：2006—2016年双边投资基金活跃期；2016—2023年以美国制裁与委内瑞拉经济崩溃为特征的时期；2023年起以经济特区重新激活委内瑞拉私营部门为标志的第三阶段。作者认为，尽管中国强调其在全球南方的参与以发展为优先，但在委内瑞拉实际上促成了相反结果：关系早期加深了石油依赖……（后续阶段亦未改变结构性停滞）。</w:t>
      </w:r>
    </w:p>
    <w:p>
      <w:r>
        <w:rPr>
          <w:rFonts w:ascii="Times New Roman" w:hAnsi="Times New Roman" w:eastAsia="宋体"/>
          <w:b w:val="0"/>
          <w:i w:val="0"/>
          <w:sz w:val="20"/>
        </w:rPr>
        <w:t>This article traces the impact of China’s engagement on development in Venezuela from 2001 to 2023. We build on long-established theories of development and evaluate how the relationship has influenced three conditions crucial for development: industrialisation, economic diversification, and institutional strength. We discuss the impact of Chinese engagement in three phases: the first phase runs from 2006 to 2016, when bilateral investment funds were active; the second phase, from 2016 to 2023, is characterised by the sanctions imposed by the U.S. and Venezuela’s economic collapse. The third phase begins in 2023, marked by an attempt to reactivate the Venezuelan private sector through Special Economic Zones (SEZs). We argue that while China has emphasised its engagement in the Global South as one that prioritises development, in Venezuela, it has, in fact, contributed to the opposite. Earlier in the relationship, oil dependency deepened, and the governance of the binational development funds lacked accountability and oversight, producing feedback loops that countered diversification and weakened institutions. In recent times, the relationship has turned into a more traditional dynamic of dependency: Venezuela receives limited investments for low-productivity jobs and serves as a market for consumer products while exporting commodities, resulting in a structural stagnation.</w:t>
      </w:r>
    </w:p>
    <w:p/>
    <w:p>
      <w:r>
        <w:rPr>
          <w:rFonts w:ascii="Times New Roman" w:hAnsi="Times New Roman" w:eastAsia="黑体"/>
          <w:b/>
          <w:i w:val="0"/>
          <w:sz w:val="24"/>
        </w:rPr>
        <w:t>探索资本利得经济：以英国为例</w:t>
      </w:r>
    </w:p>
    <w:p>
      <w:r>
        <w:rPr>
          <w:rFonts w:ascii="Times New Roman" w:hAnsi="Times New Roman" w:eastAsia="宋体"/>
          <w:b w:val="0"/>
          <w:i/>
          <w:color w:val="404040"/>
          <w:sz w:val="20"/>
        </w:rPr>
        <w:t>Exploring the capital gains economy: the case of the UK</w:t>
      </w:r>
    </w:p>
    <w:p>
      <w:r>
        <w:rPr>
          <w:rFonts w:ascii="Times New Roman" w:hAnsi="Times New Roman" w:eastAsia="宋体"/>
          <w:b w:val="0"/>
          <w:i w:val="0"/>
          <w:color w:val="595959"/>
          <w:sz w:val="18"/>
        </w:rPr>
        <w:t>Dirk Bezemer（University of Groningen）；Michael Hudson（University of Missouri）；Howard Reed（Education and Community Wellbeing, University of Northumbria, Newcastle）</w:t>
      </w:r>
    </w:p>
    <w:p>
      <w:r>
        <w:rPr>
          <w:rFonts w:ascii="Times New Roman" w:hAnsi="Times New Roman" w:eastAsia="宋体"/>
          <w:b w:val="0"/>
          <w:i w:val="0"/>
          <w:sz w:val="22"/>
        </w:rPr>
        <w:t>摘要：【摘译】作者提出“资本利得经济”框架，显示1995—2020年英国每产生1英镑增加值所需负债从4英镑升至7.5英镑，房价涨四倍、金融资产估值涨五倍。</w:t>
      </w:r>
    </w:p>
    <w:p>
      <w:r>
        <w:rPr>
          <w:rFonts w:ascii="Times New Roman" w:hAnsi="Times New Roman" w:eastAsia="宋体"/>
          <w:b w:val="0"/>
          <w:i w:val="0"/>
          <w:sz w:val="20"/>
        </w:rPr>
        <w:t>Much wealth is not the accumulation of saved incomes, but capital gains spurred by debt growth. The difference is widely neglected, yet central to our understanding of the sources of wealth and the functioning of contemporary capitalism. This paper connects to the literatures on financialisation, rents and critical macrofinance to make three contributions. A conceptual framework of the capital gains economy is developed, contrasting it to the conventional System of National Accounts. The framework is applied in an empirical analysis of the UK over 1995-2020. The UK economy changed from needing four Pound Sterling in liabilities to needing 7.5 Pound Sterling in liabilities to produce one Pound Sterling in value added. Earned incomes doubled but house prices quadrupled and the valuation of financial assets rose fivefold. Third, empirical proxies for macrofinancial capital gains and for the sustainability of the attendant growth in liabilities are suggested.</w:t>
      </w:r>
    </w:p>
    <w:p/>
    <w:p>
      <w:r>
        <w:rPr>
          <w:rFonts w:ascii="Times New Roman" w:hAnsi="Times New Roman" w:eastAsia="黑体"/>
          <w:b/>
          <w:i w:val="0"/>
          <w:sz w:val="24"/>
        </w:rPr>
        <w:t>政党俘获国家与民主倒退：波兰国有企业案例</w:t>
      </w:r>
    </w:p>
    <w:p>
      <w:r>
        <w:rPr>
          <w:rFonts w:ascii="Times New Roman" w:hAnsi="Times New Roman" w:eastAsia="宋体"/>
          <w:b w:val="0"/>
          <w:i/>
          <w:color w:val="404040"/>
          <w:sz w:val="20"/>
        </w:rPr>
        <w:t>Party state capture and democratic backsliding. The case of state-owned enterprises in Poland</w:t>
      </w:r>
    </w:p>
    <w:p>
      <w:r>
        <w:rPr>
          <w:rFonts w:ascii="Times New Roman" w:hAnsi="Times New Roman" w:eastAsia="宋体"/>
          <w:b w:val="0"/>
          <w:i w:val="0"/>
          <w:color w:val="595959"/>
          <w:sz w:val="18"/>
        </w:rPr>
        <w:t>Stefan Sękowski（Maria Curie-Skłodowska University）</w:t>
      </w:r>
    </w:p>
    <w:p>
      <w:r>
        <w:rPr>
          <w:rFonts w:ascii="Times New Roman" w:hAnsi="Times New Roman" w:eastAsia="宋体"/>
          <w:b w:val="0"/>
          <w:i w:val="0"/>
          <w:sz w:val="22"/>
        </w:rPr>
        <w:t>摘要：【摘译】对20位波兰国企高管与董事的深度访谈显示，2015—2021年波兰国企遭政党俘获，成为权力再生产工具。</w:t>
      </w:r>
    </w:p>
    <w:p>
      <w:r>
        <w:rPr>
          <w:rFonts w:ascii="Times New Roman" w:hAnsi="Times New Roman" w:eastAsia="宋体"/>
          <w:b w:val="0"/>
          <w:i w:val="0"/>
          <w:sz w:val="20"/>
        </w:rPr>
        <w:t>Democratic backsliding leads to party state capture, which is particularly evident in the case of some Central and Eastern European countries. State-owned enterprises are a public resource that politicians are eager to capture. However, there is a lack of explanation as to how this phenomenon manifests in practice and what processes lead to it. This article investigates whether and how these processes occur using the case of Poland as the biggest country of the European Union in which democratic backsliding occurred after 2015. By conducting in-depth interviews with 20 CEOs, as well as management and supervisory board members of Polish SOEs, I explore whether – and if so, how – state-owned enterprises were used by politicians as a tool for the reproduction of power during this period. The research found that in the years 2015–21, SOEs were subject to party state capture. I conclude that the reasons for this were: the weakening of the rule of law, the decentralisation of the ownership model, the liberalisation of the requirements for persons employed in the management and supervisory boards of SOEs, the electoral system, and the system of management of the ruling party and the state by its leader.</w:t>
      </w:r>
    </w:p>
    <w:p/>
    <w:p>
      <w:r>
        <w:rPr>
          <w:rFonts w:ascii="Times New Roman" w:hAnsi="Times New Roman" w:eastAsia="宋体"/>
          <w:b/>
          <w:i w:val="0"/>
          <w:sz w:val="22"/>
        </w:rPr>
        <w:t>NPE： Vol. 30, No. 6, 2025</w:t>
      </w:r>
    </w:p>
    <w:p/>
    <w:p>
      <w:r>
        <w:rPr>
          <w:rFonts w:ascii="Times New Roman" w:hAnsi="Times New Roman" w:eastAsia="黑体"/>
          <w:b/>
          <w:i w:val="0"/>
          <w:sz w:val="24"/>
        </w:rPr>
        <w:t>终究没那么不同？德国与英国家庭对金融化的态度</w:t>
      </w:r>
    </w:p>
    <w:p>
      <w:r>
        <w:rPr>
          <w:rFonts w:ascii="Times New Roman" w:hAnsi="Times New Roman" w:eastAsia="宋体"/>
          <w:b w:val="0"/>
          <w:i/>
          <w:color w:val="404040"/>
          <w:sz w:val="20"/>
        </w:rPr>
        <w:t>Not so different after all? household attitudes toward financialisation in Germany and the United Kingdom</w:t>
      </w:r>
    </w:p>
    <w:p>
      <w:r>
        <w:rPr>
          <w:rFonts w:ascii="Times New Roman" w:hAnsi="Times New Roman" w:eastAsia="宋体"/>
          <w:b w:val="0"/>
          <w:i w:val="0"/>
          <w:color w:val="595959"/>
          <w:sz w:val="18"/>
        </w:rPr>
        <w:t>Alexander Reisenbichler（University of Toronto）；Pascal D. Koenig（Vrije Universiteit Amsterdam）</w:t>
      </w:r>
    </w:p>
    <w:p>
      <w:r>
        <w:rPr>
          <w:rFonts w:ascii="Times New Roman" w:hAnsi="Times New Roman" w:eastAsia="宋体"/>
          <w:b w:val="0"/>
          <w:i w:val="0"/>
          <w:sz w:val="22"/>
        </w:rPr>
        <w:t>摘要：【摘译】德英定制调查构建“信用金融化指数”，发现两国家庭态度几乎无差异，借贷行为差异源于制度情境而非文化或态度。</w:t>
      </w:r>
    </w:p>
    <w:p>
      <w:r>
        <w:rPr>
          <w:rFonts w:ascii="Times New Roman" w:hAnsi="Times New Roman" w:eastAsia="宋体"/>
          <w:b w:val="0"/>
          <w:i w:val="0"/>
          <w:sz w:val="20"/>
        </w:rPr>
        <w:t>How do households perceive financialisation? While existing scholarship on household financialisation has investigated financialised household behaviour across advanced economies, this article investigates households’ attitudes toward financialisation. Using a custom survey conducted in Germany and the United Kingdom, we created a ‘credit financialisation index’ based on respondents’ attitudes toward credit-financed spending and the strategic use of assets. Our comparison reveals that there are virtually no differences in such attitudes between German and British households, even though British households tend to borrow much more than German households. Our findings suggest that both countries’ differences in borrowing behaviour are likely the product of both countries’ distinct institutional contexts, such as different credit and welfare regimes, rather than culture or attitudes. The study makes both conceptual and empirical contributions to the scholarship on financialisation in advanced economies.</w:t>
      </w:r>
    </w:p>
    <w:p/>
    <w:p>
      <w:r>
        <w:rPr>
          <w:rFonts w:ascii="Times New Roman" w:hAnsi="Times New Roman" w:eastAsia="黑体"/>
          <w:b/>
          <w:i w:val="0"/>
          <w:sz w:val="24"/>
        </w:rPr>
        <w:t>权力精英有多技术官僚化？丹麦权力精英混合方法研究的新路径与证据</w:t>
      </w:r>
    </w:p>
    <w:p>
      <w:r>
        <w:rPr>
          <w:rFonts w:ascii="Times New Roman" w:hAnsi="Times New Roman" w:eastAsia="宋体"/>
          <w:b w:val="0"/>
          <w:i/>
          <w:color w:val="404040"/>
          <w:sz w:val="20"/>
        </w:rPr>
        <w:t>How technocratic is the power elite? A new approach and evidence from a mixed-method study of the Danish power elite</w:t>
      </w:r>
    </w:p>
    <w:p>
      <w:r>
        <w:rPr>
          <w:rFonts w:ascii="Times New Roman" w:hAnsi="Times New Roman" w:eastAsia="宋体"/>
          <w:b w:val="0"/>
          <w:i w:val="0"/>
          <w:color w:val="595959"/>
          <w:sz w:val="18"/>
        </w:rPr>
        <w:t>Anders Esmark（University of Copenhagen）；Christoph H. Ellersgaard（Copenhagen Business School）；Anton G. Larsen（Roskilde University）</w:t>
      </w:r>
    </w:p>
    <w:p>
      <w:r>
        <w:rPr>
          <w:rFonts w:ascii="Times New Roman" w:hAnsi="Times New Roman" w:eastAsia="宋体"/>
          <w:b w:val="0"/>
          <w:i w:val="0"/>
          <w:sz w:val="22"/>
        </w:rPr>
        <w:t>摘要：【摘译】基于丹麦423名权力精英传记与关系数据及30次访谈，作者发现约半数符合技术官僚职业身份，存在显著部门差异。</w:t>
      </w:r>
    </w:p>
    <w:p>
      <w:r>
        <w:rPr>
          <w:rFonts w:ascii="Times New Roman" w:hAnsi="Times New Roman" w:eastAsia="宋体"/>
          <w:b w:val="0"/>
          <w:i w:val="0"/>
          <w:sz w:val="20"/>
        </w:rPr>
        <w:t>Claims about the ‘rise of the technocrats’ have a long history and have recently gained new attention in the context of debates on economic policy, neoliberalism and the mounting conflict between technocracy and populism. Against this background, we conduct the first comprehensive study of technocratic dominance in a national power elite, based on unique bibliographical and relational data on the 423 individuals in the Danish power elite, as well as in-depth interviews with 30 of its most prominent members. On the level of overall elite composition, half of the Danish power elite is found to match the professional identity of a technocrat, although subject to significant sectoral variation, based on educational background and experience from technocratic career hubs. The qualitative data indicates that professional identity can be linked to technocratic ideology and preferences for depoliticised governance, but also provides evidence of a near-consensus on progressive managerialism, paternalistic elitism and centrist pragmatism, which include members of the power elite not formally trained as technocrats. We suggest that this calls for increased attention to the way in which economic policies and crisis management are shaped by broader technocratic ideology and beliefs, which are part of a mounting conflict with populism.</w:t>
      </w:r>
    </w:p>
    <w:p/>
    <w:p>
      <w:r>
        <w:rPr>
          <w:rFonts w:ascii="Times New Roman" w:hAnsi="Times New Roman" w:eastAsia="黑体"/>
          <w:b/>
          <w:i w:val="0"/>
          <w:sz w:val="24"/>
        </w:rPr>
        <w:t>外国股票投资者对政治有反应吗？来自2012年韩国总统选举的证据</w:t>
      </w:r>
    </w:p>
    <w:p>
      <w:r>
        <w:rPr>
          <w:rFonts w:ascii="Times New Roman" w:hAnsi="Times New Roman" w:eastAsia="宋体"/>
          <w:b w:val="0"/>
          <w:i/>
          <w:color w:val="404040"/>
          <w:sz w:val="20"/>
        </w:rPr>
        <w:t>Are foreign stock investors politically responsive? Evidence from the 2012 South Korean presidential election</w:t>
      </w:r>
    </w:p>
    <w:p>
      <w:r>
        <w:rPr>
          <w:rFonts w:ascii="Times New Roman" w:hAnsi="Times New Roman" w:eastAsia="宋体"/>
          <w:b w:val="0"/>
          <w:i w:val="0"/>
          <w:color w:val="595959"/>
          <w:sz w:val="18"/>
        </w:rPr>
        <w:t>Seungjun Kim（KDI School of Public Policy and Management）</w:t>
      </w:r>
    </w:p>
    <w:p>
      <w:r>
        <w:rPr>
          <w:rFonts w:ascii="Times New Roman" w:hAnsi="Times New Roman" w:eastAsia="宋体"/>
          <w:b w:val="0"/>
          <w:i w:val="0"/>
          <w:sz w:val="22"/>
        </w:rPr>
        <w:t>摘要：【摘译】比较2012年韩国总统选举前后国内外投资者日度持仓，发现国内投资者利用企业政治关联信息调整投资，外国投资者则没有。</w:t>
      </w:r>
    </w:p>
    <w:p>
      <w:r>
        <w:rPr>
          <w:rFonts w:ascii="Times New Roman" w:hAnsi="Times New Roman" w:eastAsia="宋体"/>
          <w:b w:val="0"/>
          <w:i w:val="0"/>
          <w:sz w:val="20"/>
        </w:rPr>
        <w:t>I demonstrate how knowledge of firms’ political connections can explain differences in the investment patterns of domestic and foreign stock investors. Previous studies often assume that foreign investors are well-informed politically and react swiftly to domestic political events. I evaluate this claim by comparing the daily stock portfolios of domestic and foreign investors during the unpredictable 2012 presidential election in South Korea. I show that after the somewhat surprising election result, domestic stock investors employed information about firms’ political connections to adjust their investments, while foreign stock investors did not. This finding refines the image of foreign investors and highlights that their understanding of the domestic political landscape in the places in which they invest may not be exhaustive.</w:t>
      </w:r>
    </w:p>
    <w:p/>
    <w:p>
      <w:r>
        <w:rPr>
          <w:rFonts w:ascii="Times New Roman" w:hAnsi="Times New Roman" w:eastAsia="黑体"/>
          <w:b/>
          <w:i w:val="0"/>
          <w:sz w:val="24"/>
        </w:rPr>
        <w:t>从依附发展视角思考“照护”：拉丁美洲案例</w:t>
      </w:r>
    </w:p>
    <w:p>
      <w:r>
        <w:rPr>
          <w:rFonts w:ascii="Times New Roman" w:hAnsi="Times New Roman" w:eastAsia="宋体"/>
          <w:b w:val="0"/>
          <w:i/>
          <w:color w:val="404040"/>
          <w:sz w:val="20"/>
        </w:rPr>
        <w:t>Thinking ‘care’ from a dependent development perspective: the Latin America case</w:t>
      </w:r>
    </w:p>
    <w:p>
      <w:r>
        <w:rPr>
          <w:rFonts w:ascii="Times New Roman" w:hAnsi="Times New Roman" w:eastAsia="宋体"/>
          <w:b w:val="0"/>
          <w:i w:val="0"/>
          <w:color w:val="595959"/>
          <w:sz w:val="18"/>
        </w:rPr>
        <w:t>Belén Villegas Plá（University of York）</w:t>
      </w:r>
    </w:p>
    <w:p>
      <w:r>
        <w:rPr>
          <w:rFonts w:ascii="Times New Roman" w:hAnsi="Times New Roman" w:eastAsia="宋体"/>
          <w:b w:val="0"/>
          <w:i w:val="0"/>
          <w:sz w:val="22"/>
        </w:rPr>
        <w:t>摘要：【摘译】作者认为照护议程脱离不平等与依附发展理论；“照护”嵌于全球不对称之中，外围国家面临的障碍无法仅靠地方“良好政策实践”解决。</w:t>
      </w:r>
    </w:p>
    <w:p>
      <w:r>
        <w:rPr>
          <w:rFonts w:ascii="Times New Roman" w:hAnsi="Times New Roman" w:eastAsia="宋体"/>
          <w:b w:val="0"/>
          <w:i w:val="0"/>
          <w:sz w:val="20"/>
        </w:rPr>
        <w:t>Since the pandemic, the ‘care agenda’ has gained increasing prominence on the global public and political agenda. Yet, the literature on the topic has remained largely detached from theories of unequal and dependent development, without addressing how global hierarchies shape the ‘politics of care’ differentially in centres and peripheries. In doing so, debates about care become detached from the structural relations that shape them. Accordingly, literature on the subject highlighted that, with the ‘right policies’, all countries could achieve a fairer and more sustainable organisation of care work. Instead, I argue that ‘care’ is constructed as part of processes subject to global asymmetries and therefore face obstacles that are not merely reducible to the ‘local’ sphere or resolved by applying ‘good policy practices’.</w:t>
      </w:r>
    </w:p>
    <w:p/>
    <w:p>
      <w:r>
        <w:rPr>
          <w:rFonts w:ascii="Times New Roman" w:hAnsi="Times New Roman" w:eastAsia="黑体"/>
          <w:b/>
          <w:i w:val="0"/>
          <w:sz w:val="24"/>
        </w:rPr>
        <w:t>城市金融化中的权力动态与空间性：中国地方政府债券的金融中介</w:t>
      </w:r>
    </w:p>
    <w:p>
      <w:r>
        <w:rPr>
          <w:rFonts w:ascii="Times New Roman" w:hAnsi="Times New Roman" w:eastAsia="宋体"/>
          <w:b w:val="0"/>
          <w:i/>
          <w:color w:val="404040"/>
          <w:sz w:val="20"/>
        </w:rPr>
        <w:t>Power dynamics and spatiality in the financialisation of the city: financial intermediation in local government bonds in China</w:t>
      </w:r>
    </w:p>
    <w:p>
      <w:r>
        <w:rPr>
          <w:rFonts w:ascii="Times New Roman" w:hAnsi="Times New Roman" w:eastAsia="宋体"/>
          <w:b w:val="0"/>
          <w:i w:val="0"/>
          <w:color w:val="595959"/>
          <w:sz w:val="18"/>
        </w:rPr>
        <w:t>Zhenfa Li（University College London, Central House）；Fulong Wu（University College London, Central House）；Fangzhu Zhang（University College London, Central House）</w:t>
      </w:r>
    </w:p>
    <w:p>
      <w:r>
        <w:rPr>
          <w:rFonts w:ascii="Times New Roman" w:hAnsi="Times New Roman" w:eastAsia="宋体"/>
          <w:b w:val="0"/>
          <w:i w:val="0"/>
          <w:sz w:val="22"/>
        </w:rPr>
        <w:t>摘要：本文研究中国地方政府债券中的金融中介，以理解权力动态与空间性，引入行动者网络理论框架增进对城市金融化的情境理解。研究发现，作为资产管理者的中国地方政府组建行动者网络开展金融中介，其权力超过中央政府和其他金融中介；地方政府有时编造基础设施项目数据为不合格项目融资，破坏中央控制金融风险的目标；在地方政府影响下，其他金融中介为讨好地方政府、保住业务而对不合格项目作出过度乐观的评估，并相信政府不会违约。</w:t>
      </w:r>
    </w:p>
    <w:p>
      <w:r>
        <w:rPr>
          <w:rFonts w:ascii="Times New Roman" w:hAnsi="Times New Roman" w:eastAsia="宋体"/>
          <w:b w:val="0"/>
          <w:i w:val="0"/>
          <w:sz w:val="20"/>
        </w:rPr>
        <w:t>This paper investigates financial intermediation in local government bonds (LGBs) in China to understand power dynamics and spatiality. It introduces actor-network theory (ANT) as a framework for enhancing the understanding situated in the financialisation of the city. The paper finds that the Chinese local government, as an asset manager, formed an actor-network to conduct financial intermediation. It wielded more power than the central government and other financial intermediaries. It sometimes fabricated data on infrastructure projects to finance unqualified projects, undermining the central government’s objective of containing financial risk. Under the influence of the local government, other financial intermediaries provided overly optimistic assessments of unqualified projects to impress the local government and preserve their jobs. They also believed the government would not default on LGBs. Power spatiality was shaped by how the local government engaged other financial intermediaries and the geography of financial intermediaries that pre-existed the actor-network. Power and its spatiality were constructed within the actor-network and influenced by the political economy context in which the actor-network was situated.</w:t>
      </w:r>
    </w:p>
    <w:p/>
    <w:p>
      <w:r>
        <w:rPr>
          <w:rFonts w:ascii="Times New Roman" w:hAnsi="Times New Roman" w:eastAsia="黑体"/>
          <w:b/>
          <w:i w:val="0"/>
          <w:sz w:val="24"/>
        </w:rPr>
        <w:t>技术创新未来与国家能动主义：塑造英国的经济方略</w:t>
      </w:r>
    </w:p>
    <w:p>
      <w:r>
        <w:rPr>
          <w:rFonts w:ascii="Times New Roman" w:hAnsi="Times New Roman" w:eastAsia="宋体"/>
          <w:b w:val="0"/>
          <w:i/>
          <w:color w:val="404040"/>
          <w:sz w:val="20"/>
        </w:rPr>
        <w:t>Technovation futures and state activism: configuring the United Kingdom’s economic statecraft</w:t>
      </w:r>
    </w:p>
    <w:p>
      <w:r>
        <w:rPr>
          <w:rFonts w:ascii="Times New Roman" w:hAnsi="Times New Roman" w:eastAsia="宋体"/>
          <w:b w:val="0"/>
          <w:i w:val="0"/>
          <w:color w:val="595959"/>
          <w:sz w:val="18"/>
        </w:rPr>
        <w:t>George Salter（University College London）</w:t>
      </w:r>
    </w:p>
    <w:p>
      <w:r>
        <w:rPr>
          <w:rFonts w:ascii="Times New Roman" w:hAnsi="Times New Roman" w:eastAsia="宋体"/>
          <w:b w:val="0"/>
          <w:i w:val="0"/>
          <w:sz w:val="22"/>
        </w:rPr>
        <w:t>摘要：【摘译】作者分析英国精英如何以“科技超级大国”话语建构并正当化国家对技术创新的兴趣，结合国家身份形成理论与科技研究。</w:t>
      </w:r>
    </w:p>
    <w:p>
      <w:r>
        <w:rPr>
          <w:rFonts w:ascii="Times New Roman" w:hAnsi="Times New Roman" w:eastAsia="宋体"/>
          <w:b w:val="0"/>
          <w:i w:val="0"/>
          <w:sz w:val="20"/>
        </w:rPr>
        <w:t>Recent work in International Political Economy has advanced the idea of a ‘new economic statecraft’. This engages with the activism of states in high-technology sectors when deliberately performed in the context of geoeconomic and/or geopolitical imperatives. In the United Kingdom (UK) a wave of elite interest has attempted to invigorate a political agenda around the potentialities of technological innovation (technovation). A prominent trope reproduced throughout elite texts represented the UK as a ‘Science and Technology Superpower’ and linked technovation to the state’s future. We analyse how elites discursively configured and legitimated UK state interest in technovation. We make two interrelated arguments drawing on an interdisciplinary analytical framework which combines post-structural theories of state identity formation and Science and Technology Studies (STS) scholarship. Firstly, the UK state’s technovation ambitions were galvanised by a fused discursive configuration depicting a competitive global landscape of geoeconomic and geopolitical competition for technologies of the future. Secondly, the demand to innovate was further underwritten by three discursive scripts: a global hierarchy of technovation states, the teleological nature of this quest for the UK, and the state’s agency in realising its objectives. We query the future of these ambitions by interrogating instabilities in elite discourse.</w:t>
      </w:r>
    </w:p>
    <w:p/>
    <w:p>
      <w:r>
        <w:rPr>
          <w:rFonts w:ascii="Times New Roman" w:hAnsi="Times New Roman" w:eastAsia="黑体"/>
          <w:b/>
          <w:i w:val="0"/>
          <w:sz w:val="24"/>
        </w:rPr>
        <w:t>绿色产业政策的进步主义框架</w:t>
      </w:r>
    </w:p>
    <w:p>
      <w:r>
        <w:rPr>
          <w:rFonts w:ascii="Times New Roman" w:hAnsi="Times New Roman" w:eastAsia="宋体"/>
          <w:b w:val="0"/>
          <w:i/>
          <w:color w:val="404040"/>
          <w:sz w:val="20"/>
        </w:rPr>
        <w:t>A progressive framework for green industrial policy</w:t>
      </w:r>
    </w:p>
    <w:p>
      <w:r>
        <w:rPr>
          <w:rFonts w:ascii="Times New Roman" w:hAnsi="Times New Roman" w:eastAsia="宋体"/>
          <w:b w:val="0"/>
          <w:i w:val="0"/>
          <w:color w:val="595959"/>
          <w:sz w:val="18"/>
        </w:rPr>
        <w:t>Jostein Hauge（University of Cambridge）；Jason Hickel（Autonomous University of Barcelona; ICREA）</w:t>
      </w:r>
    </w:p>
    <w:p>
      <w:r>
        <w:rPr>
          <w:rFonts w:ascii="Times New Roman" w:hAnsi="Times New Roman" w:eastAsia="宋体"/>
          <w:b w:val="0"/>
          <w:i w:val="0"/>
          <w:sz w:val="22"/>
        </w:rPr>
        <w:t>摘要：【摘译】作者结合生态经济学与后增长文献提出绿色产业政策进步框架三支柱：缩减有害产业、以公共利益组织生产、迈向全球生态正义并为南方发展留出空间。</w:t>
      </w:r>
    </w:p>
    <w:p>
      <w:r>
        <w:rPr>
          <w:rFonts w:ascii="Times New Roman" w:hAnsi="Times New Roman" w:eastAsia="宋体"/>
          <w:b w:val="0"/>
          <w:i w:val="0"/>
          <w:sz w:val="20"/>
        </w:rPr>
        <w:t>In the age of ecological breakdown, there is a growing need for ‘green’ industrial policy. However, existing frameworks for green industrial policy fail to address unsustainable growth in energy and resource use in high-income economies. In this sense, they are not adequate to achieve core ecological objectives. This paper fills a gap in the literature by offering a progressive framework for green industrial policy that combines traditional green industrial policy perspectives with insights from ecological economics and literature on post-growth and degrowth. The framework has three key pillars: (1) scale down ecologically harmful industries and sectors to directly reduce energy and resource use; (2) organise production more around public benefit, with greater democratic control and guidance over investment and production; and (3) work towards global ecological justice and enable greater ‘ecological policy space’ for the global South to pursue industrial development. The paper argues that this progressive approach to green industrial policy is necessary due to the scale and urgency of the ecological crisis. The framework shows how productive capacity can be liberated and redirected towards more socially and environmentally beneficial ends, while also democratising control over the economy.</w:t>
      </w:r>
    </w:p>
    <w:p/>
    <w:p>
      <w:r>
        <w:rPr>
          <w:rFonts w:ascii="Times New Roman" w:hAnsi="Times New Roman" w:eastAsia="黑体"/>
          <w:b/>
          <w:i w:val="0"/>
          <w:sz w:val="24"/>
        </w:rPr>
        <w:t>人类发展经济学、新（旧）“女巫”与社会再生产的治理</w:t>
      </w:r>
    </w:p>
    <w:p>
      <w:r>
        <w:rPr>
          <w:rFonts w:ascii="Times New Roman" w:hAnsi="Times New Roman" w:eastAsia="宋体"/>
          <w:b w:val="0"/>
          <w:i/>
          <w:color w:val="404040"/>
          <w:sz w:val="20"/>
        </w:rPr>
        <w:t>The economics of human development, the new (old) ‘witches’, and the government of social reproduction</w:t>
      </w:r>
    </w:p>
    <w:p>
      <w:r>
        <w:rPr>
          <w:rFonts w:ascii="Times New Roman" w:hAnsi="Times New Roman" w:eastAsia="宋体"/>
          <w:b w:val="0"/>
          <w:i w:val="0"/>
          <w:color w:val="595959"/>
          <w:sz w:val="18"/>
        </w:rPr>
        <w:t>Liliana Fernandes（Universidade Católica Portuguesa）</w:t>
      </w:r>
    </w:p>
    <w:p>
      <w:r>
        <w:rPr>
          <w:rFonts w:ascii="Times New Roman" w:hAnsi="Times New Roman" w:eastAsia="宋体"/>
          <w:b w:val="0"/>
          <w:i w:val="0"/>
          <w:sz w:val="22"/>
        </w:rPr>
        <w:t>摘要：【摘译】作者将赫克曼“人类发展经济学”解读为治理社会再生产的工具，认为其将不利归咎于母亲的养育不足，政策旨在使儿童与母亲行为符合资本积累需要。</w:t>
      </w:r>
    </w:p>
    <w:p>
      <w:r>
        <w:rPr>
          <w:rFonts w:ascii="Times New Roman" w:hAnsi="Times New Roman" w:eastAsia="宋体"/>
          <w:b w:val="0"/>
          <w:i w:val="0"/>
          <w:sz w:val="20"/>
        </w:rPr>
        <w:t>This paper argues that the Economics of Human Development, advanced by Chicago School economist James J. Heckman and presented as a strategy for social investment in disadvantaged children, can be interpreted as an instrument for the government of social reproduction. The paper asserts that the Economics of Human Development is mostly concerned with the reproduction of a quality workforce. It further contends that its underlying argument is that disadvantage is the result of inadequate parenting, especially from mothers, who have raised a generation of workers unfit to meet the demands of the market and imposing costs on society. It is also argued that the resulting social policy proposal is intended to conform children’s and mother’s behaviour to the needs of the capitalist accumulation system.</w:t>
      </w:r>
    </w:p>
    <w:p/>
    <w:p>
      <w:r>
        <w:rPr>
          <w:rFonts w:ascii="Times New Roman" w:hAnsi="Times New Roman" w:eastAsia="黑体"/>
          <w:b/>
          <w:i w:val="0"/>
          <w:sz w:val="24"/>
        </w:rPr>
        <w:t>绿色金融规划：通过《巴黎协定》元治理的国家—资本关系</w:t>
      </w:r>
    </w:p>
    <w:p>
      <w:r>
        <w:rPr>
          <w:rFonts w:ascii="Times New Roman" w:hAnsi="Times New Roman" w:eastAsia="宋体"/>
          <w:b w:val="0"/>
          <w:i/>
          <w:color w:val="404040"/>
          <w:sz w:val="20"/>
        </w:rPr>
        <w:t>Green financial planning: a state-capital relationship meta-governed through the Paris agreement</w:t>
      </w:r>
    </w:p>
    <w:p>
      <w:r>
        <w:rPr>
          <w:rFonts w:ascii="Times New Roman" w:hAnsi="Times New Roman" w:eastAsia="宋体"/>
          <w:b w:val="0"/>
          <w:i w:val="0"/>
          <w:color w:val="595959"/>
          <w:sz w:val="18"/>
        </w:rPr>
        <w:t>James Jackson（University of Manchester）；Mathias Larsen（Brown University）</w:t>
      </w:r>
    </w:p>
    <w:p>
      <w:r>
        <w:rPr>
          <w:rFonts w:ascii="Times New Roman" w:hAnsi="Times New Roman" w:eastAsia="宋体"/>
          <w:b w:val="0"/>
          <w:i w:val="0"/>
          <w:sz w:val="22"/>
        </w:rPr>
        <w:t>摘要：【摘译】作者以“作为规划的金融化”视角提出“绿色金融规划”：《巴黎协定》金融义务元治理下的国家—资本关系，结合国家亲自规划与放手市场两种路径。</w:t>
      </w:r>
    </w:p>
    <w:p>
      <w:r>
        <w:rPr>
          <w:rFonts w:ascii="Times New Roman" w:hAnsi="Times New Roman" w:eastAsia="宋体"/>
          <w:b w:val="0"/>
          <w:i w:val="0"/>
          <w:sz w:val="20"/>
        </w:rPr>
        <w:t>The political economy literature has witnessed a proliferation of ‘green’ interpretations of long-standing analytical subjects in recent years. This includes green industrial policy, green macrofinance, green economic planning, green central banking, green developmentalism, the green state, and more. We propose that viewing these subjects through the lens of ‘financialisation as planning’ can tie them together in what we term green financial planning – a state-capital relationship within which the planning of financial affairs is meta-governed through the Paris Agreement’s financial obligations. We show how this entails the combination of two approaches: First, a hands-on approach in which states vertically plan the green transition through a variety of policy tools that steer markets. Second, it entails the state taking a ‘hands-off’ approach to market intervention, leaving financial institutions to horizontally plan their economic affairs to the meta-objective, as they thereby, too, become green financial planners. In this way, the concept of green financial planning allows for the plurality of green subjects to be understood as part of the same state-capital relationship at the heart of the global political economy.</w:t>
      </w:r>
    </w:p>
    <w:p/>
    <w:p>
      <w:r>
        <w:rPr>
          <w:rFonts w:ascii="Times New Roman" w:hAnsi="Times New Roman" w:eastAsia="黑体"/>
          <w:b/>
          <w:i w:val="0"/>
          <w:sz w:val="24"/>
        </w:rPr>
        <w:t>捷克以掠夺性债务规训罗姆工人</w:t>
      </w:r>
    </w:p>
    <w:p>
      <w:r>
        <w:rPr>
          <w:rFonts w:ascii="Times New Roman" w:hAnsi="Times New Roman" w:eastAsia="宋体"/>
          <w:b w:val="0"/>
          <w:i/>
          <w:color w:val="404040"/>
          <w:sz w:val="20"/>
        </w:rPr>
        <w:t>Disciplining of Roma workers through predatory debt in Czechia</w:t>
      </w:r>
    </w:p>
    <w:p>
      <w:r>
        <w:rPr>
          <w:rFonts w:ascii="Times New Roman" w:hAnsi="Times New Roman" w:eastAsia="宋体"/>
          <w:b w:val="0"/>
          <w:i w:val="0"/>
          <w:color w:val="595959"/>
          <w:sz w:val="18"/>
        </w:rPr>
        <w:t>Barbora Černušáková（University of Manchester）</w:t>
      </w:r>
    </w:p>
    <w:p>
      <w:r>
        <w:rPr>
          <w:rFonts w:ascii="Times New Roman" w:hAnsi="Times New Roman" w:eastAsia="宋体"/>
          <w:b w:val="0"/>
          <w:i w:val="0"/>
          <w:sz w:val="22"/>
        </w:rPr>
        <w:t>摘要：【摘译】长期民族志与社会法律分析显示，捷克罗姆工人陷入无力偿还的债务，家庭负债再生产种族化劳动不稳定，并逐渐成为规训整体劳动的机制。</w:t>
      </w:r>
    </w:p>
    <w:p>
      <w:r>
        <w:rPr>
          <w:rFonts w:ascii="Times New Roman" w:hAnsi="Times New Roman" w:eastAsia="宋体"/>
          <w:b w:val="0"/>
          <w:i w:val="0"/>
          <w:sz w:val="20"/>
        </w:rPr>
        <w:t>Looking at the entrapment of Roma workers in unpayable debts in Czechia, this article discusses the relationship between racialisation, predatory debt and labour disciplining. Drawing on long-term ethnographic data and socio-legal analysis, it develops an argument that household indebtedness reproduces racialised labour precarity. With time, the role of unpayable debt in the Czech political economy extended beyond Roma workers as it was converted into a mechanism to discipline labour as a whole. Situating the analysis in the post-socialist context, in a country characterised by high industrial employment, this intervention uses the racial capitalism framework to build an understanding of race and class formations in East Central Europe.</w:t>
      </w:r>
    </w:p>
    <w:p/>
    <w:p>
      <w:r>
        <w:rPr>
          <w:rFonts w:ascii="Times New Roman" w:hAnsi="Times New Roman" w:eastAsia="宋体"/>
          <w:b/>
          <w:i w:val="0"/>
          <w:sz w:val="22"/>
        </w:rPr>
        <w:t>NPE： Vol. 30, No. 5, 2025</w:t>
      </w:r>
    </w:p>
    <w:p/>
    <w:p>
      <w:r>
        <w:rPr>
          <w:rFonts w:ascii="Times New Roman" w:hAnsi="Times New Roman" w:eastAsia="黑体"/>
          <w:b/>
          <w:i w:val="0"/>
          <w:sz w:val="24"/>
        </w:rPr>
        <w:t>导言：中央银行的新政治经济学——不情愿的阿特拉斯？</w:t>
      </w:r>
    </w:p>
    <w:p>
      <w:r>
        <w:rPr>
          <w:rFonts w:ascii="Times New Roman" w:hAnsi="Times New Roman" w:eastAsia="宋体"/>
          <w:b w:val="0"/>
          <w:i/>
          <w:color w:val="404040"/>
          <w:sz w:val="20"/>
        </w:rPr>
        <w:t>Introduction: the new political economy of central banks: reluctant Atlases?</w:t>
      </w:r>
    </w:p>
    <w:p>
      <w:r>
        <w:rPr>
          <w:rFonts w:ascii="Times New Roman" w:hAnsi="Times New Roman" w:eastAsia="宋体"/>
          <w:b w:val="0"/>
          <w:i w:val="0"/>
          <w:color w:val="595959"/>
          <w:sz w:val="18"/>
        </w:rPr>
        <w:t>Lucia Quaglia（University of Bologna）；Amy Verdun（University of Victoria; Leiden University）</w:t>
      </w:r>
    </w:p>
    <w:p>
      <w:r>
        <w:rPr>
          <w:rFonts w:ascii="Times New Roman" w:hAnsi="Times New Roman" w:eastAsia="宋体"/>
          <w:b w:val="0"/>
          <w:i w:val="0"/>
          <w:sz w:val="22"/>
        </w:rPr>
        <w:t>摘要：【摘译】特刊导言指出央行承担危机管理者、准财政当局、绿色与数字转型支持者及“特殊外交官”等新旧角色，追问其是否是“不情愿的阿特拉斯”。</w:t>
      </w:r>
    </w:p>
    <w:p>
      <w:r>
        <w:rPr>
          <w:rFonts w:ascii="Times New Roman" w:hAnsi="Times New Roman" w:eastAsia="宋体"/>
          <w:b w:val="0"/>
          <w:i w:val="0"/>
          <w:sz w:val="20"/>
        </w:rPr>
        <w:t>After gaining independence from political authorities, the past decades, central banks in most of the Global North and some in the Global South have taken on additional goals, acquiring unprecedented powers, many of them in response to crises and a lack of forceful action by the political authorities. Central banks have also been confronted with new issues, such as the greening of the economy and digital finance. They have rediscovered ‘old’ roles – i.e. acting as lender of last resort, overseeing payment systems, supervising banks, issuing currencies (in a digital format) – and have taken on new roles. These roles include: ‘crisis managers’ of first resort, backstopping banks, non-banks, states and fellow central banks; ‘recession fighters’ of second resort as well as ‘quasi’ fiscal authorities; supporters of the green and digital transition; ‘sui generis diplomats’ fostering international cooperation, while behaving as hesitant ‘geoeconomic actors’ in an increasingly geopoliticised world. In the ‘new political economy of central banking’, these institutions can be seen as ‘reluctant Atlases’, at times, suffering from a lack of connection to central fiscal authorities (experiencing ‘loneliness’) and goal overstretching. Recent geopolitical turmoil presents new challenges to the liberal international order to which central banks are still seeking to respond.</w:t>
      </w:r>
    </w:p>
    <w:p/>
    <w:p>
      <w:r>
        <w:rPr>
          <w:rFonts w:ascii="Times New Roman" w:hAnsi="Times New Roman" w:eastAsia="黑体"/>
          <w:b/>
          <w:i w:val="0"/>
          <w:sz w:val="24"/>
        </w:rPr>
        <w:t>央行数字货币的地缘经济学：以欧洲央行为例</w:t>
      </w:r>
    </w:p>
    <w:p>
      <w:r>
        <w:rPr>
          <w:rFonts w:ascii="Times New Roman" w:hAnsi="Times New Roman" w:eastAsia="宋体"/>
          <w:b w:val="0"/>
          <w:i/>
          <w:color w:val="404040"/>
          <w:sz w:val="20"/>
        </w:rPr>
        <w:t>The geoeconomics of Central Banks Digital Currencies (CBDCs): the case of the European Central Bank (ECB)</w:t>
      </w:r>
    </w:p>
    <w:p>
      <w:r>
        <w:rPr>
          <w:rFonts w:ascii="Times New Roman" w:hAnsi="Times New Roman" w:eastAsia="宋体"/>
          <w:b w:val="0"/>
          <w:i w:val="0"/>
          <w:color w:val="595959"/>
          <w:sz w:val="18"/>
        </w:rPr>
        <w:t>Lucia Quaglia（University of Bologna）；Amy Verdun（University of Victoria; Leiden University）</w:t>
      </w:r>
    </w:p>
    <w:p>
      <w:r>
        <w:rPr>
          <w:rFonts w:ascii="Times New Roman" w:hAnsi="Times New Roman" w:eastAsia="宋体"/>
          <w:b w:val="0"/>
          <w:i w:val="0"/>
          <w:sz w:val="22"/>
        </w:rPr>
        <w:t>摘要：【摘译】作者以地缘经济解释欧洲央行积极推动数字欧元：维护欧元区“货币主权”与零售支付体系“战略自主”，防范非欧盟私人数字货币与支付企业主导，因货币与支付是可被武器化的公共物品。</w:t>
      </w:r>
    </w:p>
    <w:p>
      <w:r>
        <w:rPr>
          <w:rFonts w:ascii="Times New Roman" w:hAnsi="Times New Roman" w:eastAsia="宋体"/>
          <w:b w:val="0"/>
          <w:i w:val="0"/>
          <w:sz w:val="20"/>
        </w:rPr>
        <w:t>Digital transformations and the expansion of digital finance have elicited intense debates on what ought to be the role of central banks as issuers of digital currencies (CBDCs). We ask why the European Central Bank (ECB), the European Union (EU) central bank, has taken a starring role in the introduction of a retail CBDC: the digital euro. We offer an explanation rooted in geoeconomics: the ECB has decided to be a ‘paladin’ of the digital euro to safeguard the ‘monetary sovereignty’ of the euro area and protect the ‘strategic autonomy’ of its retail payment system. As the rivalry of great powers intensifies, the ECB worries about the issuing of private digital currencies by (mostly, non-EU) private actors as well as the dominance of non-EU companies in retail payments. Currencies and payments are important public goods that can be weaponised. This explanation contributes to the emerging literature on central banks as geoeconomic actors and teases out the implications of this development for the ‘traditional’ mandate of central banks and their core tasks.</w:t>
      </w:r>
    </w:p>
    <w:p/>
    <w:p>
      <w:r>
        <w:rPr>
          <w:rFonts w:ascii="Times New Roman" w:hAnsi="Times New Roman" w:eastAsia="黑体"/>
          <w:b/>
          <w:i w:val="0"/>
          <w:sz w:val="24"/>
        </w:rPr>
        <w:t>不那么不情愿的（绿色）阿特拉斯？解释中国人民银行独特的环境转向</w:t>
      </w:r>
    </w:p>
    <w:p>
      <w:r>
        <w:rPr>
          <w:rFonts w:ascii="Times New Roman" w:hAnsi="Times New Roman" w:eastAsia="宋体"/>
          <w:b w:val="0"/>
          <w:i/>
          <w:color w:val="404040"/>
          <w:sz w:val="20"/>
        </w:rPr>
        <w:t>A less reluctant (green) Atlas? Explaining the People’s Bank of China’s distinctive environmental shift</w:t>
      </w:r>
    </w:p>
    <w:p>
      <w:r>
        <w:rPr>
          <w:rFonts w:ascii="Times New Roman" w:hAnsi="Times New Roman" w:eastAsia="宋体"/>
          <w:b w:val="0"/>
          <w:i w:val="0"/>
          <w:color w:val="595959"/>
          <w:sz w:val="18"/>
        </w:rPr>
        <w:t>Monica DiLeo（Hertie School）；Eric Helleiner（University of Waterloo）；Hongying Wang（University of Waterloo）</w:t>
      </w:r>
    </w:p>
    <w:p>
      <w:r>
        <w:rPr>
          <w:rFonts w:ascii="Times New Roman" w:hAnsi="Times New Roman" w:eastAsia="宋体"/>
          <w:b w:val="0"/>
          <w:i w:val="0"/>
          <w:sz w:val="22"/>
        </w:rPr>
        <w:t>摘要：为何中国央行比西方央行更早拥抱环境政策，且一贯关注更广泛的环境问题、采用更雄心勃勃的促进性政策？尽管央行绿色化日益受到政治经济学者关注，但中国人民银行这一独特而开创性的角色受到的关注少于西方央行。这部分可由中国央行历史上形成的“发展型”制度特征解释，即更宽泛的职责、缺乏政治独立性以及更具能动性的政策工具；但这一制度主义解释还需辅以更以能动者为中心的解释，考察中国政治当局与金融技术官僚的催化作用及其特定优先事项与观念。</w:t>
      </w:r>
    </w:p>
    <w:p>
      <w:r>
        <w:rPr>
          <w:rFonts w:ascii="Times New Roman" w:hAnsi="Times New Roman" w:eastAsia="宋体"/>
          <w:b w:val="0"/>
          <w:i w:val="0"/>
          <w:sz w:val="20"/>
        </w:rPr>
        <w:t>Why did the Chinese central bank embrace environmental policies earlier than Western central banks and with a consistent focus on a wider range of environmental issues and more ambitious promotional policies? Although the greening of central banks has attracted growing attention from scholars of political economy, this distinctive and pioneering role of the People’s Bank of China has received less attention than that of Western central banks. It can partly be explained by the Chinese central bank’s historically-rooted ‘developmental’ institutional features, namely its wider mandate, lack of political independence, and its more activist policy tools. But this institutionalist explanation also needs to be complemented by a more agency-centered one that examines the catalytic role of Chinese political authorities and financial technocrats, with their particular priorities and ideas. The analysis contributes to political economy literature on the emergence of green central banking by exploring the less-studied Chinese case and offering an analytical framework that encourages comparative study of this phenomenon beyond the Western context.</w:t>
      </w:r>
    </w:p>
    <w:p/>
    <w:p>
      <w:r>
        <w:rPr>
          <w:rFonts w:ascii="Times New Roman" w:hAnsi="Times New Roman" w:eastAsia="黑体"/>
          <w:b/>
          <w:i w:val="0"/>
          <w:sz w:val="24"/>
        </w:rPr>
        <w:t>拉美央行的转型：新冠疫情与“财政防火墙”的终结</w:t>
      </w:r>
    </w:p>
    <w:p>
      <w:r>
        <w:rPr>
          <w:rFonts w:ascii="Times New Roman" w:hAnsi="Times New Roman" w:eastAsia="宋体"/>
          <w:b w:val="0"/>
          <w:i/>
          <w:color w:val="404040"/>
          <w:sz w:val="20"/>
        </w:rPr>
        <w:t>Transformations in Latin American central banking: COVID-19 and the end of the ‘fiscal firewall’</w:t>
      </w:r>
    </w:p>
    <w:p>
      <w:r>
        <w:rPr>
          <w:rFonts w:ascii="Times New Roman" w:hAnsi="Times New Roman" w:eastAsia="宋体"/>
          <w:b w:val="0"/>
          <w:i w:val="0"/>
          <w:color w:val="595959"/>
          <w:sz w:val="18"/>
        </w:rPr>
        <w:t>Max Nagel（Vrije Universiteit Brussel）；Sven Van Kerckhoven（Vrije Universiteit Brussel）</w:t>
      </w:r>
    </w:p>
    <w:p>
      <w:r>
        <w:rPr>
          <w:rFonts w:ascii="Times New Roman" w:hAnsi="Times New Roman" w:eastAsia="宋体"/>
          <w:b w:val="0"/>
          <w:i w:val="0"/>
          <w:sz w:val="22"/>
        </w:rPr>
        <w:t>摘要：自新冠疫情暴发以来，拉美政府促使央行发生根本变化。本文考察这些转型的驱动因素与影响：央行被迫突破“财政防火墙”——良性流动性与不良信贷干预之间制度化的分离。以阿根廷、巴西与智利为例，本文分析突破财政防火墙如何赋权拉美央行直接干预债务市场，认为国家金融体系类型与获取全球流动性的能力解释了各国央行变化的差异：阿根廷转向以中国为最后贷款人，巴西为非银行金融中介提供流动性支持，智利则出于金融稳定的债务货币化。</w:t>
      </w:r>
    </w:p>
    <w:p>
      <w:r>
        <w:rPr>
          <w:rFonts w:ascii="Times New Roman" w:hAnsi="Times New Roman" w:eastAsia="宋体"/>
          <w:b w:val="0"/>
          <w:i w:val="0"/>
          <w:sz w:val="20"/>
        </w:rPr>
        <w:t>Since the COVID-19 outbreak, Latin American governments have induced fundamental changes to central banking. This article investigates the drivers and impact of these transformations. Crucially, central banks were compelled to go beyond the fiscal firewall, a well-institutionalised separation between ‘good’ liquidity and ‘bad’ credit interventions. Using the cases of Argentina, Brazil, and Chile, this article analyses how breaking the fiscal firewall empowered Latin American central banks to intervene directly in debt markets. It argues that the type of national financial system and access to global liquidity explain the variation in central bank change across the cases: Argentina's turn to China as lender of last resort, Brazil's liquidity backstopping of non-bank financial intermediaries and Chile's financial stability-driven debt monetisation. The new political economy of central banking in Latin America has theoretical implications beyond the region, concerning geopolitical power shifts and the effects of financial stability mandates on central bank independence. The politicisation of mandates and appointment procedures underscore that political factors are important for explaining different trajectories of central banking in less advanced economies: how access to global liquidity and the national financial system affects central bank change is intermediated by the government's ideological position.</w:t>
      </w:r>
    </w:p>
    <w:p/>
    <w:p>
      <w:r>
        <w:rPr>
          <w:rFonts w:ascii="Times New Roman" w:hAnsi="Times New Roman" w:eastAsia="黑体"/>
          <w:b/>
          <w:i w:val="0"/>
          <w:sz w:val="24"/>
        </w:rPr>
        <w:t>央行合作的新角色：迈向全球流动性后盾</w:t>
      </w:r>
    </w:p>
    <w:p>
      <w:r>
        <w:rPr>
          <w:rFonts w:ascii="Times New Roman" w:hAnsi="Times New Roman" w:eastAsia="宋体"/>
          <w:b w:val="0"/>
          <w:i/>
          <w:color w:val="404040"/>
          <w:sz w:val="20"/>
        </w:rPr>
        <w:t>New roles in central bank cooperation: towards a global liquidity backstop</w:t>
      </w:r>
    </w:p>
    <w:p>
      <w:r>
        <w:rPr>
          <w:rFonts w:ascii="Times New Roman" w:hAnsi="Times New Roman" w:eastAsia="宋体"/>
          <w:b w:val="0"/>
          <w:i w:val="0"/>
          <w:color w:val="595959"/>
          <w:sz w:val="18"/>
        </w:rPr>
        <w:t>Lukas Spielberger（Vrije Universiteit Brussel; University of Luxembourg）</w:t>
      </w:r>
    </w:p>
    <w:p>
      <w:r>
        <w:rPr>
          <w:rFonts w:ascii="Times New Roman" w:hAnsi="Times New Roman" w:eastAsia="宋体"/>
          <w:b w:val="0"/>
          <w:i w:val="0"/>
          <w:sz w:val="22"/>
        </w:rPr>
        <w:t>摘要：【摘译】以符号互动角色理论分析，作者认为美联储与欧洲央行承担国际流动性后盾角色，不仅源于金融压力，也源于国际央行共同体中不断演变的角色观念与期待。</w:t>
      </w:r>
    </w:p>
    <w:p>
      <w:r>
        <w:rPr>
          <w:rFonts w:ascii="Times New Roman" w:hAnsi="Times New Roman" w:eastAsia="宋体"/>
          <w:b w:val="0"/>
          <w:i w:val="0"/>
          <w:sz w:val="20"/>
        </w:rPr>
        <w:t>This article examines how the world’s foremost reserve currency-issuing central banks have since 2000 assumed the role of an international liquidity backstop. Following the 9/11 terror attacks, the 2007–2010 Global Financial Crisis and the COVID-19 pandemic in 2020, the US Federal Reserve (Fed) and the European Central Bank (ECB) have set up and expanded facilities through which they can grant emergency loans to other central banks. Applying a symbolic interactionist role-theoretical framework, the article argues that the ECB and the Fed have taken these roles not just because of financial pressures but also evolving role conceptions and expectations within the international central banking community. By studying the role of liquidity backstop as a social role, this article highlights central banks’ international agency and the social – as opposed to material – considerations that underpin their cooperation.</w:t>
      </w:r>
    </w:p>
    <w:p/>
    <w:p>
      <w:r>
        <w:rPr>
          <w:rFonts w:ascii="Times New Roman" w:hAnsi="Times New Roman" w:eastAsia="黑体"/>
          <w:b/>
          <w:i w:val="0"/>
          <w:sz w:val="24"/>
        </w:rPr>
        <w:t>沟通工具：量化宽松的谱系</w:t>
      </w:r>
    </w:p>
    <w:p>
      <w:r>
        <w:rPr>
          <w:rFonts w:ascii="Times New Roman" w:hAnsi="Times New Roman" w:eastAsia="宋体"/>
          <w:b w:val="0"/>
          <w:i/>
          <w:color w:val="404040"/>
          <w:sz w:val="20"/>
        </w:rPr>
        <w:t>Communication tools: a genealogy of quantitative easing</w:t>
      </w:r>
    </w:p>
    <w:p>
      <w:r>
        <w:rPr>
          <w:rFonts w:ascii="Times New Roman" w:hAnsi="Times New Roman" w:eastAsia="宋体"/>
          <w:b w:val="0"/>
          <w:i w:val="0"/>
          <w:color w:val="595959"/>
          <w:sz w:val="18"/>
        </w:rPr>
        <w:t>Will Bateman（Australian National University）</w:t>
      </w:r>
    </w:p>
    <w:p>
      <w:r>
        <w:rPr>
          <w:rFonts w:ascii="Times New Roman" w:hAnsi="Times New Roman" w:eastAsia="宋体"/>
          <w:b w:val="0"/>
          <w:i w:val="0"/>
          <w:sz w:val="22"/>
        </w:rPr>
        <w:t>摘要：【摘译】作者追溯量化宽松的谱系，指出其与1930—70年代赤字货币化操作相同，央行以强调私人市场取向的理论术语为其正当化，作为沟通工具。</w:t>
      </w:r>
    </w:p>
    <w:p>
      <w:r>
        <w:rPr>
          <w:rFonts w:ascii="Times New Roman" w:hAnsi="Times New Roman" w:eastAsia="宋体"/>
          <w:b w:val="0"/>
          <w:i w:val="0"/>
          <w:sz w:val="20"/>
        </w:rPr>
        <w:t>For most of the twenty-first century, the world’s largest central banks have been acquiring vast quantities of government debt. From the 1930s–1970s, identical operations formed the financial backbone of deficit-funded public sector expansion. In the latter twentieth-century, monetised deficit-support became anathema to models of central bank independence built on the dominance of monetary authorities over fiscal agencies and an inflation-targeting regime operationalised through interest-rate setting. Massive public debt acquisitions re-commenced in Japan in 2001 and then spread throughout the advanced economies. Those 'quantiative easing' (QE) policies were launched in the shadow of system-wide bank failures and fiscal stimulus programmes funded by historic public deficits. Central banks justified QE using a theoretic nomenclature which emphasised the private-market orientation of their policies and omitted any fiscal-supporting function. This article documents the development of the communication strategies used by two first-mover central banks, the Bank of Japan and the US Federal Reserve, to re-package and explain debt monetisation techniques as market-neutral inflation-targeting exercises. It compares the internal and external communications of those central banks during the launch of QE programmes to produce a genealogy which explains how and why the fiscal-supporting functions of public debt purchases were obscured in favour of private-market effects.</w:t>
      </w:r>
    </w:p>
    <w:p/>
    <w:p>
      <w:r>
        <w:rPr>
          <w:rFonts w:ascii="Times New Roman" w:hAnsi="Times New Roman" w:eastAsia="黑体"/>
          <w:b/>
          <w:i w:val="0"/>
          <w:sz w:val="24"/>
        </w:rPr>
        <w:t>央行官员谈通胀时在谈什么？通胀叙事的兴衰</w:t>
      </w:r>
    </w:p>
    <w:p>
      <w:r>
        <w:rPr>
          <w:rFonts w:ascii="Times New Roman" w:hAnsi="Times New Roman" w:eastAsia="宋体"/>
          <w:b w:val="0"/>
          <w:i/>
          <w:color w:val="404040"/>
          <w:sz w:val="20"/>
        </w:rPr>
        <w:t>What do central bankers talk about when they talk about inflation? The rise and fall of inflation narratives</w:t>
      </w:r>
    </w:p>
    <w:p>
      <w:r>
        <w:rPr>
          <w:rFonts w:ascii="Times New Roman" w:hAnsi="Times New Roman" w:eastAsia="宋体"/>
          <w:b w:val="0"/>
          <w:i w:val="0"/>
          <w:color w:val="595959"/>
          <w:sz w:val="18"/>
        </w:rPr>
        <w:t>Nicolò Fraccaroli（Brown University）；Vincent Arel-Bundock（Universite de Montreal）；Mark Blyth（Brown University）</w:t>
      </w:r>
    </w:p>
    <w:p>
      <w:r>
        <w:rPr>
          <w:rFonts w:ascii="Times New Roman" w:hAnsi="Times New Roman" w:eastAsia="宋体"/>
          <w:b w:val="0"/>
          <w:i w:val="0"/>
          <w:sz w:val="22"/>
        </w:rPr>
        <w:t>摘要：【摘译】作者用大语言模型标注英格兰银行、欧洲央行与美联储讲话中的四种通胀叙事（公共支出、工资、供给冲击、企业利润），追踪其随时间的兴衰。</w:t>
      </w:r>
    </w:p>
    <w:p>
      <w:r>
        <w:rPr>
          <w:rFonts w:ascii="Times New Roman" w:hAnsi="Times New Roman" w:eastAsia="宋体"/>
          <w:b w:val="0"/>
          <w:i w:val="0"/>
          <w:sz w:val="20"/>
        </w:rPr>
        <w:t>The 2021 debate over the causes of inflation was dominated by contrasting narratives around the drivers of, and solutions to, rising prices. But how these ideas did or did not penetrate central banks, the politically independent institutions responsible for keeping prices stable, remains unclear. In this paper we investigate how the Bank of England, European Central Bank, and Federal Reserve discussed and deployed specific inflation narratives over time in their attempts to diagnose and treat the inflation of the period. We focus on four narratives that identify the main drivers of inflation in (1) excessive public spending, (2) higher wages in the labour market than warranted by productivity, (3) supply side disruptions to critical markets such as energy, and (4) corporate profit margin expansion. We use a large language model to tag central banks’ speeches with relevant narratives at sentence level, which allows us to quantify how much each central bank discussed each narrative. The results shed new light on how these three central banks interfaced with the recent debate around inflation.</w:t>
      </w:r>
    </w:p>
    <w:p/>
    <w:p>
      <w:r>
        <w:rPr>
          <w:rFonts w:ascii="Times New Roman" w:hAnsi="Times New Roman" w:eastAsia="黑体"/>
          <w:b/>
          <w:i w:val="0"/>
          <w:sz w:val="24"/>
        </w:rPr>
        <w:t>打破生产边界：从应得到权利</w:t>
      </w:r>
    </w:p>
    <w:p>
      <w:r>
        <w:rPr>
          <w:rFonts w:ascii="Times New Roman" w:hAnsi="Times New Roman" w:eastAsia="宋体"/>
          <w:b w:val="0"/>
          <w:i/>
          <w:color w:val="404040"/>
          <w:sz w:val="20"/>
        </w:rPr>
        <w:t>Disrupting the production boundary: from deservingness to right</w:t>
      </w:r>
    </w:p>
    <w:p>
      <w:r>
        <w:rPr>
          <w:rFonts w:ascii="Times New Roman" w:hAnsi="Times New Roman" w:eastAsia="宋体"/>
          <w:b w:val="0"/>
          <w:i w:val="0"/>
          <w:color w:val="595959"/>
          <w:sz w:val="18"/>
        </w:rPr>
        <w:t>Emma J. Kast（Department of Society, Culture, and Thought, Bennington College, Bennington, VT, USA）</w:t>
      </w:r>
    </w:p>
    <w:p>
      <w:r>
        <w:rPr>
          <w:rFonts w:ascii="Times New Roman" w:hAnsi="Times New Roman" w:eastAsia="宋体"/>
          <w:b w:val="0"/>
          <w:i w:val="0"/>
          <w:sz w:val="22"/>
        </w:rPr>
        <w:t>摘要：【摘译】作者与马祖卡托的价值论对话，批评将价值生产与财富应得等同的“生产边界”观念，主张从应得转向权利。</w:t>
      </w:r>
    </w:p>
    <w:p>
      <w:r>
        <w:rPr>
          <w:rFonts w:ascii="Times New Roman" w:hAnsi="Times New Roman" w:eastAsia="宋体"/>
          <w:b w:val="0"/>
          <w:i w:val="0"/>
          <w:sz w:val="20"/>
        </w:rPr>
        <w:t>The link between productive economic activity and deservingness of remuneration is taken for granted in modern economic thought. While heterodox traditions within international political economy (IPE) emphasise the global division of labour and therefore a de-individualised understanding of value production, they remain committed to a production boundary, or a sharp distinction between productive and unproductive economic activities. Accompanying this understanding is a productivist notion of deservingness: the belief that productive activities are directly deserving of reward or remuneration, while unproductive activities are considered undeserving. But what are the consequences of conflating value production with entitlement to wealth? Engaging with Mariana Mazzucato's influential work on value, I address how the notion of the production boundary fails to capture the flow of labour and capital, as well the temporal elements of past, present, and future, which all contribute to how value is determined in a dynamic capitalist world economy. Ultimately, what is at stake is to challenge the notion that a production boundary is necessary for a conception of economic justice. The paper is therefore interested in possibilities for moving beyond deservingness and towards a democratisation of wealth based on need and the notion of economic rights.</w:t>
      </w:r>
    </w:p>
    <w:p/>
    <w:p>
      <w:r>
        <w:rPr>
          <w:rFonts w:ascii="Times New Roman" w:hAnsi="Times New Roman" w:eastAsia="黑体"/>
          <w:b/>
          <w:i w:val="0"/>
          <w:sz w:val="24"/>
        </w:rPr>
        <w:t>表演能源：国际能源署与资本主义能源转型的冲突性想象</w:t>
      </w:r>
    </w:p>
    <w:p>
      <w:r>
        <w:rPr>
          <w:rFonts w:ascii="Times New Roman" w:hAnsi="Times New Roman" w:eastAsia="宋体"/>
          <w:b w:val="0"/>
          <w:i/>
          <w:color w:val="404040"/>
          <w:sz w:val="20"/>
        </w:rPr>
        <w:t>Performing energy: the International Energy Agency and the conflicting imaginaries of capitalist energy transition</w:t>
      </w:r>
    </w:p>
    <w:p>
      <w:r>
        <w:rPr>
          <w:rFonts w:ascii="Times New Roman" w:hAnsi="Times New Roman" w:eastAsia="宋体"/>
          <w:b w:val="0"/>
          <w:i w:val="0"/>
          <w:color w:val="595959"/>
          <w:sz w:val="18"/>
        </w:rPr>
        <w:t>Gabe Eckhouse（Uppsala University）</w:t>
      </w:r>
    </w:p>
    <w:p>
      <w:r>
        <w:rPr>
          <w:rFonts w:ascii="Times New Roman" w:hAnsi="Times New Roman" w:eastAsia="宋体"/>
          <w:b w:val="0"/>
          <w:i w:val="0"/>
          <w:sz w:val="22"/>
        </w:rPr>
        <w:t>摘要：【摘译】作者认为国际能源署既评估又塑造能源未来，考察三段围绕其预测的争议，揭示资本主义能源转型的竞争性、不均衡与无计划特征。</w:t>
      </w:r>
    </w:p>
    <w:p>
      <w:r>
        <w:rPr>
          <w:rFonts w:ascii="Times New Roman" w:hAnsi="Times New Roman" w:eastAsia="宋体"/>
          <w:b w:val="0"/>
          <w:i w:val="0"/>
          <w:sz w:val="20"/>
        </w:rPr>
        <w:t>Amidst conflict over the indecisive and unrealised energy transition, global energy projections have taken on newfound significance. Yet there remains limited scholarship assessing how these projections relate to the political economy of capitalist energy development. This paper argues that the International Energy Agency (IEA) performs the future of energy, both assessing and influencing energy markets. The IEA's dual role—as both a modeller and active shaper of future energy pathways—has led to significant disputes. This paper examines three periods of projective conflict involving the IEA. By reviewing these disputes, the paper highlights how struggles over the performance of energy reflect the competitive, uneven and unplanned character of capitalist energy transitions, particularly during periods of structural uncertainty.</w:t>
      </w:r>
    </w:p>
    <w:p/>
    <w:p>
      <w:r>
        <w:rPr>
          <w:rFonts w:ascii="Times New Roman" w:hAnsi="Times New Roman" w:eastAsia="黑体"/>
          <w:b/>
          <w:i w:val="0"/>
          <w:sz w:val="24"/>
        </w:rPr>
        <w:t>全球数字依附结构与技术极的兴起</w:t>
      </w:r>
    </w:p>
    <w:p>
      <w:r>
        <w:rPr>
          <w:rFonts w:ascii="Times New Roman" w:hAnsi="Times New Roman" w:eastAsia="宋体"/>
          <w:b w:val="0"/>
          <w:i/>
          <w:color w:val="404040"/>
          <w:sz w:val="20"/>
        </w:rPr>
        <w:t>Global structures of digital dependence and the rise of technopoles</w:t>
      </w:r>
    </w:p>
    <w:p>
      <w:r>
        <w:rPr>
          <w:rFonts w:ascii="Times New Roman" w:hAnsi="Times New Roman" w:eastAsia="宋体"/>
          <w:b w:val="0"/>
          <w:i w:val="0"/>
          <w:color w:val="595959"/>
          <w:sz w:val="18"/>
        </w:rPr>
        <w:t>Maximilian Mayer（University of Bonn）；Yen-Chi Lu（University of Bonn）</w:t>
      </w:r>
    </w:p>
    <w:p>
      <w:r>
        <w:rPr>
          <w:rFonts w:ascii="Times New Roman" w:hAnsi="Times New Roman" w:eastAsia="宋体"/>
          <w:b w:val="0"/>
          <w:i w:val="0"/>
          <w:sz w:val="22"/>
        </w:rPr>
        <w:t>摘要：什么是全球数字依附结构？美国与中国在多大程度上主导这些结构？如何在理论上理解并在经验上测量数字依附模式？这些问题对决策者与学者都至关重要。本文借鉴国际关系、国际政治经济学以及关于（基础）结构性依附与相互依赖武器化的研究，利用数字依附指数的综合数据集，提出描绘并理论化全球数字依附结构的框架。在硬件、平台与专利三个维度上，作者表明大多数国家对美国与中国存在高且不断上升的依附，形成以两个“技术极”为中心的全球结构。</w:t>
      </w:r>
    </w:p>
    <w:p>
      <w:r>
        <w:rPr>
          <w:rFonts w:ascii="Times New Roman" w:hAnsi="Times New Roman" w:eastAsia="宋体"/>
          <w:b w:val="0"/>
          <w:i w:val="0"/>
          <w:sz w:val="20"/>
        </w:rPr>
        <w:t>What are the global structures of digital dependency, and to what extent do the US and China dominate them? How can patterns of digital dependency be understood theoretically and measured empirically? These questions are crucial for both policymakers and academics. Our paper contributes to ongoing debates on the implications of increasing asymmetries and power concentrations driven by digital transformation and the rise of platforms. Building on insights from international relations (IR), international political economy (IPE), and scholarship on (infra)structural dependencies and the weaponisation of interdependence, this article draws on a comprehensive dataset from the Digital Dependence Index (DDI) to offer a framework for mapping and theorising the global structures of digital dependency. Across three dimensions – hardware, platforms and patents – we show that high and increasing levels of digital dependence have emerged, and that the US and China can be characterised as technopoles with significant technological autonomy and great potential to weaponise infrastructure and technologies. Such a structural perspective can be used to further explore and conceptualise the nexus between digital infrastructures, dependency and autonomy on the one hand, and the emergence of a new techno-geopolitical world order on the other.</w:t>
      </w:r>
    </w:p>
    <w:p/>
    <w:p>
      <w:r>
        <w:rPr>
          <w:rFonts w:ascii="Times New Roman" w:hAnsi="Times New Roman" w:eastAsia="宋体"/>
          <w:b/>
          <w:i w:val="0"/>
          <w:sz w:val="22"/>
        </w:rPr>
        <w:t>NPE： Vol. 30, No. 4, 2025</w:t>
      </w:r>
    </w:p>
    <w:p/>
    <w:p>
      <w:r>
        <w:rPr>
          <w:rFonts w:ascii="Times New Roman" w:hAnsi="Times New Roman" w:eastAsia="黑体"/>
          <w:b/>
          <w:i w:val="0"/>
          <w:sz w:val="24"/>
        </w:rPr>
        <w:t>安静与喧闹的商业政治中的公共利益要求——来自澳大利亚的证据</w:t>
      </w:r>
    </w:p>
    <w:p>
      <w:r>
        <w:rPr>
          <w:rFonts w:ascii="Times New Roman" w:hAnsi="Times New Roman" w:eastAsia="宋体"/>
          <w:b w:val="0"/>
          <w:i/>
          <w:color w:val="404040"/>
          <w:sz w:val="20"/>
        </w:rPr>
        <w:t>The public interest requirement in quiet business politics and noisy business politics – evidence from Australia</w:t>
      </w:r>
    </w:p>
    <w:p>
      <w:r>
        <w:rPr>
          <w:rFonts w:ascii="Times New Roman" w:hAnsi="Times New Roman" w:eastAsia="宋体"/>
          <w:b w:val="0"/>
          <w:i w:val="0"/>
          <w:color w:val="595959"/>
          <w:sz w:val="18"/>
        </w:rPr>
        <w:t>Stephen Bell（The University of Queensland）</w:t>
      </w:r>
    </w:p>
    <w:p>
      <w:r>
        <w:rPr>
          <w:rFonts w:ascii="Times New Roman" w:hAnsi="Times New Roman" w:eastAsia="宋体"/>
          <w:b w:val="0"/>
          <w:i w:val="0"/>
          <w:sz w:val="22"/>
        </w:rPr>
        <w:t>摘要：【摘译】基于澳大利亚大企业政府关系高管访谈，作者认为无论“喧闹”还是“安静”的商业政治中，企业都须关注公共利益议程以契合政府选举激励，才能成功施加影响。</w:t>
      </w:r>
    </w:p>
    <w:p>
      <w:r>
        <w:rPr>
          <w:rFonts w:ascii="Times New Roman" w:hAnsi="Times New Roman" w:eastAsia="宋体"/>
          <w:b w:val="0"/>
          <w:i w:val="0"/>
          <w:sz w:val="20"/>
        </w:rPr>
        <w:t>Using interview material from senior government relations executives in large firms in Australia and other sources, this paper argues for the need to bring the ‘public back in’ to improve our understanding of business government relations in terms of business influence and power. It argues that the role of the public and policy-relevant notions of the public interest can often play a central role here. This is important in ‘noisy’ business politics where voters and the public can be decisive in either supporting or constraining business. Moreover, even in ‘quiet’ business politics away from the immediate public gaze, and contrary to existing theory, the paper argues that business must be attentive to public interest agendas if its quiet lobbying is to appeal to government electoral incentives and be successful. Hence, in both arenas business has strong incentives to be attentive to what might be called the ‘public interest requirement’ or the PIR.</w:t>
      </w:r>
    </w:p>
    <w:p/>
    <w:p>
      <w:r>
        <w:rPr>
          <w:rFonts w:ascii="Times New Roman" w:hAnsi="Times New Roman" w:eastAsia="黑体"/>
          <w:b/>
          <w:i w:val="0"/>
          <w:sz w:val="24"/>
        </w:rPr>
        <w:t>动员者：私人气候融资、法律专业知识与创新的局限</w:t>
      </w:r>
    </w:p>
    <w:p>
      <w:r>
        <w:rPr>
          <w:rFonts w:ascii="Times New Roman" w:hAnsi="Times New Roman" w:eastAsia="宋体"/>
          <w:b w:val="0"/>
          <w:i/>
          <w:color w:val="404040"/>
          <w:sz w:val="20"/>
        </w:rPr>
        <w:t>The mobilisers: private climate finance, legal expertise, and the limits of innovation</w:t>
      </w:r>
    </w:p>
    <w:p>
      <w:r>
        <w:rPr>
          <w:rFonts w:ascii="Times New Roman" w:hAnsi="Times New Roman" w:eastAsia="宋体"/>
          <w:b w:val="0"/>
          <w:i w:val="0"/>
          <w:color w:val="595959"/>
          <w:sz w:val="18"/>
        </w:rPr>
        <w:t>Lukas Bogner（Roskilde University）</w:t>
      </w:r>
    </w:p>
    <w:p>
      <w:r>
        <w:rPr>
          <w:rFonts w:ascii="Times New Roman" w:hAnsi="Times New Roman" w:eastAsia="宋体"/>
          <w:b w:val="0"/>
          <w:i w:val="0"/>
          <w:sz w:val="22"/>
        </w:rPr>
        <w:t>摘要：【摘译】基于叙事访谈与参与观察，作者考察以公共资源动员私人气候融资背后的法律实践，发现“创新型”气候融资在法律工作上存在三重张力，限制其创新。</w:t>
      </w:r>
    </w:p>
    <w:p>
      <w:r>
        <w:rPr>
          <w:rFonts w:ascii="Times New Roman" w:hAnsi="Times New Roman" w:eastAsia="宋体"/>
          <w:b w:val="0"/>
          <w:i w:val="0"/>
          <w:sz w:val="20"/>
        </w:rPr>
        <w:t>This article explores the emerging field of private climate finance mobilised through public resources. These mechanisms aim to leverage financial resources to close the ‘finance gap’ between needed and available funds for climate adaptation and mitigation. Innovative forms of climate finance require new contracts and legal frameworks to govern transactions in a manner satisfactory to both the public and private actors involved. This article examines the knowledge practices at the technical and bureaucratic ‘back end’ of this type of climate finance. Drawing on narrative interviews and participant observation, I show that the public efforts to mobilise private resources have been accompanied by three points of tension within financial legal practice: (1) Differences between the legal work of ‘innovative’ climate finance and its more conventional counterpart, such as grants and loans to sovereigns; (2) ‘boundary work’ undertaken internally between legal experts, and (3) externally between legal and non-legal experts, as actors seek to create and lay claim to expertise and authority over novel practices. These tensions constitute a social space in flux, and challenge the confident rhetoric of ‘closing the finance gap’.</w:t>
      </w:r>
    </w:p>
    <w:p/>
    <w:p>
      <w:r>
        <w:rPr>
          <w:rFonts w:ascii="Times New Roman" w:hAnsi="Times New Roman" w:eastAsia="黑体"/>
          <w:b/>
          <w:i w:val="0"/>
          <w:sz w:val="24"/>
        </w:rPr>
        <w:t>解开关联：历史视角下的能源、经济增长与脱钩</w:t>
      </w:r>
    </w:p>
    <w:p>
      <w:r>
        <w:rPr>
          <w:rFonts w:ascii="Times New Roman" w:hAnsi="Times New Roman" w:eastAsia="宋体"/>
          <w:b w:val="0"/>
          <w:i/>
          <w:color w:val="404040"/>
          <w:sz w:val="20"/>
        </w:rPr>
        <w:t>Unravelling connections: energy, economic growth, and decoupling through a historical lens</w:t>
      </w:r>
    </w:p>
    <w:p>
      <w:r>
        <w:rPr>
          <w:rFonts w:ascii="Times New Roman" w:hAnsi="Times New Roman" w:eastAsia="宋体"/>
          <w:b w:val="0"/>
          <w:i w:val="0"/>
          <w:color w:val="595959"/>
          <w:sz w:val="18"/>
        </w:rPr>
        <w:t>Graham Palmer（Monash University）；Joshua Floyd（Rescope Project）</w:t>
      </w:r>
    </w:p>
    <w:p>
      <w:r>
        <w:rPr>
          <w:rFonts w:ascii="Times New Roman" w:hAnsi="Times New Roman" w:eastAsia="宋体"/>
          <w:b w:val="0"/>
          <w:i w:val="0"/>
          <w:sz w:val="22"/>
        </w:rPr>
        <w:t>摘要：【摘译】作者区分有形与抽象现象，讨论能源与经济增长关系中货币作为社会技术的中介作用，指出脱钩论与生物物理论均未解决因果问题。</w:t>
      </w:r>
    </w:p>
    <w:p>
      <w:r>
        <w:rPr>
          <w:rFonts w:ascii="Times New Roman" w:hAnsi="Times New Roman" w:eastAsia="宋体"/>
          <w:b w:val="0"/>
          <w:i w:val="0"/>
          <w:sz w:val="20"/>
        </w:rPr>
        <w:t>Decoupling pervades environmental policy, yet its extent remains a topic of debate. Decoupling suggests that economic growth can detach from resources, energy, and impacts through technology and efficiency. However, biophysical theory asserts that the primary driver of growth has been the expansion of energy supply. We contribute to the debate by highlighting a crucial yet often overlooked distinction between tangible and abstract phenomena. This distinction is important because, fundamentally, physical effects must have physical causes. A challenge lies in establishing a causal relationship between energy and economy given the intermediary role of money as a social technology. Both decoupling and biophysical frameworks grapple with this challenge, yet neither provides a definitive resolution. Biophysical theory emphasises physical processes but struggles to incorporate money into a causal schema, while decoupling prioritises monetary factors but fails to explain the critical role of energy and resources. To bridge this disparity, we present a causal model that clarifies the connection between money and the tangible economy. We trace the historical evolution of abstract value through the development of private property, coinage, and modern currency, illustrating how these constructs became intertwined with energy supply and storage. Through this exploration, we offer a novel perspective on decoupling.</w:t>
      </w:r>
    </w:p>
    <w:p/>
    <w:p>
      <w:r>
        <w:rPr>
          <w:rFonts w:ascii="Times New Roman" w:hAnsi="Times New Roman" w:eastAsia="黑体"/>
          <w:b/>
          <w:i w:val="0"/>
          <w:sz w:val="24"/>
        </w:rPr>
        <w:t>放贷还是金融服务：印度小额信贷监管的政治</w:t>
      </w:r>
    </w:p>
    <w:p>
      <w:r>
        <w:rPr>
          <w:rFonts w:ascii="Times New Roman" w:hAnsi="Times New Roman" w:eastAsia="宋体"/>
          <w:b w:val="0"/>
          <w:i/>
          <w:color w:val="404040"/>
          <w:sz w:val="20"/>
        </w:rPr>
        <w:t>Moneylending or financial service: the politics of regulating microfinance in India</w:t>
      </w:r>
    </w:p>
    <w:p>
      <w:r>
        <w:rPr>
          <w:rFonts w:ascii="Times New Roman" w:hAnsi="Times New Roman" w:eastAsia="宋体"/>
          <w:b w:val="0"/>
          <w:i w:val="0"/>
          <w:color w:val="595959"/>
          <w:sz w:val="18"/>
        </w:rPr>
        <w:t>Tanushree Kaushal（Geneva Graduate Institute）</w:t>
      </w:r>
    </w:p>
    <w:p>
      <w:r>
        <w:rPr>
          <w:rFonts w:ascii="Times New Roman" w:hAnsi="Times New Roman" w:eastAsia="宋体"/>
          <w:b w:val="0"/>
          <w:i w:val="0"/>
          <w:sz w:val="22"/>
        </w:rPr>
        <w:t>摘要：【摘译】以2010年安得拉危机为切入，基于多尺度田野，作者显示印度不同层级国家权威对小额信贷监管同时呈现新自由主义与发展型路径。</w:t>
      </w:r>
    </w:p>
    <w:p>
      <w:r>
        <w:rPr>
          <w:rFonts w:ascii="Times New Roman" w:hAnsi="Times New Roman" w:eastAsia="宋体"/>
          <w:b w:val="0"/>
          <w:i w:val="0"/>
          <w:sz w:val="20"/>
        </w:rPr>
        <w:t>The Andhra Crisis of 2010 is well known as a critical juncture for microfinance as borrowers were coerced and reportedly committed suicide due to repayment pressures. This presented a regulatory challenge to the Indian state: was microfinance ‘moneylending’ or ‘financial services’ and how was it to be regulated? Scholarship on state capitalism highlights new responsibilities taken on by states by participating in financial markets. In contrast, postcolonial studies show how the neoliberal postcolonial state actively hands over key responsibilities to private actors. By bringing in the concept (and practices) of the developmental state, I show how multiple levels of state authority present both neoliberal and developmental approaches to state-finance relations. Drawing on multi-scalar fieldwork with central and state institutions in India, this paper highlights central institutions’ neoliberal logics for classifying microfinance as a ‘financial service’ contra state-level institutions’ developmental prescription to classify it as ‘moneylending’. Ultimately, the regulatory challenge is resolved by instating self-regulation for the sector. This shows how despite contestations, financial services that target low-income groups can reshape state authority, regulation and accountability and align these with market logics.</w:t>
      </w:r>
    </w:p>
    <w:p/>
    <w:p>
      <w:r>
        <w:rPr>
          <w:rFonts w:ascii="Times New Roman" w:hAnsi="Times New Roman" w:eastAsia="黑体"/>
          <w:b/>
          <w:i w:val="0"/>
          <w:sz w:val="24"/>
        </w:rPr>
        <w:t>种族化福利资本主义中的修复工作：美国社区卫生工作者</w:t>
      </w:r>
    </w:p>
    <w:p>
      <w:r>
        <w:rPr>
          <w:rFonts w:ascii="Times New Roman" w:hAnsi="Times New Roman" w:eastAsia="宋体"/>
          <w:b w:val="0"/>
          <w:i/>
          <w:color w:val="404040"/>
          <w:sz w:val="20"/>
        </w:rPr>
        <w:t>Repair work in raced welfare capitalism: community health workers in the United States</w:t>
      </w:r>
    </w:p>
    <w:p>
      <w:r>
        <w:rPr>
          <w:rFonts w:ascii="Times New Roman" w:hAnsi="Times New Roman" w:eastAsia="宋体"/>
          <w:b w:val="0"/>
          <w:i w:val="0"/>
          <w:color w:val="595959"/>
          <w:sz w:val="18"/>
        </w:rPr>
        <w:t>Tine Hanrieder（London School of Economics and Political Science）</w:t>
      </w:r>
    </w:p>
    <w:p>
      <w:r>
        <w:rPr>
          <w:rFonts w:ascii="Times New Roman" w:hAnsi="Times New Roman" w:eastAsia="宋体"/>
          <w:b w:val="0"/>
          <w:i w:val="0"/>
          <w:sz w:val="22"/>
        </w:rPr>
        <w:t>摘要：【摘译】基于加州田野，作者分析社区卫生工作者在惩罚性种族化福利体制中的三种“修复工作”：填补安全网、桥接国家与社区、将歧视经验转化为照护。</w:t>
      </w:r>
    </w:p>
    <w:p>
      <w:r>
        <w:rPr>
          <w:rFonts w:ascii="Times New Roman" w:hAnsi="Times New Roman" w:eastAsia="宋体"/>
          <w:b w:val="0"/>
          <w:i w:val="0"/>
          <w:sz w:val="20"/>
        </w:rPr>
        <w:t>In modern capitalism, the costs of care and social reproduction are widely externalised to women in households, but also to (women in) community organisations. This article analyses the role of community medicine in the US, and in particular the labour and struggles of community health workers (CHWs). Highlighting the gendered and raced inequalities of US welfare capitalism, I explore how CHWs sustain individuals and communities through three main forms of repair work: Safety net plugging is the often-invisible work of addressing unmet community needs; bridging is the work of intermediating between (punitive) state authorities and oppressed communities; and transforming lived experience is the devalued personal work of turning discrimination into care. Drawing on qualitative fieldwork in the US with a focus on California, my findings stress the laboriousness of caring in a punitive welfare state, and the devaluation of doing so in a ‘meritocratic', credentials-centred social order. I argue that CHWs' repair work might be a cost effective ‘fix’ for the health system, but that their struggle for professional recognition also challenges ingrained, racialised concepts of merit and professionalism. Their struggles connect with broader debates about reparative justice, repair, and labour value in our current socio-ecological crises.</w:t>
      </w:r>
    </w:p>
    <w:p/>
    <w:p>
      <w:r>
        <w:rPr>
          <w:rFonts w:ascii="Times New Roman" w:hAnsi="Times New Roman" w:eastAsia="黑体"/>
          <w:b/>
          <w:i w:val="0"/>
          <w:sz w:val="24"/>
        </w:rPr>
        <w:t>奇怪的组合？主流经济学家与工会联手之时</w:t>
      </w:r>
    </w:p>
    <w:p>
      <w:r>
        <w:rPr>
          <w:rFonts w:ascii="Times New Roman" w:hAnsi="Times New Roman" w:eastAsia="宋体"/>
          <w:b w:val="0"/>
          <w:i/>
          <w:color w:val="404040"/>
          <w:sz w:val="20"/>
        </w:rPr>
        <w:t>An odd couple? When mainstream economists join forces with trade unions</w:t>
      </w:r>
    </w:p>
    <w:p>
      <w:r>
        <w:rPr>
          <w:rFonts w:ascii="Times New Roman" w:hAnsi="Times New Roman" w:eastAsia="宋体"/>
          <w:b w:val="0"/>
          <w:i w:val="0"/>
          <w:color w:val="595959"/>
          <w:sz w:val="18"/>
        </w:rPr>
        <w:t>Assaf S. Bondy（Haifa University, Haifa, Israel and University of Bristol Business School）；Ronen Mandelkern（Department of Political Science at Tel Aviv University）</w:t>
      </w:r>
    </w:p>
    <w:p>
      <w:r>
        <w:rPr>
          <w:rFonts w:ascii="Times New Roman" w:hAnsi="Times New Roman" w:eastAsia="宋体"/>
          <w:b w:val="0"/>
          <w:i w:val="0"/>
          <w:sz w:val="22"/>
        </w:rPr>
        <w:t>摘要：【摘译】以色列劳工总联合会经济学家在微观集体谈判中占据关键地位令人困惑；作者认为传统权力资源弱化、劳资关系复杂化使工会依赖职业经济学家作为替代权力资源。</w:t>
      </w:r>
    </w:p>
    <w:p>
      <w:r>
        <w:rPr>
          <w:rFonts w:ascii="Times New Roman" w:hAnsi="Times New Roman" w:eastAsia="宋体"/>
          <w:b w:val="0"/>
          <w:i w:val="0"/>
          <w:sz w:val="20"/>
        </w:rPr>
        <w:t>The doubtful tendencies of neoclassical economics towards labour market intervention put it at odds with trade unions, whose raison d’etre is worker protection through de-linking compensation from market dynamics. Therefore, the recent ‘economic professionalisation’ of the Histadrut, Israel's main Labour Federation, is puzzling. Against economists’ traditional involvement in unions, in advisory roles and macro-level policymaking, Histadrut economists have gained a pivotal position in micro-level collective bargaining. What drives such economic professionalisation of trade unions, and what are its consequences? We argue as their traditional power resources have weakened and industrial relations have become highly complex, unions rely on professional economists as an alternative power resource. In the Histadrut, whose political-economic position has transformed dramatically, economic professionalisation was accompanied by other novel strategies of union revitalisation. We also argue union empowerment through economic professionalisation nurtures within them a particular approach to collective bargaining, characterised by depoliticised view of industrial relations and ‘market-friendly’ tendency in collective agreements.</w:t>
      </w:r>
    </w:p>
    <w:p/>
    <w:p>
      <w:r>
        <w:rPr>
          <w:rFonts w:ascii="Times New Roman" w:hAnsi="Times New Roman" w:eastAsia="黑体"/>
          <w:b/>
          <w:i w:val="0"/>
          <w:sz w:val="24"/>
        </w:rPr>
        <w:t>欧盟20国：经济趋同还是分化？生产率增长留存能力分析</w:t>
      </w:r>
    </w:p>
    <w:p>
      <w:r>
        <w:rPr>
          <w:rFonts w:ascii="Times New Roman" w:hAnsi="Times New Roman" w:eastAsia="宋体"/>
          <w:b w:val="0"/>
          <w:i/>
          <w:color w:val="404040"/>
          <w:sz w:val="20"/>
        </w:rPr>
        <w:t>The EU-20: economic convergence or divergence? An analysis of the retention capacity of productivity increases</w:t>
      </w:r>
    </w:p>
    <w:p>
      <w:r>
        <w:rPr>
          <w:rFonts w:ascii="Times New Roman" w:hAnsi="Times New Roman" w:eastAsia="宋体"/>
          <w:b w:val="0"/>
          <w:i w:val="0"/>
          <w:color w:val="595959"/>
          <w:sz w:val="18"/>
        </w:rPr>
        <w:t>Alfredo Del Río-Casasola（Complutense University of Madrid）</w:t>
      </w:r>
    </w:p>
    <w:p>
      <w:r>
        <w:rPr>
          <w:rFonts w:ascii="Times New Roman" w:hAnsi="Times New Roman" w:eastAsia="宋体"/>
          <w:b w:val="0"/>
          <w:i w:val="0"/>
          <w:sz w:val="22"/>
        </w:rPr>
        <w:t>摘要：【摘译】借鉴拉美结构主义，作者分析1995—2014年欧盟20国劳动生产率与生产率增长留存能力，揭示部分成员难以留存生产率进步的“虚假趋同”与外围特征。</w:t>
      </w:r>
    </w:p>
    <w:p>
      <w:r>
        <w:rPr>
          <w:rFonts w:ascii="Times New Roman" w:hAnsi="Times New Roman" w:eastAsia="宋体"/>
          <w:b w:val="0"/>
          <w:i w:val="0"/>
          <w:sz w:val="20"/>
        </w:rPr>
        <w:t>Among the formal objectives stated in the fundamental treaties of the European Union (EU) are the social welfare of its Member States and their ultimate economic convergence. However, since the outbreak of the 2008 economic crisis, differences among EU countries have grown more pronounced, thus questioning the achievement of those goals and prompting the identification of certain less visible phenomena that may indicate spurious convergence. One example is the difficulty of some Members in retaining advances in productivity – a characteristic that Latin American Structuralism and Dependency Theory have associated with an economy’s peripheral position. Here we analyse for the EU-20, between 1995 and 2014, the convergence (or divergence) demonstrated in terms of labour productivity and real wages. Our intention is to determine whether the EU periphery experiences greater difficulties than do the central countries of the EU in retaining productivity gains internally. In short, we articulate a proposal based in the study of Convergence, but from an approach that may be framed as ‘Uneven development’.</w:t>
      </w:r>
    </w:p>
    <w:p/>
    <w:p>
      <w:r>
        <w:rPr>
          <w:rFonts w:ascii="Times New Roman" w:hAnsi="Times New Roman" w:eastAsia="黑体"/>
          <w:b/>
          <w:i w:val="0"/>
          <w:sz w:val="24"/>
        </w:rPr>
        <w:t>南非包容性低碳发展的挑战与路径：政治解决方案分析</w:t>
      </w:r>
    </w:p>
    <w:p>
      <w:r>
        <w:rPr>
          <w:rFonts w:ascii="Times New Roman" w:hAnsi="Times New Roman" w:eastAsia="宋体"/>
          <w:b w:val="0"/>
          <w:i/>
          <w:color w:val="404040"/>
          <w:sz w:val="20"/>
        </w:rPr>
        <w:t>Challenges and pathways to inclusive low-carbon development in South Africa: a political settlements analysis</w:t>
      </w:r>
    </w:p>
    <w:p>
      <w:r>
        <w:rPr>
          <w:rFonts w:ascii="Times New Roman" w:hAnsi="Times New Roman" w:eastAsia="宋体"/>
          <w:b w:val="0"/>
          <w:i w:val="0"/>
          <w:color w:val="595959"/>
          <w:sz w:val="18"/>
        </w:rPr>
        <w:t>Nicholas van Doesburgh（University of Cape Town）；Harald Winkler（University of Cape Town）</w:t>
      </w:r>
    </w:p>
    <w:p>
      <w:r>
        <w:rPr>
          <w:rFonts w:ascii="Times New Roman" w:hAnsi="Times New Roman" w:eastAsia="宋体"/>
          <w:b w:val="0"/>
          <w:i w:val="0"/>
          <w:sz w:val="22"/>
        </w:rPr>
        <w:t>摘要：【摘译】运用穆斯塔克·汗的政治解决方案框架，作者分析南非继承的权力配置与制度如何约束包容性低碳发展政策实施，并探讨可行路径。</w:t>
      </w:r>
    </w:p>
    <w:p>
      <w:r>
        <w:rPr>
          <w:rFonts w:ascii="Times New Roman" w:hAnsi="Times New Roman" w:eastAsia="宋体"/>
          <w:b w:val="0"/>
          <w:i w:val="0"/>
          <w:sz w:val="20"/>
        </w:rPr>
        <w:t>Over the course of the twentieth century South Africa developed a highly energy- and capital-intensive industrial structure that has underpinned a high-emissions, low-employment development pathway. While post-apartheid industrial and climate policies have been introduced to shift the country towards more inclusive low-carbon development, the effective implementation of these policies has been limited. This article draws on Mushtaq Khan’s political settlements framework to analyse the political economy dynamics that have constrained policy implementation and explores pathways to more inclusive and sustainable development. The analysis shows how the post-apartheid government inherited a power configuration and supporting set of institutions that has constrained effective policy implementation. We argue that in order to achieve a successful transition, policymakers need to consider the distributional impacts of their policies in light of the underlying political settlement and sequence their interventions accordingly. Following from this, a case is made for a green industrial policy that builds supportive coalitions around a just transition, gradually shifting the balance of power towards inclusive decarbonisation.</w:t>
      </w:r>
    </w:p>
    <w:p/>
    <w:p>
      <w:r>
        <w:rPr>
          <w:rFonts w:ascii="Times New Roman" w:hAnsi="Times New Roman" w:eastAsia="黑体"/>
          <w:b/>
          <w:i w:val="0"/>
          <w:sz w:val="24"/>
        </w:rPr>
        <w:t>金融化、负债工人与劳动纪律：欧盟国家罢工减少的经验证据</w:t>
      </w:r>
    </w:p>
    <w:p>
      <w:r>
        <w:rPr>
          <w:rFonts w:ascii="Times New Roman" w:hAnsi="Times New Roman" w:eastAsia="宋体"/>
          <w:b w:val="0"/>
          <w:i/>
          <w:color w:val="404040"/>
          <w:sz w:val="20"/>
        </w:rPr>
        <w:t>Financialisation, indebted workers and labour discipline: empirical evidence on reduced strike activity in the European Union countries</w:t>
      </w:r>
    </w:p>
    <w:p>
      <w:r>
        <w:rPr>
          <w:rFonts w:ascii="Times New Roman" w:hAnsi="Times New Roman" w:eastAsia="宋体"/>
          <w:b w:val="0"/>
          <w:i w:val="0"/>
          <w:color w:val="595959"/>
          <w:sz w:val="18"/>
        </w:rPr>
        <w:t>Ricardo Barradas（Instituto Universitário de Lisboa (ISCTE-IUL), Centro de Estudos sobre a Mudança Socioeconómica e o Território (DINÂMIA’CET)）</w:t>
      </w:r>
    </w:p>
    <w:p>
      <w:r>
        <w:rPr>
          <w:rFonts w:ascii="Times New Roman" w:hAnsi="Times New Roman" w:eastAsia="宋体"/>
          <w:b w:val="0"/>
          <w:i w:val="0"/>
          <w:sz w:val="22"/>
        </w:rPr>
        <w:t>摘要：【摘译】作者认为负债工人因财务脆弱更自律、更规避风险以保住工作并履行债务，从而减少罢工；以欧盟国家数据实证。</w:t>
      </w:r>
    </w:p>
    <w:p>
      <w:r>
        <w:rPr>
          <w:rFonts w:ascii="Times New Roman" w:hAnsi="Times New Roman" w:eastAsia="宋体"/>
          <w:b w:val="0"/>
          <w:i w:val="0"/>
          <w:sz w:val="20"/>
        </w:rPr>
        <w:t>Workers are being denoted by higher resignation and conformism and lesser claimant behaviour due to their lesser engagement in strikes, which indeliberately accepts the significant deterioration of labour conditions, a loss of labour rights and an increase in labour exploitation all over the world in the last five decades. Our argument to explain this puzzling paradox of worsening labour conditions yet less strike activity emphasises that as a result of their more financially fragile position, indebted workers evidence a more self-disciplined attitude and risk-averse behaviour in their workplaces in order to retain their jobs (and income) and honour their financial obligations, which then constrains their claims for higher wages and better labour conditions through engagement in strikes. This study assesses the influence of worker indebtedness on strike activity by performing a panel data econometric analysis from 1995 to 2022 that is focused on European Union countries. Our results confirm that worker indebtedness negatively impacts strike activity in European Union countries, especially in those with the highest levels of worker indebtedness. Our results corroborate that the growth in worker indebtedness is even one of the main drivers behind the decline of strike activity in the European Union countries since the mid-1990s.</w:t>
      </w:r>
    </w:p>
    <w:p/>
    <w:p>
      <w:r>
        <w:rPr>
          <w:rFonts w:ascii="Times New Roman" w:hAnsi="Times New Roman" w:eastAsia="宋体"/>
          <w:b/>
          <w:i w:val="0"/>
          <w:sz w:val="22"/>
        </w:rPr>
        <w:t>NPE： Vol. 30, No. 3, 2025</w:t>
      </w:r>
    </w:p>
    <w:p/>
    <w:p>
      <w:r>
        <w:rPr>
          <w:rFonts w:ascii="Times New Roman" w:hAnsi="Times New Roman" w:eastAsia="黑体"/>
          <w:b/>
          <w:i w:val="0"/>
          <w:sz w:val="24"/>
        </w:rPr>
        <w:t>导言：数字经济中的权力关系</w:t>
      </w:r>
    </w:p>
    <w:p>
      <w:r>
        <w:rPr>
          <w:rFonts w:ascii="Times New Roman" w:hAnsi="Times New Roman" w:eastAsia="宋体"/>
          <w:b w:val="0"/>
          <w:i/>
          <w:color w:val="404040"/>
          <w:sz w:val="20"/>
        </w:rPr>
        <w:t>Introduction: power relations in the digital economy</w:t>
      </w:r>
    </w:p>
    <w:p>
      <w:r>
        <w:rPr>
          <w:rFonts w:ascii="Times New Roman" w:hAnsi="Times New Roman" w:eastAsia="宋体"/>
          <w:b w:val="0"/>
          <w:i w:val="0"/>
          <w:color w:val="595959"/>
          <w:sz w:val="18"/>
        </w:rPr>
        <w:t>Uma Rani（International Labour Office Switzerland）；Nicolas Pons-Vignon（University of Applied Sciences and Arts of Southern Switzerland (SUPSI)）</w:t>
      </w:r>
    </w:p>
    <w:p>
      <w:r>
        <w:rPr>
          <w:rFonts w:ascii="Times New Roman" w:hAnsi="Times New Roman" w:eastAsia="宋体"/>
          <w:b w:val="0"/>
          <w:i w:val="0"/>
          <w:sz w:val="22"/>
        </w:rPr>
        <w:t>摘要：【摘译】特刊导言认为数字经济并非中立空间，而是强化既有权力失衡（尤其资本与劳动之间），需批判审视。</w:t>
      </w:r>
    </w:p>
    <w:p>
      <w:r>
        <w:rPr>
          <w:rFonts w:ascii="Times New Roman" w:hAnsi="Times New Roman" w:eastAsia="宋体"/>
          <w:b w:val="0"/>
          <w:i w:val="0"/>
          <w:sz w:val="20"/>
        </w:rPr>
        <w:t>This special issue explores how power relations are shaping the digital economy. Rather than simply identifying areas needing regulation, we aim to understand the digital economy’s underlying dynamics and potential pathways towards transformation. A political economy analysis, focused on the dialectical interaction between actors with contradictory interests, can reveal the winners and losers in the digital economy and expose the underlying power structures that shape its development. The papers in this Special Issue explore how these power dynamics manifest across various spheres. The papers in the issue argue that the digital economy, far from being a neutral space, reinforces existing power imbalances, particularly between capital and labor, requiring a critical examination of its financial flows, regulatory frameworks, and distributional outcomes to understand its transformative potential. Ultimately, the special issue aims to inform strategies for building resistance that links struggles from below and regulation from above.</w:t>
      </w:r>
    </w:p>
    <w:p/>
    <w:p>
      <w:r>
        <w:rPr>
          <w:rFonts w:ascii="Times New Roman" w:hAnsi="Times New Roman" w:eastAsia="黑体"/>
          <w:b/>
          <w:i w:val="0"/>
          <w:sz w:val="24"/>
        </w:rPr>
        <w:t>工人权力与平台资本主义：替代方案的胚胎</w:t>
      </w:r>
    </w:p>
    <w:p>
      <w:r>
        <w:rPr>
          <w:rFonts w:ascii="Times New Roman" w:hAnsi="Times New Roman" w:eastAsia="宋体"/>
          <w:b w:val="0"/>
          <w:i/>
          <w:color w:val="404040"/>
          <w:sz w:val="20"/>
        </w:rPr>
        <w:t>Workers’ power and platform capitalism: the embryo towards an alternative</w:t>
      </w:r>
    </w:p>
    <w:p>
      <w:r>
        <w:rPr>
          <w:rFonts w:ascii="Times New Roman" w:hAnsi="Times New Roman" w:eastAsia="宋体"/>
          <w:b w:val="0"/>
          <w:i w:val="0"/>
          <w:color w:val="595959"/>
          <w:sz w:val="18"/>
        </w:rPr>
        <w:t>Fikile Masikane（University of Pretoria）；Edward Webster（University of the Witwatersrand, Johannesburg, South Africa）</w:t>
      </w:r>
    </w:p>
    <w:p>
      <w:r>
        <w:rPr>
          <w:rFonts w:ascii="Times New Roman" w:hAnsi="Times New Roman" w:eastAsia="宋体"/>
          <w:b w:val="0"/>
          <w:i w:val="0"/>
          <w:sz w:val="22"/>
        </w:rPr>
        <w:t>摘要：【摘译】对南非、加纳、肯尼亚外卖骑手的研究显示，平台工作加深不安全，但技术也为工人提供议价渠道，催生自组织的混合型类工会团体。</w:t>
      </w:r>
    </w:p>
    <w:p>
      <w:r>
        <w:rPr>
          <w:rFonts w:ascii="Times New Roman" w:hAnsi="Times New Roman" w:eastAsia="宋体"/>
          <w:b w:val="0"/>
          <w:i w:val="0"/>
          <w:sz w:val="20"/>
        </w:rPr>
        <w:t>Over the past decade, there has been an expansion of digital platforms that has reshaped the world of work by introducing platform work. Most of the studies on gig work – platform work – focus on the global North. While there is growing evidence in developing countries, the research on how platform workers in Africa are responding to the platform economy is quite limited. Although platform work is based on freedom and autonomy to work, our research among food courier riders in South Africa, Ghana and Kenya found that this new work order is deepening worker insecurity and undermines worker right. We argue that technology allows platform workers an avenue to bargain for their labour rights, thus contributing to the emergence of self-organised, hybrid forms of union-like associations – associational power – and new partnerships with traditional unions and non-governmental organisations (NGOs) – societal power. This provides platform workers with the ability to develop collective solidarity and engage in strike action. Ultimately, the rise of the gig economy has led to a new social force which can replace the old one, as evident from the recent upsurge in labour struggles in the platform economy globally as well as in the global South.</w:t>
      </w:r>
    </w:p>
    <w:p/>
    <w:p>
      <w:r>
        <w:rPr>
          <w:rFonts w:ascii="Times New Roman" w:hAnsi="Times New Roman" w:eastAsia="黑体"/>
          <w:b/>
          <w:i w:val="0"/>
          <w:sz w:val="24"/>
        </w:rPr>
        <w:t>挑战边界：以定价策略与无偿劳动时间解释在线劳动力市场的收入差距</w:t>
      </w:r>
    </w:p>
    <w:p>
      <w:r>
        <w:rPr>
          <w:rFonts w:ascii="Times New Roman" w:hAnsi="Times New Roman" w:eastAsia="宋体"/>
          <w:b w:val="0"/>
          <w:i/>
          <w:color w:val="404040"/>
          <w:sz w:val="20"/>
        </w:rPr>
        <w:t>Challenging boundaries: exploring pricing strategies, and unpaid labour time to explain earning disparities in online labour markets</w:t>
      </w:r>
    </w:p>
    <w:p>
      <w:r>
        <w:rPr>
          <w:rFonts w:ascii="Times New Roman" w:hAnsi="Times New Roman" w:eastAsia="宋体"/>
          <w:b w:val="0"/>
          <w:i w:val="0"/>
          <w:color w:val="595959"/>
          <w:sz w:val="18"/>
        </w:rPr>
        <w:t>Uma Rani（Research Department, International Labour Organisation, Geneva, Switzerland）；Valeria Pulignano（Centre for Sociological Research at KU Leuven, Brussels, Belgium）；Nora Gobel（Research Department, International Labour Organisation, Geneva, Switzerland）；Karol Muszyński（Department of Economic Sociology and Public Issues, University of Warsaw, Warsaw, Poland）</w:t>
      </w:r>
    </w:p>
    <w:p>
      <w:r>
        <w:rPr>
          <w:rFonts w:ascii="Times New Roman" w:hAnsi="Times New Roman" w:eastAsia="宋体"/>
          <w:b w:val="0"/>
          <w:i w:val="0"/>
          <w:sz w:val="22"/>
        </w:rPr>
        <w:t>摘要：【摘译】以Upwork为例，作者发现在线自由职业者面对平台算法发展跨区域定价策略，但即便策略相似，区域间收入仍有差距，挑战在线劳动市场“无边界”观念。</w:t>
      </w:r>
    </w:p>
    <w:p>
      <w:r>
        <w:rPr>
          <w:rFonts w:ascii="Times New Roman" w:hAnsi="Times New Roman" w:eastAsia="宋体"/>
          <w:b w:val="0"/>
          <w:i w:val="0"/>
          <w:sz w:val="20"/>
        </w:rPr>
        <w:t>This paper challenges the prevailing perception of the boundless nature of Online Labour Markets (OLMs), where platforms connect service providers, such as online freelancers or workers, with clients. The focus is specifically on the pricing strategies employed by online freelancers on Upwork, a prominent international freelance platform. This article contributes empirically and theoretically to debates on the purported boundlessness of OLMs. It illustrates how online freelancers, when confronted with the rules and practices of platform algorithms, develop distinct strategies to navigate the challenges and access work across regional boundaries. Importantly, our findings reveal that despite adopting similar pricing strategies there are earnings disparities among freelancers across regional boundaries. Consequently, unpaid labour time incurred by workers in developing countries while providing services through the platform becomes a discernible cost borne by freelancers in their pursuit of accessing more lucrative opportunities.</w:t>
      </w:r>
    </w:p>
    <w:p/>
    <w:p>
      <w:r>
        <w:rPr>
          <w:rFonts w:ascii="Times New Roman" w:hAnsi="Times New Roman" w:eastAsia="黑体"/>
          <w:b/>
          <w:i w:val="0"/>
          <w:sz w:val="24"/>
        </w:rPr>
        <w:t>人工智能从何而来？横跨欧洲、非洲与拉美的全球案例研究</w:t>
      </w:r>
    </w:p>
    <w:p>
      <w:r>
        <w:rPr>
          <w:rFonts w:ascii="Times New Roman" w:hAnsi="Times New Roman" w:eastAsia="宋体"/>
          <w:b w:val="0"/>
          <w:i/>
          <w:color w:val="404040"/>
          <w:sz w:val="20"/>
        </w:rPr>
        <w:t>Where does AI come from? A global case study across Europe, Africa, and Latin America</w:t>
      </w:r>
    </w:p>
    <w:p>
      <w:r>
        <w:rPr>
          <w:rFonts w:ascii="Times New Roman" w:hAnsi="Times New Roman" w:eastAsia="宋体"/>
          <w:b w:val="0"/>
          <w:i w:val="0"/>
          <w:color w:val="595959"/>
          <w:sz w:val="18"/>
        </w:rPr>
        <w:t>Paola Tubaro（Institut Polytechnique de Paris）；Antonio A. Casilli（Telecom Paris/Institut Polytechnique de Paris）；Maxime Cornet（Telecom Paris/Institut Polytechnique de Paris）；Clément Le Ludec（Telecom Paris/Institut Polytechnique de Paris）；Juana Torres Cierpe（Telecom Paris/Institut Polytechnique de Paris）</w:t>
      </w:r>
    </w:p>
    <w:p>
      <w:r>
        <w:rPr>
          <w:rFonts w:ascii="Times New Roman" w:hAnsi="Times New Roman" w:eastAsia="宋体"/>
          <w:b w:val="0"/>
          <w:i w:val="0"/>
          <w:sz w:val="22"/>
        </w:rPr>
        <w:t>摘要：【摘译】对法国、马达加斯加与委内瑞拉数据工作的全球案例研究显示，AI供应链通过平台式合同与嵌入式企业结构等多种安排采购外包数据工作，均再生产既有不平等。</w:t>
      </w:r>
    </w:p>
    <w:p>
      <w:r>
        <w:rPr>
          <w:rFonts w:ascii="Times New Roman" w:hAnsi="Times New Roman" w:eastAsia="宋体"/>
          <w:b w:val="0"/>
          <w:i w:val="0"/>
          <w:sz w:val="20"/>
        </w:rPr>
        <w:t>This article examines the organisational and geographical forces that shape the supply chains of artificial intelligence (AI) through outsourced and offshored data work. Bridging sociological theories of relational inequalities and embeddedness with critical approaches to Global Value Chains, we conduct a global case study of the digitally enabled organisation of data work in France, Madagascar, and Venezuela. The AI supply chains procure data work via a mix of arm’s length contracts through marketplace-like platforms, and of embedded firm-like structures that offer greater stability but less flexibility, with multiple intermediate arrangements. Each solution suits specific types and purposes of data work in AI preparation, verification, and impersonation. While all forms reproduce well-known patterns of exclusion that harm externalised workers especially in the Global South, disadvantage manifests unevenly in different supply chain structures, with repercussions on remunerations, job security and working conditions. Unveiling these processes of contemporary technology development provides insights into possible policy implications.</w:t>
      </w:r>
    </w:p>
    <w:p/>
    <w:p>
      <w:r>
        <w:rPr>
          <w:rFonts w:ascii="Times New Roman" w:hAnsi="Times New Roman" w:eastAsia="黑体"/>
          <w:b/>
          <w:i w:val="0"/>
          <w:sz w:val="24"/>
        </w:rPr>
        <w:t>平台经济中的社会关系与工人抵抗：未来研究议程</w:t>
      </w:r>
    </w:p>
    <w:p>
      <w:r>
        <w:rPr>
          <w:rFonts w:ascii="Times New Roman" w:hAnsi="Times New Roman" w:eastAsia="宋体"/>
          <w:b w:val="0"/>
          <w:i/>
          <w:color w:val="404040"/>
          <w:sz w:val="20"/>
        </w:rPr>
        <w:t>Social relations and worker resistance in the platform economy: towards a future research agenda</w:t>
      </w:r>
    </w:p>
    <w:p>
      <w:r>
        <w:rPr>
          <w:rFonts w:ascii="Times New Roman" w:hAnsi="Times New Roman" w:eastAsia="宋体"/>
          <w:b w:val="0"/>
          <w:i w:val="0"/>
          <w:color w:val="595959"/>
          <w:sz w:val="18"/>
        </w:rPr>
        <w:t>Prakriti Dasgupta（University College Cork）；Ronan Carbery（University College Cork）；Anthony McDonnell（University College Cork）；Stefan Jooss（The University of Queensland）</w:t>
      </w:r>
    </w:p>
    <w:p>
      <w:r>
        <w:rPr>
          <w:rFonts w:ascii="Times New Roman" w:hAnsi="Times New Roman" w:eastAsia="宋体"/>
          <w:b w:val="0"/>
          <w:i w:val="0"/>
          <w:sz w:val="22"/>
        </w:rPr>
        <w:t>摘要：【摘译】作者讨论平台工作社会关系如何塑造个体与集体层面的工人抵抗，并提出未来研究议程。</w:t>
      </w:r>
    </w:p>
    <w:p>
      <w:r>
        <w:rPr>
          <w:rFonts w:ascii="Times New Roman" w:hAnsi="Times New Roman" w:eastAsia="宋体"/>
          <w:b w:val="0"/>
          <w:i w:val="0"/>
          <w:sz w:val="20"/>
        </w:rPr>
        <w:t>This paper examines how the social relations of platform work shape workers’ acts of resistance. We critically discuss the broad spectrum of resistance approaches employed by platform workers, bringing attention to how the heterogeneity and novelty of some practices stem from the dynamic and complex social relations of platform work. Accounting for resistance practices at both individual and collective levels, as well as across different types of platform work, enables one to consider the extent to which worker resistance has evolved from its more traditional association with the presence of a ‘shopfloor’ and established organisational structures and processes for social relations with supervisors and co-workers. We elucidate how worker resistance has emerged despite the considerable efforts by platform firms to marginalise the potential for resistance through their business models and conclude with an agenda to guide future research efforts.</w:t>
      </w:r>
    </w:p>
    <w:p/>
    <w:p>
      <w:r>
        <w:rPr>
          <w:rFonts w:ascii="Times New Roman" w:hAnsi="Times New Roman" w:eastAsia="黑体"/>
          <w:b/>
          <w:i w:val="0"/>
          <w:sz w:val="24"/>
        </w:rPr>
        <w:t>软银：亚洲数字资本主义中的帝国建构、资本形成与权力</w:t>
      </w:r>
    </w:p>
    <w:p>
      <w:r>
        <w:rPr>
          <w:rFonts w:ascii="Times New Roman" w:hAnsi="Times New Roman" w:eastAsia="宋体"/>
          <w:b w:val="0"/>
          <w:i/>
          <w:color w:val="404040"/>
          <w:sz w:val="20"/>
        </w:rPr>
        <w:t>SoftBank: empire-building, capital formation &amp; power in Asian digital capitalism</w:t>
      </w:r>
    </w:p>
    <w:p>
      <w:r>
        <w:rPr>
          <w:rFonts w:ascii="Times New Roman" w:hAnsi="Times New Roman" w:eastAsia="宋体"/>
          <w:b w:val="0"/>
          <w:i w:val="0"/>
          <w:color w:val="595959"/>
          <w:sz w:val="18"/>
        </w:rPr>
        <w:t>Jack Linchuan Qiu；Chris King-Chi Chan</w:t>
      </w:r>
    </w:p>
    <w:p>
      <w:r>
        <w:rPr>
          <w:rFonts w:ascii="Times New Roman" w:hAnsi="Times New Roman" w:eastAsia="宋体"/>
          <w:b w:val="0"/>
          <w:i w:val="0"/>
          <w:sz w:val="22"/>
        </w:rPr>
        <w:t>摘要：【摘译】作者将软银视为亚洲平台资本主义特例与日本财阀体系新形式，分析其借东亚与中东资本扩张、联盟与竞争及权力关系演变。</w:t>
      </w:r>
    </w:p>
    <w:p>
      <w:r>
        <w:rPr>
          <w:rFonts w:ascii="Times New Roman" w:hAnsi="Times New Roman" w:eastAsia="宋体"/>
          <w:b w:val="0"/>
          <w:i w:val="0"/>
          <w:sz w:val="20"/>
        </w:rPr>
        <w:t>Venture capital (VC) firms in Silicon Valley have long enabled digital enterprises from Meta to Google. This article investigates SoftBank, a Japanese conglomerate whose Softbank Vision Fund (SVF1) is the world's largest tech investment fund since its initiation in 2017. Led by Masayoshi Son, SoftBank has profoundly shaped AI-powered platform economies the world over, especially ‘unicorns’ such as Uber and Alibaba. With capital from East Asia and Middle East, SoftBank has disrupted the high-tech VC business globally. How to understand Softbank as a peculiar instance of Asian platform capitalism and a new form of Japan's keiretsu system? What are the patterns of expansion and contraction, business alliances and competition, corporate discourse, and evolving power relations therein? Drawing from news archives, corporate documents, and primary materials, this study examines and historicises SoftBank through a critical political economy perspective. After reviewing the contemporary trajectories of SoftBank's empire-building, we trace back to Japan's mobile internet boom around the turn of the century, to the developmental state model of the 1950–80s, and to Japanese settler colonialism and war-economy ‘planning’ in the 1930s Manchukuo, to deepen our analysis concerning the varieties of digital empire-building and their historical origins.</w:t>
      </w:r>
    </w:p>
    <w:p/>
    <w:p>
      <w:r>
        <w:rPr>
          <w:rFonts w:ascii="Times New Roman" w:hAnsi="Times New Roman" w:eastAsia="黑体"/>
          <w:b/>
          <w:i w:val="0"/>
          <w:sz w:val="24"/>
        </w:rPr>
        <w:t>权力资源与物流“最后一公里”问题：对一场瑞士劳工斗争的反思</w:t>
      </w:r>
    </w:p>
    <w:p>
      <w:r>
        <w:rPr>
          <w:rFonts w:ascii="Times New Roman" w:hAnsi="Times New Roman" w:eastAsia="宋体"/>
          <w:b w:val="0"/>
          <w:i/>
          <w:color w:val="404040"/>
          <w:sz w:val="20"/>
        </w:rPr>
        <w:t>Power resources and the last-mile problem in logistics: reflections on a Swiss labour struggle</w:t>
      </w:r>
    </w:p>
    <w:p>
      <w:r>
        <w:rPr>
          <w:rFonts w:ascii="Times New Roman" w:hAnsi="Times New Roman" w:eastAsia="宋体"/>
          <w:b w:val="0"/>
          <w:i w:val="0"/>
          <w:color w:val="595959"/>
          <w:sz w:val="18"/>
        </w:rPr>
        <w:t>Nicolas Pons-Vignon（University of Applied Sciences and Arts of Southern Switzerland (SUPSI)）</w:t>
      </w:r>
    </w:p>
    <w:p>
      <w:r>
        <w:rPr>
          <w:rFonts w:ascii="Times New Roman" w:hAnsi="Times New Roman" w:eastAsia="宋体"/>
          <w:b w:val="0"/>
          <w:i w:val="0"/>
          <w:sz w:val="22"/>
        </w:rPr>
        <w:t>摘要：【摘译】以瑞士物流“最后一公里”工人斗争为例，作者发现迫使DPD承认工人集体的努力反而促成排除工人所选工会的行业协议。</w:t>
      </w:r>
    </w:p>
    <w:p>
      <w:r>
        <w:rPr>
          <w:rFonts w:ascii="Times New Roman" w:hAnsi="Times New Roman" w:eastAsia="宋体"/>
          <w:b w:val="0"/>
          <w:i w:val="0"/>
          <w:sz w:val="20"/>
        </w:rPr>
        <w:t>We analyse a struggle by logistics workers in the ‘last mile' in Switzerland. Although logistics, a low-wage sector employing a precarious workforce, is not an easy sector to organise in, mobilisations have recently stimulated research into the potential to take advantage of ‘choke points' to build labour's power. To engage with this claim, we draw on the power resources approach (PRA), as well as on literature exploring the Amazonification of logistics. Our research follows the conricerca method of workers’ inquiry. The attempt to force the lead logistics firm DPD to recognise the workers' collective paradoxically resulted in a negotiation for a sectoral agreement that excluded the union chosen by the workers. Our research contributes to the scholarship on worker resistance under digital capitalism and to the critique of the PRA. We show that the scope for the last mile to constitute a site of successful worker resistance depends on a range of factors that go beyond what the PRA captures. In our case, the limited protection against dismissal for activists has severely curtailed the use of structural power. The critical importance of organising a militant group of workers is starkly illustrated by the firm's efforts to undermine them.</w:t>
      </w:r>
    </w:p>
    <w:p/>
    <w:p>
      <w:r>
        <w:rPr>
          <w:rFonts w:ascii="Times New Roman" w:hAnsi="Times New Roman" w:eastAsia="黑体"/>
          <w:b/>
          <w:i w:val="0"/>
          <w:sz w:val="24"/>
        </w:rPr>
        <w:t>将“移民修复”理论化：欧洲边境体制中的工人化与排斥</w:t>
      </w:r>
    </w:p>
    <w:p>
      <w:r>
        <w:rPr>
          <w:rFonts w:ascii="Times New Roman" w:hAnsi="Times New Roman" w:eastAsia="宋体"/>
          <w:b w:val="0"/>
          <w:i/>
          <w:color w:val="404040"/>
          <w:sz w:val="20"/>
        </w:rPr>
        <w:t>Theorising the ‘migration fix’: workerisation and exclusion in the European border regime</w:t>
      </w:r>
    </w:p>
    <w:p>
      <w:r>
        <w:rPr>
          <w:rFonts w:ascii="Times New Roman" w:hAnsi="Times New Roman" w:eastAsia="宋体"/>
          <w:b w:val="0"/>
          <w:i w:val="0"/>
          <w:color w:val="595959"/>
          <w:sz w:val="18"/>
        </w:rPr>
        <w:t>Davide Schmid（Manchester Metropolitan University）；Gemma Bird（University of Liverpool）</w:t>
      </w:r>
    </w:p>
    <w:p>
      <w:r>
        <w:rPr>
          <w:rFonts w:ascii="Times New Roman" w:hAnsi="Times New Roman" w:eastAsia="宋体"/>
          <w:b w:val="0"/>
          <w:i w:val="0"/>
          <w:sz w:val="22"/>
        </w:rPr>
        <w:t>摘要：【摘译】作者提出“移民修复”概念，解释欧洲边境体制既强化安全化排斥又因劳动短缺扩大外籍劳工需求的悖论，视边境体制为资本主义发展中的临时不稳定修复。</w:t>
      </w:r>
    </w:p>
    <w:p>
      <w:r>
        <w:rPr>
          <w:rFonts w:ascii="Times New Roman" w:hAnsi="Times New Roman" w:eastAsia="宋体"/>
          <w:b w:val="0"/>
          <w:i w:val="0"/>
          <w:sz w:val="20"/>
        </w:rPr>
        <w:t>The contemporary European border regime is shaped by an apparently paradoxical set of developments: while the securitisation of borders and the violent exclusion of displaced people intensifies, the demand for foreign workers is rapidly growing, driven by severe labour shortages across European economies. In this article, we develop the concept of the migration fix to study how different economic and political logics interact at the heart of European bordering and generate a range of new policies and practices. We theorise this concept drawing from the critical literature on racial capitalism, border studies and the political economy of migration, to understand how border regimes operate within broader logics of capitalist development and function as temporary and unstable fixes between different interests and tendencies, sustaining nativist political projects while creating opportunities for the exploitation of migrant labour. We develop this concept in relation to contemporary EU and member state policies in Germany, Italy and Greece, showing how a set of migration and border policies seek to reconcile business pressures for greater labour migration with the further securitisation of bordering, through the negotiation of partnerships with neighbouring countries and the drive towards what we term the workerisation of asylum seekers and refugees.</w:t>
      </w:r>
    </w:p>
    <w:p/>
    <w:p>
      <w:r>
        <w:rPr>
          <w:rFonts w:ascii="Times New Roman" w:hAnsi="Times New Roman" w:eastAsia="黑体"/>
          <w:b/>
          <w:i w:val="0"/>
          <w:sz w:val="24"/>
        </w:rPr>
        <w:t>央行独立性面临的气候相关风险：英格兰银行净零转型中的去政治化与再政治化</w:t>
      </w:r>
    </w:p>
    <w:p>
      <w:r>
        <w:rPr>
          <w:rFonts w:ascii="Times New Roman" w:hAnsi="Times New Roman" w:eastAsia="宋体"/>
          <w:b w:val="0"/>
          <w:i/>
          <w:color w:val="404040"/>
          <w:sz w:val="20"/>
        </w:rPr>
        <w:t>Climate-related risks to central bank independence: the depoliticisation and repoliticisation of the Bank of England in the transition to net zero</w:t>
      </w:r>
    </w:p>
    <w:p>
      <w:r>
        <w:rPr>
          <w:rFonts w:ascii="Times New Roman" w:hAnsi="Times New Roman" w:eastAsia="宋体"/>
          <w:b w:val="0"/>
          <w:i w:val="0"/>
          <w:color w:val="595959"/>
          <w:sz w:val="18"/>
        </w:rPr>
        <w:t>James Jackson（University of Manchester）；Daniel Bailey（Manchester Metropolitan University）；Matthew Paterson（University of Manchester）</w:t>
      </w:r>
    </w:p>
    <w:p>
      <w:r>
        <w:rPr>
          <w:rFonts w:ascii="Times New Roman" w:hAnsi="Times New Roman" w:eastAsia="宋体"/>
          <w:b w:val="0"/>
          <w:i w:val="0"/>
          <w:sz w:val="22"/>
        </w:rPr>
        <w:t>摘要：【摘译】基于精英访谈与英格兰银行报告话语分析，作者发现“促进净零转型”职责引发对央行独立性的不同诠释：有人认为其天然非政治，有人视之为脆弱或策略性话语。</w:t>
      </w:r>
    </w:p>
    <w:p>
      <w:r>
        <w:rPr>
          <w:rFonts w:ascii="Times New Roman" w:hAnsi="Times New Roman" w:eastAsia="宋体"/>
          <w:b w:val="0"/>
          <w:i w:val="0"/>
          <w:sz w:val="20"/>
        </w:rPr>
        <w:t>Faced with ever-growing climate-related financial risks, the role of central banks in climate governance has intensified debates surrounding central bank independence (CBI). Informed by elite interviews with UK monetary policy experts and a discourse analysis of Bank of England reports, this article reveals the internal views on repoliticisation of the Bank and CBI catalysed by the mandate to ‘facilitate the transition to net zero’. We find different interpretations of CBI that are shaped by perceptions of the Bank’s existing political status, with some claiming that the Bank is intrinsically apolitical and immune to repoliticisation and others viewing CBI as fragile or a strategically-deployed discourse. Across three distinct views of politics, and by extensions CBI, we identify dual dynamics of depoliticisation and re-politicisation that serve to legitimate and depoliticise prior mission creep whilst simultaneously licencing politicising debates on the bank’s institutional evolution. We demonstrate that the Bank of England is an indispensable case study in the green central banking literature for understanding the political economy of CBI within the context of climate change.</w:t>
      </w:r>
    </w:p>
    <w:p/>
    <w:p>
      <w:r>
        <w:rPr>
          <w:rFonts w:ascii="Times New Roman" w:hAnsi="Times New Roman" w:eastAsia="黑体"/>
          <w:b/>
          <w:i w:val="0"/>
          <w:sz w:val="24"/>
        </w:rPr>
        <w:t>重新思考监管性市场保证中介的能力：以海产品可持续审计为例</w:t>
      </w:r>
    </w:p>
    <w:p>
      <w:r>
        <w:rPr>
          <w:rFonts w:ascii="Times New Roman" w:hAnsi="Times New Roman" w:eastAsia="宋体"/>
          <w:b w:val="0"/>
          <w:i/>
          <w:color w:val="404040"/>
          <w:sz w:val="20"/>
        </w:rPr>
        <w:t>Rethinking capacities of regulatory market-assurance intermediaries: the case of seafood sustainability audits</w:t>
      </w:r>
    </w:p>
    <w:p>
      <w:r>
        <w:rPr>
          <w:rFonts w:ascii="Times New Roman" w:hAnsi="Times New Roman" w:eastAsia="宋体"/>
          <w:b w:val="0"/>
          <w:i w:val="0"/>
          <w:color w:val="595959"/>
          <w:sz w:val="18"/>
        </w:rPr>
        <w:t>Graeme Auld（Carleton University）；Stefan Renckens（University of Toronto）</w:t>
      </w:r>
    </w:p>
    <w:p>
      <w:r>
        <w:rPr>
          <w:rFonts w:ascii="Times New Roman" w:hAnsi="Times New Roman" w:eastAsia="宋体"/>
          <w:b w:val="0"/>
          <w:i w:val="0"/>
          <w:sz w:val="22"/>
        </w:rPr>
        <w:t>摘要：【摘译】对283名执行312次海产品可持续审计的个人的分析，重新概念化个体中介的专业性与独立性能力。</w:t>
      </w:r>
    </w:p>
    <w:p>
      <w:r>
        <w:rPr>
          <w:rFonts w:ascii="Times New Roman" w:hAnsi="Times New Roman" w:eastAsia="宋体"/>
          <w:b w:val="0"/>
          <w:i w:val="0"/>
          <w:sz w:val="20"/>
        </w:rPr>
        <w:t>Credible assurances about the invisible qualities of goods and services – such as sustainability features – are key to market governance. The theory of regulatory intermediaries offers a lens for assessing diverse regulatory contexts where differently configured actors serve as market-assurance intermediaries between rule-makers and rule-targets. Studies using this theory have clarified the consequences of these configurations for regulatory capture, co-regulation, feedback effects, and the (re)production of knowledge and power. However, the distinction and relations between organisational and individual intermediaries remain under theorised. We reconceptualise the individual capacities of expertise and independence and assess these for 283 individuals performing 312 seafood sustainability audits for the Marine Stewardship Council (MSC). Examining the individuals and teams performing these audits uncovers otherwise invisible biases within intermediary processes, including in assessors’ professional, educational and personal backgrounds, the composition of assessment teams and assessors’ experience in conducting MSC audits. The analysis highlights that intermediary capacities are co-determined by individual assessors and audit organisations and are only partly under the control of the MSC as regulator. A shift to an individual level of analysis thus elucidates new consequences for the legitimacy of the regulator and intermediaries and for the (re)production of power and inequities in global market governance.</w:t>
      </w:r>
    </w:p>
    <w:p/>
    <w:p>
      <w:r>
        <w:rPr>
          <w:rFonts w:ascii="Times New Roman" w:hAnsi="Times New Roman" w:eastAsia="黑体"/>
          <w:b/>
          <w:i w:val="0"/>
          <w:sz w:val="24"/>
        </w:rPr>
        <w:t>政治对银行业有害吗？政治所有权如何塑造意大利银行的历史轨迹</w:t>
      </w:r>
    </w:p>
    <w:p>
      <w:r>
        <w:rPr>
          <w:rFonts w:ascii="Times New Roman" w:hAnsi="Times New Roman" w:eastAsia="宋体"/>
          <w:b w:val="0"/>
          <w:i/>
          <w:color w:val="404040"/>
          <w:sz w:val="20"/>
        </w:rPr>
        <w:t>Is politics Bad for banking? how political ownership shaped the historical trajectory of Italian banks</w:t>
      </w:r>
    </w:p>
    <w:p>
      <w:r>
        <w:rPr>
          <w:rFonts w:ascii="Times New Roman" w:hAnsi="Times New Roman" w:eastAsia="宋体"/>
          <w:b w:val="0"/>
          <w:i w:val="0"/>
          <w:color w:val="595959"/>
          <w:sz w:val="18"/>
        </w:rPr>
        <w:t>Fabio Bulfone（Leiden University）；Manuela Moschella（University of Bologna）</w:t>
      </w:r>
    </w:p>
    <w:p>
      <w:r>
        <w:rPr>
          <w:rFonts w:ascii="Times New Roman" w:hAnsi="Times New Roman" w:eastAsia="宋体"/>
          <w:b w:val="0"/>
          <w:i w:val="0"/>
          <w:sz w:val="22"/>
        </w:rPr>
        <w:t>摘要：【摘译】作者提出银行与政治关系分析框架，考察政治关联对意大利银行历史轨迹的影响，回应政治是否有害银行业的争论。</w:t>
      </w:r>
    </w:p>
    <w:p>
      <w:r>
        <w:rPr>
          <w:rFonts w:ascii="Times New Roman" w:hAnsi="Times New Roman" w:eastAsia="宋体"/>
          <w:b w:val="0"/>
          <w:i w:val="0"/>
          <w:sz w:val="20"/>
        </w:rPr>
        <w:t>The relationship between politics and banking is complex. On the one hand, political connections are often seen as detrimental to bank profitability and financial stability. On the other hand, historical evidence underscores the importance of political intervention in developing domestic financial systems and driving significant structural change. This paper contributes to the ongoing debate about political influence on economic and financial systems, particularly at a time when state involvement in credit allocation is regaining prominence to manage climate change transitions and navigate shifting geopolitical landscapes. Specifically, the paper provides a conceptual framework to examine the relationship between banks and politics by analyzing the impact of political connections on the institutional evolution of commercial banks over time. The paper focuses on three Italian banks-UniCredit, Intesa Sanpaolo, and Monte dei Paschi-tracking their evolution during two critical junctures that reshaped the European banking sector: the consolidation of the 1990s and the post-2008 market turmoil. The comparative analysis shows that political connections are not inherently harmful, but their effects are shaped by the concentration of political ownership in the banks’ corporate structures.</w:t>
      </w:r>
    </w:p>
    <w:p/>
    <w:p>
      <w:r>
        <w:rPr>
          <w:rFonts w:ascii="Times New Roman" w:hAnsi="Times New Roman" w:eastAsia="宋体"/>
          <w:b/>
          <w:i w:val="0"/>
          <w:sz w:val="22"/>
        </w:rPr>
        <w:t>NPE： Vol. 30, No. 2, 2025</w:t>
      </w:r>
    </w:p>
    <w:p/>
    <w:p>
      <w:r>
        <w:rPr>
          <w:rFonts w:ascii="Times New Roman" w:hAnsi="Times New Roman" w:eastAsia="黑体"/>
          <w:b/>
          <w:i w:val="0"/>
          <w:sz w:val="24"/>
        </w:rPr>
        <w:t>国际金融分工：重新评估金融化资本主义中的外围状况</w:t>
      </w:r>
    </w:p>
    <w:p>
      <w:r>
        <w:rPr>
          <w:rFonts w:ascii="Times New Roman" w:hAnsi="Times New Roman" w:eastAsia="宋体"/>
          <w:b w:val="0"/>
          <w:i/>
          <w:color w:val="404040"/>
          <w:sz w:val="20"/>
        </w:rPr>
        <w:t>The International Division of Finance: reassessing the peripheral condition in a financialised capitalism</w:t>
      </w:r>
    </w:p>
    <w:p>
      <w:r>
        <w:rPr>
          <w:rFonts w:ascii="Times New Roman" w:hAnsi="Times New Roman" w:eastAsia="宋体"/>
          <w:b w:val="0"/>
          <w:i w:val="0"/>
          <w:color w:val="595959"/>
          <w:sz w:val="18"/>
        </w:rPr>
        <w:t>Édivo de Almeida Oliveira（University of Campinas）；Bruno De Conti（University of Campinas; Durban University of Technology）</w:t>
      </w:r>
    </w:p>
    <w:p>
      <w:r>
        <w:rPr>
          <w:rFonts w:ascii="Times New Roman" w:hAnsi="Times New Roman" w:eastAsia="宋体"/>
          <w:b w:val="0"/>
          <w:i w:val="0"/>
          <w:sz w:val="22"/>
        </w:rPr>
        <w:t>摘要：基于拉美结构主义理论，同时主张将讨论置于以金融化与金融全球化为特征的当前历史情境中，本文以货币金融领域为焦点考察全球经济的中心—外围格局，具体分析外围国家在当前国际货币与金融体系中的作用。与“国际劳动分工”的讨论相对话，本文提出并概念化“国际金融分工”及其相应的结构分化与结构趋势，认为国际金融分工并非偶然，而在当前国际货币金融体系中发挥结构性作用。</w:t>
      </w:r>
    </w:p>
    <w:p>
      <w:r>
        <w:rPr>
          <w:rFonts w:ascii="Times New Roman" w:hAnsi="Times New Roman" w:eastAsia="宋体"/>
          <w:b w:val="0"/>
          <w:i w:val="0"/>
          <w:sz w:val="20"/>
        </w:rPr>
        <w:t>Based on the Latin American structuralist theory, but advocating for a need of framing the discussions in the current historical context – characterised by financialisation and financial globalisation –, this article investigates the centre-periphery configuration of the global economy with the focus on the monetary-financial sphere. More specifically, it aims to analyse the role of the peripheral countries for the current International Monetary and Financial System (IMFS). In a dialogue with the discussions related to the International Division of Labour (IDL), the article thence proposes and conceptualises the International Division of Finance (IDF), as well as its corresponding structural differentiation and structural tendency. It argues that the IDF is not accidental, but plays a fundamental role in the modus operandi of the reproduction of wealth in international financial circuits. Through an empirical analysis with data from 212 countries for the period 2000-23, the article demonstrates a structural tendency of transfer of wealth from periphery to central countries. Along with the IDL (in its contemporary format), it generates a ‘double-capture of wealth’. As a result, the IDL and the IDF have feedback effects, deepening the subordination, the lack of autonomy for economic policy and the vulnerability of peripheral countries.</w:t>
      </w:r>
    </w:p>
    <w:p/>
    <w:p>
      <w:r>
        <w:rPr>
          <w:rFonts w:ascii="Times New Roman" w:hAnsi="Times New Roman" w:eastAsia="黑体"/>
          <w:b/>
          <w:i w:val="0"/>
          <w:sz w:val="24"/>
        </w:rPr>
        <w:t>当数字税到期：国家数字税与OECD包容性框架谈判</w:t>
      </w:r>
    </w:p>
    <w:p>
      <w:r>
        <w:rPr>
          <w:rFonts w:ascii="Times New Roman" w:hAnsi="Times New Roman" w:eastAsia="宋体"/>
          <w:b w:val="0"/>
          <w:i/>
          <w:color w:val="404040"/>
          <w:sz w:val="20"/>
        </w:rPr>
        <w:t>When digital taxes come due: national digital taxes and the negotiation of the OECD inclusive framework</w:t>
      </w:r>
    </w:p>
    <w:p>
      <w:r>
        <w:rPr>
          <w:rFonts w:ascii="Times New Roman" w:hAnsi="Times New Roman" w:eastAsia="宋体"/>
          <w:b w:val="0"/>
          <w:i w:val="0"/>
          <w:color w:val="595959"/>
          <w:sz w:val="18"/>
        </w:rPr>
        <w:t>Jonas Heering（Department of Government, Georgetown University）；Loriana Crasnic（University of Zurich）；Abraham Newman（School of Foreign Service &amp; Department of Government, Georgetown University）</w:t>
      </w:r>
    </w:p>
    <w:p>
      <w:r>
        <w:rPr>
          <w:rFonts w:ascii="Times New Roman" w:hAnsi="Times New Roman" w:eastAsia="宋体"/>
          <w:b w:val="0"/>
          <w:i w:val="0"/>
          <w:sz w:val="22"/>
        </w:rPr>
        <w:t>摘要：什么解释国际税收合作的重大转变？现有文献要么强调美国对改革成功的中心地位，要么强调跨国公司对全球税率施加下行压力的权力。然而2021年OECD包容性框架成员同意根据市场活动而非物理存在对部分最大跨国公司征税——这是对国际税收体制的根本改变，长期遭美国政府与美国跨国公司反对。作者认为数字价值链的扩散使跨国公司活动暴露于更多监管行动，使各国政府能将单边监管行动（国家数字税）作为国际谈判筹码。</w:t>
      </w:r>
    </w:p>
    <w:p>
      <w:r>
        <w:rPr>
          <w:rFonts w:ascii="Times New Roman" w:hAnsi="Times New Roman" w:eastAsia="宋体"/>
          <w:b w:val="0"/>
          <w:i w:val="0"/>
          <w:sz w:val="20"/>
        </w:rPr>
        <w:t>What explains major shifts in international tax cooperation? Existing literature emphasises either the centrality of the United States for successful reform or the power of multinational corporations to exert downward pressure on global tax rates. Nonetheless, in 2021 members of the OECD Inclusive Framework (IF) agreed to tax some of the largest multinational companies based on their market activities rather than physical presence – a fundamental change to the international taxation regime that the U.S. government and U.S. multinational corporations (MNCs) had long opposed. We argue that the spread of digital value chains has exposed the activities of MNCs to greater regulatory activity, allowing governments to use unilateral regulatory action as leverage in international negotiations. By shifting the reversion point – the status quo absent an international agreement – governments were collectively able to transform an agreement. We demonstrate our argument by examining how the implementation of national digital services taxes (DSTs) affected the OECD IF negotiations. Drawing on interviews with key stakeholders and primary sources, we show that the adoption of DSTs, including in France and India, and the threat of additional proliferation of DSTs, pushed the United States to drop its longstanding opposition to parts of the IF process.</w:t>
      </w:r>
    </w:p>
    <w:p/>
    <w:p>
      <w:r>
        <w:rPr>
          <w:rFonts w:ascii="Times New Roman" w:hAnsi="Times New Roman" w:eastAsia="黑体"/>
          <w:b/>
          <w:i w:val="0"/>
          <w:sz w:val="24"/>
        </w:rPr>
        <w:t>面对面募捐与表象的辩证法</w:t>
      </w:r>
    </w:p>
    <w:p>
      <w:r>
        <w:rPr>
          <w:rFonts w:ascii="Times New Roman" w:hAnsi="Times New Roman" w:eastAsia="宋体"/>
          <w:b w:val="0"/>
          <w:i/>
          <w:color w:val="404040"/>
          <w:sz w:val="20"/>
        </w:rPr>
        <w:t>Face-to-face fundraising and the dialectics of appearance</w:t>
      </w:r>
    </w:p>
    <w:p>
      <w:r>
        <w:rPr>
          <w:rFonts w:ascii="Times New Roman" w:hAnsi="Times New Roman" w:eastAsia="宋体"/>
          <w:b w:val="0"/>
          <w:i w:val="0"/>
          <w:color w:val="595959"/>
          <w:sz w:val="18"/>
        </w:rPr>
        <w:t>Jake Flavell（University of Manchester）</w:t>
      </w:r>
    </w:p>
    <w:p>
      <w:r>
        <w:rPr>
          <w:rFonts w:ascii="Times New Roman" w:hAnsi="Times New Roman" w:eastAsia="宋体"/>
          <w:b w:val="0"/>
          <w:i w:val="0"/>
          <w:sz w:val="22"/>
        </w:rPr>
        <w:t>摘要：【摘译】作者分析面对面募捐这一人道主义与商品化交汇形式，认为其“表象辩证法”难以用既有商品化概念解释。</w:t>
      </w:r>
    </w:p>
    <w:p>
      <w:r>
        <w:rPr>
          <w:rFonts w:ascii="Times New Roman" w:hAnsi="Times New Roman" w:eastAsia="宋体"/>
          <w:b w:val="0"/>
          <w:i w:val="0"/>
          <w:sz w:val="20"/>
        </w:rPr>
        <w:t>Face-to-face fundraising (F2F) emerged in the 1990s as an innovative mode of charity fundraising, whereby paid fundraisers – often employed through for-profit agencies – solicit members of the public to sign-up for monthly direct-debit payments. Despite its everyday visibility – and public critical reception – this instance of the ubiquitous intersection of humanitarianism and commodification, integral to contemporary capitalism, remains unexplored. This paper fills this gap but, in the process, draws some theoretical lessons germane to this literature and to materialist critique more generally. I argue that the peculiar dialectics of appearance operative in the political economy of F2F resists interpretation in terms of extant conceptual appreciations of other modalities of ‘commodified compassion’ and in materialist conceptual vocabularies in political economy scholarship more broadly. Far from ‘mere appearance’, F2F’s abstract form of ‘shared humanity’ is not simply an ethical veneer to be bypassed in unveiling the concrete (re)production of inequalities in humanity, as is the general tendency in materialist critique. Rather, this appearance is essential for its functioning and those concrete inequalities are written into this form, rather than existing behind/beyond it. This, I suggest, is captured effectively by a ‘dialectical materialist’ take on the Marxian theory of the commodity form.</w:t>
      </w:r>
    </w:p>
    <w:p/>
    <w:p>
      <w:r>
        <w:rPr>
          <w:rFonts w:ascii="Times New Roman" w:hAnsi="Times New Roman" w:eastAsia="黑体"/>
          <w:b/>
          <w:i w:val="0"/>
          <w:sz w:val="24"/>
        </w:rPr>
        <w:t>绿色新政政治中的国家、资本与民族：英国工党2019年纲领的教训</w:t>
      </w:r>
    </w:p>
    <w:p>
      <w:r>
        <w:rPr>
          <w:rFonts w:ascii="Times New Roman" w:hAnsi="Times New Roman" w:eastAsia="宋体"/>
          <w:b w:val="0"/>
          <w:i/>
          <w:color w:val="404040"/>
          <w:sz w:val="20"/>
        </w:rPr>
        <w:t>State, capital and nation in Green New Deal Politics: lessons from the British Labour Party’s 2019 programme</w:t>
      </w:r>
    </w:p>
    <w:p>
      <w:r>
        <w:rPr>
          <w:rFonts w:ascii="Times New Roman" w:hAnsi="Times New Roman" w:eastAsia="宋体"/>
          <w:b w:val="0"/>
          <w:i w:val="0"/>
          <w:color w:val="595959"/>
          <w:sz w:val="18"/>
        </w:rPr>
        <w:t>Mary Robertson（Queen Mary University of London）</w:t>
      </w:r>
    </w:p>
    <w:p>
      <w:r>
        <w:rPr>
          <w:rFonts w:ascii="Times New Roman" w:hAnsi="Times New Roman" w:eastAsia="宋体"/>
          <w:b w:val="0"/>
          <w:i w:val="0"/>
          <w:sz w:val="22"/>
        </w:rPr>
        <w:t>摘要：【摘译】以英国工党2019年绿色新政纲领为例，作者分析绿色新政面临的国家依赖、与资本关系、西方中心三大挑战及其内在张力。</w:t>
      </w:r>
    </w:p>
    <w:p>
      <w:r>
        <w:rPr>
          <w:rFonts w:ascii="Times New Roman" w:hAnsi="Times New Roman" w:eastAsia="宋体"/>
          <w:b w:val="0"/>
          <w:i w:val="0"/>
          <w:sz w:val="20"/>
        </w:rPr>
        <w:t>The Green New Deal (GND) has emerged as a crucial progressive agenda for sustainability transition, but there have been few attempts to develop it into a concrete programme for government. This paper considers one such attempt – the GND proposals put forth by the British Labour Party under Jeremy Corbyn – and how it tackled three key challenges faced by the broader GND agenda: its reliance on the state, its relationship with capital, and its Western centrism. The paper argues that these challenges gave rise to tensions within Labour’s proposals: treating the state both as an instrument and as an object of change, ambivalence towards capitalism as an economic system and struggling to reconcile the competing forces of nationalism and internationalism. By examining these challenges and Labour's efforts to overcome them, this study provides valuable insights into the messy politics of enacting Green New Deal visions.</w:t>
      </w:r>
    </w:p>
    <w:p/>
    <w:p>
      <w:r>
        <w:rPr>
          <w:rFonts w:ascii="Times New Roman" w:hAnsi="Times New Roman" w:eastAsia="黑体"/>
          <w:b/>
          <w:i w:val="0"/>
          <w:sz w:val="24"/>
        </w:rPr>
        <w:t>应对平台企业权力：不同的国家回应</w:t>
      </w:r>
    </w:p>
    <w:p>
      <w:r>
        <w:rPr>
          <w:rFonts w:ascii="Times New Roman" w:hAnsi="Times New Roman" w:eastAsia="宋体"/>
          <w:b w:val="0"/>
          <w:i/>
          <w:color w:val="404040"/>
          <w:sz w:val="20"/>
        </w:rPr>
        <w:t>Responding to platform firm power: differing national responses</w:t>
      </w:r>
    </w:p>
    <w:p>
      <w:r>
        <w:rPr>
          <w:rFonts w:ascii="Times New Roman" w:hAnsi="Times New Roman" w:eastAsia="宋体"/>
          <w:b w:val="0"/>
          <w:i w:val="0"/>
          <w:color w:val="595959"/>
          <w:sz w:val="18"/>
        </w:rPr>
        <w:t>Angela Garcia Calvo（Henley Business School）；Martin Kenney（University of California; Berkeley Roundtable on the International Economy）；John Zysman（Berkeley Roundtable on the International Economy; University of California）</w:t>
      </w:r>
    </w:p>
    <w:p>
      <w:r>
        <w:rPr>
          <w:rFonts w:ascii="Times New Roman" w:hAnsi="Times New Roman" w:eastAsia="宋体"/>
          <w:b w:val="0"/>
          <w:i w:val="0"/>
          <w:sz w:val="22"/>
        </w:rPr>
        <w:t>摘要：【摘译】作者认为除跨国动态外，平台企业能动性、美国先行平台的影响与国内政治三因素塑造各国平台监管，比较美国、欧盟、中国与印度。</w:t>
      </w:r>
    </w:p>
    <w:p>
      <w:r>
        <w:rPr>
          <w:rFonts w:ascii="Times New Roman" w:hAnsi="Times New Roman" w:eastAsia="宋体"/>
          <w:b w:val="0"/>
          <w:i w:val="0"/>
          <w:sz w:val="20"/>
        </w:rPr>
        <w:t>Aware of the power of platform firms and the risks of the platform economy, governments are reconsidering the dominant laissez faire approach in favour of strategies that regulate the power of platform firms. transnational dynamics play an important role in shaping emerging national regimes, but we argue that governments are also influenced by three factors that operate primarily at domestic level: the agency of platform firms, the impact of first-mover US platforms, and domestic politics. We illustrate our approach through an analysis of the trajectories and regulatory measures of four economies: the US, the EU, China, and India. As governance efforts expand to emerging technologies such as AI, our analysis presages broader changes to the structure of what was, with a few important exceptions, a relatively borderless global online economy.</w:t>
      </w:r>
    </w:p>
    <w:p/>
    <w:p>
      <w:r>
        <w:rPr>
          <w:rFonts w:ascii="Times New Roman" w:hAnsi="Times New Roman" w:eastAsia="黑体"/>
          <w:b/>
          <w:i w:val="0"/>
          <w:sz w:val="24"/>
        </w:rPr>
        <w:t>策划反身性：行业活动与另类金融的表演政治</w:t>
      </w:r>
    </w:p>
    <w:p>
      <w:r>
        <w:rPr>
          <w:rFonts w:ascii="Times New Roman" w:hAnsi="Times New Roman" w:eastAsia="宋体"/>
          <w:b w:val="0"/>
          <w:i/>
          <w:color w:val="404040"/>
          <w:sz w:val="20"/>
        </w:rPr>
        <w:t>Curating reflexivity: industry events and the performative politics of alternative finance</w:t>
      </w:r>
    </w:p>
    <w:p>
      <w:r>
        <w:rPr>
          <w:rFonts w:ascii="Times New Roman" w:hAnsi="Times New Roman" w:eastAsia="宋体"/>
          <w:b w:val="0"/>
          <w:i w:val="0"/>
          <w:color w:val="595959"/>
          <w:sz w:val="18"/>
        </w:rPr>
        <w:t>Marco Andreu（Department of Politics and International Studies, University of Warwick, Coventry, UK）；Ruben Kremers（Department of Politics, Johannes Gutenberg University Mainz, Mainz, Germany）；Lena Rethel（Department of Politics and International Studies, University of Warwick, Coventry, UK）</w:t>
      </w:r>
    </w:p>
    <w:p>
      <w:r>
        <w:rPr>
          <w:rFonts w:ascii="Times New Roman" w:hAnsi="Times New Roman" w:eastAsia="宋体"/>
          <w:b w:val="0"/>
          <w:i w:val="0"/>
          <w:sz w:val="22"/>
        </w:rPr>
        <w:t>摘要：【摘译】以影响力债券与伊斯兰金融行业活动为例，作者识别行业活动策划反身性的三种机制：奠基叙事、审议空间与网络节点。</w:t>
      </w:r>
    </w:p>
    <w:p>
      <w:r>
        <w:rPr>
          <w:rFonts w:ascii="Times New Roman" w:hAnsi="Times New Roman" w:eastAsia="宋体"/>
          <w:b w:val="0"/>
          <w:i w:val="0"/>
          <w:sz w:val="20"/>
        </w:rPr>
        <w:t>This article examines the role of industry events in curating reflexivity within the financial sector. Through an examination of industry events related to impact bonds and Islamic finance, it identifies three important mechanisms through which reflexivity is curated. First, industry events act as foundational frames, creating historical narratives and origin stories that conjure up a shared sense of social purpose and direction amongst professionals from different backgrounds; second, they act as deliberative spaces where market rationalities are presented, challenged, and negotiated; and third, they act as networking nodes where alternative market subjectivities are cultivated, validated, and shaped. Together, we argue, these three mechanisms perform a politics of reflexivity within alternative finance. In contrast to investigations arguing that alternative finance seeks to silence political confrontation, our work reveals that it is the very performance of dissent and outside voices at such events that creates credibility, and stability.</w:t>
      </w:r>
    </w:p>
    <w:p/>
    <w:p>
      <w:r>
        <w:rPr>
          <w:rFonts w:ascii="Times New Roman" w:hAnsi="Times New Roman" w:eastAsia="黑体"/>
          <w:b/>
          <w:i w:val="0"/>
          <w:sz w:val="24"/>
        </w:rPr>
        <w:t>算法治理还是勒索？尼日利亚金融科技贷款的日常经验</w:t>
      </w:r>
    </w:p>
    <w:p>
      <w:r>
        <w:rPr>
          <w:rFonts w:ascii="Times New Roman" w:hAnsi="Times New Roman" w:eastAsia="宋体"/>
          <w:b w:val="0"/>
          <w:i/>
          <w:color w:val="404040"/>
          <w:sz w:val="20"/>
        </w:rPr>
        <w:t>Algorithmic governance or extortion? Everyday experiences of fintech for loans in Nigeria</w:t>
      </w:r>
    </w:p>
    <w:p>
      <w:r>
        <w:rPr>
          <w:rFonts w:ascii="Times New Roman" w:hAnsi="Times New Roman" w:eastAsia="宋体"/>
          <w:b w:val="0"/>
          <w:i w:val="0"/>
          <w:color w:val="595959"/>
          <w:sz w:val="18"/>
        </w:rPr>
        <w:t>Shuaib Jalal-Eddeen（University College London）</w:t>
      </w:r>
    </w:p>
    <w:p>
      <w:r>
        <w:rPr>
          <w:rFonts w:ascii="Times New Roman" w:hAnsi="Times New Roman" w:eastAsia="宋体"/>
          <w:b w:val="0"/>
          <w:i w:val="0"/>
          <w:sz w:val="22"/>
        </w:rPr>
        <w:t>摘要：【摘译】基于尼日利亚吉梅塔的民族志，作者发现金融科技贷款帮助人们应对困境，但也卷入算法治理与勒索式催收。</w:t>
      </w:r>
    </w:p>
    <w:p>
      <w:r>
        <w:rPr>
          <w:rFonts w:ascii="Times New Roman" w:hAnsi="Times New Roman" w:eastAsia="宋体"/>
          <w:b w:val="0"/>
          <w:i w:val="0"/>
          <w:sz w:val="20"/>
        </w:rPr>
        <w:t>This paper aims to understand the everyday experiences of financialised inclusion amongst fintech users in Nigeria. Concerns about the use of fintech to drive financial inclusion in the global south have led social scientific scholars to argue that it extends processes of financialisation by employing opaque algorithms to extract the behavioural data of users in order to inundate them with unsecured credit and monetise their data through resale. The consequences of these practices are not fully understood across various contexts. Using a variety of ethnographic methods, this paper examines patterns of fintech adoption and usage in Jimeta, Nigeria. It demonstrates that while fintech allows people to sort out their personal issues amidst precarity, it is also entangled in algorithmic governance issues that facilitate algorithmic extortion to the detriment of user populations. Ultimately, the paper argues that fintech, contrary to claims about its potential to unlock prosperity, is one that opens up novel possibilities for profit making and accumulation, albeit with severe consequences on user populations.</w:t>
      </w:r>
    </w:p>
    <w:p/>
    <w:p>
      <w:r>
        <w:rPr>
          <w:rFonts w:ascii="Times New Roman" w:hAnsi="Times New Roman" w:eastAsia="黑体"/>
          <w:b/>
          <w:i w:val="0"/>
          <w:sz w:val="24"/>
        </w:rPr>
        <w:t>伊斯兰金融的金融化：市场逻辑压倒伊斯兰逻辑的波兰尼式分析</w:t>
      </w:r>
    </w:p>
    <w:p>
      <w:r>
        <w:rPr>
          <w:rFonts w:ascii="Times New Roman" w:hAnsi="Times New Roman" w:eastAsia="宋体"/>
          <w:b w:val="0"/>
          <w:i/>
          <w:color w:val="404040"/>
          <w:sz w:val="20"/>
        </w:rPr>
        <w:t>Financialisation of Islamic finance: a Polanyian approach on the hegemony of market logic over Islamic Logic</w:t>
      </w:r>
    </w:p>
    <w:p>
      <w:r>
        <w:rPr>
          <w:rFonts w:ascii="Times New Roman" w:hAnsi="Times New Roman" w:eastAsia="宋体"/>
          <w:b w:val="0"/>
          <w:i w:val="0"/>
          <w:color w:val="595959"/>
          <w:sz w:val="18"/>
        </w:rPr>
        <w:t>Mehmet Asutay（Durham University Business School）；Isa Yilmaz（Istanbul Medeniyet University）</w:t>
      </w:r>
    </w:p>
    <w:p>
      <w:r>
        <w:rPr>
          <w:rFonts w:ascii="Times New Roman" w:hAnsi="Times New Roman" w:eastAsia="宋体"/>
          <w:b w:val="0"/>
          <w:i w:val="0"/>
          <w:sz w:val="22"/>
        </w:rPr>
        <w:t>摘要：【摘译】基于克里普纳的金融化路径，作者认为伊斯兰金融虽具反霸权理论构造，但金融资本力量使其被嫁接入市场逻辑之中。</w:t>
      </w:r>
    </w:p>
    <w:p>
      <w:r>
        <w:rPr>
          <w:rFonts w:ascii="Times New Roman" w:hAnsi="Times New Roman" w:eastAsia="宋体"/>
          <w:b w:val="0"/>
          <w:i w:val="0"/>
          <w:sz w:val="20"/>
        </w:rPr>
        <w:t>The significant rise of finance in emerging economies evidenced that financialisation is not limited to advanced economies. While financial capitalism spreads to every corner, financialisation appears in emerging economies in the form of variegated finance capital. Despite its theoretically counter-hegemonic construct, Islamic financial markets do not stand out of this permeation. This paper, hence, aims to explore the role of Islamic finance in making inroads into financialisation in the countries where Islamic finance has reached a significant presence. Based on Krippner’s approach to financialisation, this paper examines the financialisation of Islamic finance by concluding that the strength of finance capital resulted in variegating or grafting a morally backed financial system into the neoliberal logic. The discursive analysis supported by empirical analysis suggests that due to the observed dis-embeddedness of Islamic finance away from its genuine novelty, it has become a hybrid product of the neo-liberal agenda. This is evident in its debt-encouraging financial instruments, which worsens the gap between the real and financial economy. The contribution of this paper is evident in its contractual-level analysis, which focuses on the operational and working mechanism of Islamic banking and finance and how it has been led astray by the finance capital.</w:t>
      </w:r>
    </w:p>
    <w:p/>
    <w:p>
      <w:r>
        <w:rPr>
          <w:rFonts w:ascii="Times New Roman" w:hAnsi="Times New Roman" w:eastAsia="黑体"/>
          <w:b/>
          <w:i w:val="0"/>
          <w:sz w:val="24"/>
        </w:rPr>
        <w:t>面向快速脱碳的绿色经济规划</w:t>
      </w:r>
    </w:p>
    <w:p>
      <w:r>
        <w:rPr>
          <w:rFonts w:ascii="Times New Roman" w:hAnsi="Times New Roman" w:eastAsia="宋体"/>
          <w:b w:val="0"/>
          <w:i/>
          <w:color w:val="404040"/>
          <w:sz w:val="20"/>
        </w:rPr>
        <w:t>Green economic planning for rapid decarbonisation</w:t>
      </w:r>
    </w:p>
    <w:p>
      <w:r>
        <w:rPr>
          <w:rFonts w:ascii="Times New Roman" w:hAnsi="Times New Roman" w:eastAsia="宋体"/>
          <w:b w:val="0"/>
          <w:i w:val="0"/>
          <w:color w:val="595959"/>
          <w:sz w:val="18"/>
        </w:rPr>
        <w:t>Cornel Ban（Copenhagen Business School）；Jacob Hasselbalch（Copenhagen Business School）</w:t>
      </w:r>
    </w:p>
    <w:p>
      <w:r>
        <w:rPr>
          <w:rFonts w:ascii="Times New Roman" w:hAnsi="Times New Roman" w:eastAsia="宋体"/>
          <w:b w:val="0"/>
          <w:i w:val="0"/>
          <w:sz w:val="22"/>
        </w:rPr>
        <w:t>摘要：【摘译】作者呼吁整合性的“绿色经济规划”议程：国家设计并实施宏观金融架构、产业政策与私人部门激励之间的结构互补，以实现快速脱碳。</w:t>
      </w:r>
    </w:p>
    <w:p>
      <w:r>
        <w:rPr>
          <w:rFonts w:ascii="Times New Roman" w:hAnsi="Times New Roman" w:eastAsia="宋体"/>
          <w:b w:val="0"/>
          <w:i w:val="0"/>
          <w:sz w:val="20"/>
        </w:rPr>
        <w:t>Sustainable futures require deep social and economic transformations to address climate change adequately. The current landscape of intergovernmental and market-based coordination is not delivering this outcome. In response, political economic scholarship is congregating around the concept of the green state as a corrective to the status quo. In spite of this resurgence of interest in the green state, much research takes place in issue-specific silos without exploring synergies between them. Our contribution is to call for an integrative agenda focused on ‘green economic planning’, a form of state-led decarbonisation whereby the state designs and implements structural complementarities between macro-financial architectures, industrial policy, and private sector incentives. Our evidence for this approach is taken from historical cases of indicative planning in post-war democracies, contemporary cases of sectoral planning by states, and finally, planning by multinational corporations. We draw not only on political economy but also on scholarship in the fields of business, environment, energy and economic history. The upshot is a new research agenda focusing on state planning capacity in hierarchical coordination institutions and multinational corporations as research laboratories for the study of the organisational and technological infrastructure needed for state planning.</w:t>
      </w:r>
    </w:p>
    <w:p/>
    <w:p>
      <w:r>
        <w:rPr>
          <w:rFonts w:ascii="Times New Roman" w:hAnsi="Times New Roman" w:eastAsia="黑体"/>
          <w:b/>
          <w:i w:val="0"/>
          <w:sz w:val="24"/>
        </w:rPr>
        <w:t>从次贷历史重思金融化下的掠夺：掠夺性金融案例</w:t>
      </w:r>
    </w:p>
    <w:p>
      <w:r>
        <w:rPr>
          <w:rFonts w:ascii="Times New Roman" w:hAnsi="Times New Roman" w:eastAsia="宋体"/>
          <w:b w:val="0"/>
          <w:i/>
          <w:color w:val="404040"/>
          <w:sz w:val="20"/>
        </w:rPr>
        <w:t>Rethinking predation under financialisation through the history of subprime mortgages: a case of raiding finance</w:t>
      </w:r>
    </w:p>
    <w:p>
      <w:r>
        <w:rPr>
          <w:rFonts w:ascii="Times New Roman" w:hAnsi="Times New Roman" w:eastAsia="宋体"/>
          <w:b w:val="0"/>
          <w:i w:val="0"/>
          <w:color w:val="595959"/>
          <w:sz w:val="18"/>
        </w:rPr>
        <w:t>Pasquale Emanuele De Girolamo（University of Milan）</w:t>
      </w:r>
    </w:p>
    <w:p>
      <w:r>
        <w:rPr>
          <w:rFonts w:ascii="Times New Roman" w:hAnsi="Times New Roman" w:eastAsia="宋体"/>
          <w:b w:val="0"/>
          <w:i w:val="0"/>
          <w:sz w:val="22"/>
        </w:rPr>
        <w:t>摘要：【摘译】作者重访次贷史，认为金融化下的掠夺历史上偏离“食利者化”：次贷由传统金融体系外的房地产行为体而非食利者开发，提出“掠夺性金融”概念。</w:t>
      </w:r>
    </w:p>
    <w:p>
      <w:r>
        <w:rPr>
          <w:rFonts w:ascii="Times New Roman" w:hAnsi="Times New Roman" w:eastAsia="宋体"/>
          <w:b w:val="0"/>
          <w:i w:val="0"/>
          <w:sz w:val="20"/>
        </w:rPr>
        <w:t>The ‘rentier’ model provides an influential framework for conceptualising the predatory traits of financialisation. It asserts that financialisation has empowered a class of rentiers who wield influence by controlling scarce money and charging others for its use. The development of subprime mortgages is often cited as a prime example of rentier exploitation, wherein banks capitalised on historically marginalised borrowers. This article revisits this history to argue that predation under financialisation has historically deviated from rentierisation. Specifically, subprime mortgages were not developed by entities fitting the rentier model, but rather by real estate actors operating outside the established financial system. The latter developed predatory capabilities by virtue of their ability to secure substantial funds through debt, thus reducing reliance on their own capital. This led to the creation of subprime mortgages, loans focused on home-equity stripping, which were crucial to sustain their funding model. Building on these insights, this study introduces the concept of ‘raiding’ as a form of predation that emphasises practices centred on the rapid extraction of money, alongside more traditional forms of rentierism.</w:t>
      </w:r>
    </w:p>
    <w:p/>
    <w:p>
      <w:r>
        <w:rPr>
          <w:rFonts w:ascii="Times New Roman" w:hAnsi="Times New Roman" w:eastAsia="宋体"/>
          <w:b/>
          <w:i w:val="0"/>
          <w:sz w:val="22"/>
        </w:rPr>
        <w:t>NPE： Vol. 30, No. 1, 2025</w:t>
      </w:r>
    </w:p>
    <w:p/>
    <w:p>
      <w:r>
        <w:rPr>
          <w:rFonts w:ascii="Times New Roman" w:hAnsi="Times New Roman" w:eastAsia="黑体"/>
          <w:b/>
          <w:i w:val="0"/>
          <w:sz w:val="24"/>
        </w:rPr>
        <w:t>由繁荣与萧条塑造：1859年以来的加拿大矿业史</w:t>
      </w:r>
    </w:p>
    <w:p>
      <w:r>
        <w:rPr>
          <w:rFonts w:ascii="Times New Roman" w:hAnsi="Times New Roman" w:eastAsia="宋体"/>
          <w:b w:val="0"/>
          <w:i/>
          <w:color w:val="404040"/>
          <w:sz w:val="20"/>
        </w:rPr>
        <w:t>Shaped by boom-and-bust: a history of the Canadian mining industry since 1859</w:t>
      </w:r>
    </w:p>
    <w:p>
      <w:r>
        <w:rPr>
          <w:rFonts w:ascii="Times New Roman" w:hAnsi="Times New Roman" w:eastAsia="宋体"/>
          <w:b w:val="0"/>
          <w:i w:val="0"/>
          <w:color w:val="595959"/>
          <w:sz w:val="18"/>
        </w:rPr>
        <w:t>Clara Dallaire-Fortier（Lund University）</w:t>
      </w:r>
    </w:p>
    <w:p>
      <w:r>
        <w:rPr>
          <w:rFonts w:ascii="Times New Roman" w:hAnsi="Times New Roman" w:eastAsia="宋体"/>
          <w:b w:val="0"/>
          <w:i w:val="0"/>
          <w:sz w:val="22"/>
        </w:rPr>
        <w:t>摘要：【摘译】以调节理论识别加拿大1859年以来四种采矿体制，国家积极角色、自由采矿原则与投机持续，价格周期、劳动份额与技术创新变化。</w:t>
      </w:r>
    </w:p>
    <w:p>
      <w:r>
        <w:rPr>
          <w:rFonts w:ascii="Times New Roman" w:hAnsi="Times New Roman" w:eastAsia="宋体"/>
          <w:b w:val="0"/>
          <w:i w:val="0"/>
          <w:sz w:val="20"/>
        </w:rPr>
        <w:t>This article is concerned with the historical evolution of the mining industry in Canada since 1859. The focus is directed on changes that occurred in the industry and allows for the identification of four distinct mining regimes. These regimes are defined using the Regulation Theory, which connects conditions of production, technical progress, financial structures, and social relations. The identification of regimes gives a portrait of continuity and change in the industry. Continuity is present in the active role of the state, the legal framework based on Free Mining Principle and persistent speculation in the industry. Change is illustrated in price cycle, labour share and technological innovation. Interestingly, through time, price cycles have very different outcomes in financial and real economic terms. The most recent upswing in the late 1990s resulted in a punctual increase of financial assets but no significant increase in employment. Through this discussion, it becomes evident that the mechanisms underlying continuity and change have implications on the nature of state intervention and on the distribution of power between the corporate and regional actors like the workers and indigenous communities.</w:t>
      </w:r>
    </w:p>
    <w:p/>
    <w:p>
      <w:r>
        <w:rPr>
          <w:rFonts w:ascii="Times New Roman" w:hAnsi="Times New Roman" w:eastAsia="黑体"/>
          <w:b/>
          <w:i w:val="0"/>
          <w:sz w:val="24"/>
        </w:rPr>
        <w:t>后新自由主义？英格兰新自由港的奇特案例</w:t>
      </w:r>
    </w:p>
    <w:p>
      <w:r>
        <w:rPr>
          <w:rFonts w:ascii="Times New Roman" w:hAnsi="Times New Roman" w:eastAsia="宋体"/>
          <w:b w:val="0"/>
          <w:i/>
          <w:color w:val="404040"/>
          <w:sz w:val="20"/>
        </w:rPr>
        <w:t>Post-neoliberalism? The strange case of the new English Freeports</w:t>
      </w:r>
    </w:p>
    <w:p>
      <w:r>
        <w:rPr>
          <w:rFonts w:ascii="Times New Roman" w:hAnsi="Times New Roman" w:eastAsia="宋体"/>
          <w:b w:val="0"/>
          <w:i w:val="0"/>
          <w:color w:val="595959"/>
          <w:sz w:val="18"/>
        </w:rPr>
        <w:t>Patrick Holden（University of Plymouth）；Nichola Harmer（University of Plymouth）</w:t>
      </w:r>
    </w:p>
    <w:p>
      <w:r>
        <w:rPr>
          <w:rFonts w:ascii="Times New Roman" w:hAnsi="Times New Roman" w:eastAsia="宋体"/>
          <w:b w:val="0"/>
          <w:i w:val="0"/>
          <w:sz w:val="22"/>
        </w:rPr>
        <w:t>摘要：【摘译】以批判话语分析研究英格兰自由港，展示后霸权情境中新自由主义话语如何与地缘经济现实及物质权力互动。</w:t>
      </w:r>
    </w:p>
    <w:p>
      <w:r>
        <w:rPr>
          <w:rFonts w:ascii="Times New Roman" w:hAnsi="Times New Roman" w:eastAsia="宋体"/>
          <w:b w:val="0"/>
          <w:i w:val="0"/>
          <w:sz w:val="20"/>
        </w:rPr>
        <w:t>Neoliberalism has lost its hegemonic status in the global system but neoliberal ideas and practices persist. Post-Brexit UK offers a useful case study of how these operate in a post-hegemonic context. The UK government's vision of free trading ‘Global Britain' crashed against the reality of an increasingly geoeconomic world. Freeports were an initiative designed to boost trade and to develop poorer regions. This paper adapts Fairclough’s Critical Discourse Analysis to analyse how the different Freeport discourses interact with material power as the policy develops. It divides this into three levels: national political discourse, national policy discourse and local political and policy discourse (with a case study of one Freeport). At the national level, the Brexiteers forged a discourse that combined neoliberalism, Brexit discourse and ‘levelling up’. When translated to policy this was significantly moderated due to legal commitments and geoeconomic pressures. At the local level, the policy was significantly reframed with little emphasis on trade and more on traditional local development concerns. The contradictions of the initial political discourse opened a space for other actors to reshape the policy. More broadly, this story suggests that global geoeconomic pressures may restrict the role of free trade zones in the developed world.</w:t>
      </w:r>
    </w:p>
    <w:p/>
    <w:p>
      <w:r>
        <w:rPr>
          <w:rFonts w:ascii="Times New Roman" w:hAnsi="Times New Roman" w:eastAsia="黑体"/>
          <w:b/>
          <w:i w:val="0"/>
          <w:sz w:val="24"/>
        </w:rPr>
        <w:t>“华尔街共识”有替代方案吗？比较美国、欧盟与中国的基础设施融资模式</w:t>
      </w:r>
    </w:p>
    <w:p>
      <w:r>
        <w:rPr>
          <w:rFonts w:ascii="Times New Roman" w:hAnsi="Times New Roman" w:eastAsia="宋体"/>
          <w:b w:val="0"/>
          <w:i/>
          <w:color w:val="404040"/>
          <w:sz w:val="20"/>
        </w:rPr>
        <w:t>Any alternative to the Wall Street Consensus? Comparing the infrastructure financing models of the US, the EU, and China</w:t>
      </w:r>
    </w:p>
    <w:p>
      <w:r>
        <w:rPr>
          <w:rFonts w:ascii="Times New Roman" w:hAnsi="Times New Roman" w:eastAsia="宋体"/>
          <w:b w:val="0"/>
          <w:i w:val="0"/>
          <w:color w:val="595959"/>
          <w:sz w:val="18"/>
        </w:rPr>
        <w:t>Mathias Larsen（Brown University）</w:t>
      </w:r>
    </w:p>
    <w:p>
      <w:r>
        <w:rPr>
          <w:rFonts w:ascii="Times New Roman" w:hAnsi="Times New Roman" w:eastAsia="宋体"/>
          <w:b w:val="0"/>
          <w:i w:val="0"/>
          <w:sz w:val="22"/>
        </w:rPr>
        <w:t>摘要：到2035年，全球南方国家（不含中国）需要40万亿美元基础设施融资，其中大部分须从外部获得。美国“全球基础设施与投资伙伴关系”、欧盟“全球门户”和中国“一带一路”倡议都旨在提供部分资本。将美国路径的国家—资本关系概念化为“华尔街共识”，即指定东道国通过为基础设施项目去风险来撬动私人资本。作者对三项倡议融资模式中的国家—资本关系进行比较研究，依据在全球北方与南方开展的123次访谈、官方文件与基础设施融资文献，发现三种模式虽赋予东道国不同角色，但都带来沉重的金融风险负担。作者将美国模式概念化为“东道国去风险”，欧盟模式为“以官方发展援助讨价还价的去风险”，中国模式为“国家组织的风险分担”。处于这些模式之间，全球南方国家面临两难：既需要以“绿色国家”路径推动基础设施发展，又面临三种模式施加的有限承担风险的国家角色压力。</w:t>
      </w:r>
    </w:p>
    <w:p>
      <w:r>
        <w:rPr>
          <w:rFonts w:ascii="Times New Roman" w:hAnsi="Times New Roman" w:eastAsia="宋体"/>
          <w:b w:val="0"/>
          <w:i w:val="0"/>
          <w:sz w:val="20"/>
        </w:rPr>
        <w:t>Global South countries (excluding China) need USD 40 trillion in infrastructure finance by 2035. Most of this must be sourced externally. The US’s Partnership on Global Infrastructure and Investment, the EU’s Global Gateway, and China’s Belt and Road Initiative all aim to provide parts of this capital. Conceptualising the state-capital relation of the US’s approach, the ‘Wall Street Consensus’ appoints host countries to catalyse private capital by de-risking infrastructure projects. Here, I conduct a comparative study of the state-capital relationships within the financing models of the three initiatives, drawing from 123 interviews conducted across the global North and South, official documents, and existing literature on infrastructure finance. I find that while the three models assign different roles to host countries, they all entail a heavy financial risk burden. Highlighting differences between initiatives, I conceptualise the US‘s model as ‘host country de-risking’, the EU’s as ‘ODA bargained de-risking’, and China’s as ‘state-organised risk-sharing’. Positioned between these models, I find that global South countries face a dilemma between the need for a ‘green state’ approach to drive infrastructure development and pressure for a limited risk-carrying state role imposed by the three models.</w:t>
      </w:r>
    </w:p>
    <w:p/>
    <w:p>
      <w:r>
        <w:rPr>
          <w:rFonts w:ascii="Times New Roman" w:hAnsi="Times New Roman" w:eastAsia="黑体"/>
          <w:b/>
          <w:i w:val="0"/>
          <w:sz w:val="24"/>
        </w:rPr>
        <w:t>迈向去增长转型：把利益带回来</w:t>
      </w:r>
    </w:p>
    <w:p>
      <w:r>
        <w:rPr>
          <w:rFonts w:ascii="Times New Roman" w:hAnsi="Times New Roman" w:eastAsia="宋体"/>
          <w:b w:val="0"/>
          <w:i/>
          <w:color w:val="404040"/>
          <w:sz w:val="20"/>
        </w:rPr>
        <w:t>Towards a degrowth transition: bringing interests back in</w:t>
      </w:r>
    </w:p>
    <w:p>
      <w:r>
        <w:rPr>
          <w:rFonts w:ascii="Times New Roman" w:hAnsi="Times New Roman" w:eastAsia="宋体"/>
          <w:b w:val="0"/>
          <w:i w:val="0"/>
          <w:color w:val="595959"/>
          <w:sz w:val="18"/>
        </w:rPr>
        <w:t>Joe P. L. Davidson（University of Warwick）；Maria Gavris（University of Warwick）</w:t>
      </w:r>
    </w:p>
    <w:p>
      <w:r>
        <w:rPr>
          <w:rFonts w:ascii="Times New Roman" w:hAnsi="Times New Roman" w:eastAsia="宋体"/>
          <w:b w:val="0"/>
          <w:i w:val="0"/>
          <w:sz w:val="22"/>
        </w:rPr>
        <w:t>摘要：【摘译】作者主张借助制度变迁与可持续转型理论讨论去增长转型，并“把利益带回来”。</w:t>
      </w:r>
    </w:p>
    <w:p>
      <w:r>
        <w:rPr>
          <w:rFonts w:ascii="Times New Roman" w:hAnsi="Times New Roman" w:eastAsia="宋体"/>
          <w:b w:val="0"/>
          <w:i w:val="0"/>
          <w:sz w:val="20"/>
        </w:rPr>
        <w:t>Degrowth has become particularly important in the environmental movement in recent years. However, there is no consensus on how to achieve the shift from a growth-oriented society to a degrowth-oriented society. We suggest that a productive means of addressing this issue is by turning to debates concerning processes of institutional change and sustainability transitions. This approach has two key implications. On the one hand, accounts of degrowth transitions resonate with broader theories of institutional change. For instance, some, in common with historical institutionalism, emphasise the path dependencies of existing growth-oriented institutions while others, in common with discursive institutionalism, highlight the role of ideas in facilitating the creation of a degrowth-oriented society. On the other hand, there are serious limitations to these theories of institutional change. From the perspective of critical political economy, they fail to situate institutions in the broader context of capitalist power dynamics and thus do not engage with social interests. On the basis of two case studies, we argue that degrowth needs to address the question ‘who wants degrowth?’, or how its demands advance the interests of the working class, with its different intersections, in the contemporary moment.</w:t>
      </w:r>
    </w:p>
    <w:p/>
    <w:p>
      <w:r>
        <w:rPr>
          <w:rFonts w:ascii="Times New Roman" w:hAnsi="Times New Roman" w:eastAsia="黑体"/>
          <w:b/>
          <w:i w:val="0"/>
          <w:sz w:val="24"/>
        </w:rPr>
        <w:t>央行的多样性：超越财政中心路径的北欧模式</w:t>
      </w:r>
    </w:p>
    <w:p>
      <w:r>
        <w:rPr>
          <w:rFonts w:ascii="Times New Roman" w:hAnsi="Times New Roman" w:eastAsia="宋体"/>
          <w:b w:val="0"/>
          <w:i/>
          <w:color w:val="404040"/>
          <w:sz w:val="20"/>
        </w:rPr>
        <w:t>Varieties of central banking: the Nordic Model beyond a fiscal-centric approach</w:t>
      </w:r>
    </w:p>
    <w:p>
      <w:r>
        <w:rPr>
          <w:rFonts w:ascii="Times New Roman" w:hAnsi="Times New Roman" w:eastAsia="宋体"/>
          <w:b w:val="0"/>
          <w:i w:val="0"/>
          <w:color w:val="595959"/>
          <w:sz w:val="18"/>
        </w:rPr>
        <w:t>James Jackson（University of Manchester）；Elisabeth Lindberg（Uppsala University）；Antti Ronkainen（University of Helsinki）；Rune Møller Stahl（Copenhagen Business School）</w:t>
      </w:r>
    </w:p>
    <w:p>
      <w:r>
        <w:rPr>
          <w:rFonts w:ascii="Times New Roman" w:hAnsi="Times New Roman" w:eastAsia="宋体"/>
          <w:b w:val="0"/>
          <w:i w:val="0"/>
          <w:sz w:val="22"/>
        </w:rPr>
        <w:t>摘要：【摘译】超越财政中心叙事，聚焦央行与货币政策，作者显示北欧四国差异远大于以往假设，可追溯至对1970年代福特主义危机的不同回应。</w:t>
      </w:r>
    </w:p>
    <w:p>
      <w:r>
        <w:rPr>
          <w:rFonts w:ascii="Times New Roman" w:hAnsi="Times New Roman" w:eastAsia="宋体"/>
          <w:b w:val="0"/>
          <w:i w:val="0"/>
          <w:sz w:val="20"/>
        </w:rPr>
        <w:t>Since policymakers and scholars coined the term in the 1930s, the Nordic Model has often been considered to denote a homogeneous political entity in which the constituent countries are ostensibly interchangeable. As a result, seldom attention has been afforded to what fundamentally differentiates Denmark, Finland, Norway, and Sweden. By going beyond traditional ‘fiscal-centric’ accounts of the Nordic model, and instead focusing on the role of central banks and monetary policy, we show that each country bares far less similarities than has often been assumed in the literature. We trace this heterogeneity back to variegated responses to the 1970s crises of Fordist capitalism and draw on growth model theory to explain this divergent trajectory. We show how these differences shaped how each country responded to the Global Financial Crisis and the COVID-19 pandemic, where a variegated array of monetary measures was employed to uphold their own distinct growth model. By accounting for the role of central banks within the Nordic Model, we propose that it is better understood as a series of models, drawing attention to the function of monetary policy within the growth models perspective in the political economy literature.</w:t>
      </w:r>
    </w:p>
    <w:p/>
    <w:p>
      <w:r>
        <w:rPr>
          <w:rFonts w:ascii="Times New Roman" w:hAnsi="Times New Roman" w:eastAsia="黑体"/>
          <w:b/>
          <w:i w:val="0"/>
          <w:sz w:val="24"/>
        </w:rPr>
        <w:t>生态货币等级：货币权力驱动环境与社会自主不对称的经验支持</w:t>
      </w:r>
    </w:p>
    <w:p>
      <w:r>
        <w:rPr>
          <w:rFonts w:ascii="Times New Roman" w:hAnsi="Times New Roman" w:eastAsia="宋体"/>
          <w:b w:val="0"/>
          <w:i/>
          <w:color w:val="404040"/>
          <w:sz w:val="20"/>
        </w:rPr>
        <w:t>The ecological currency hierarchy: empirical support for currency power driven asymmetries in environmental and social autonomy</w:t>
      </w:r>
    </w:p>
    <w:p>
      <w:r>
        <w:rPr>
          <w:rFonts w:ascii="Times New Roman" w:hAnsi="Times New Roman" w:eastAsia="宋体"/>
          <w:b w:val="0"/>
          <w:i w:val="0"/>
          <w:color w:val="595959"/>
          <w:sz w:val="18"/>
        </w:rPr>
        <w:t>Matthew Salah（The University of Leeds）；Joe Ament（The University of Vermont）</w:t>
      </w:r>
    </w:p>
    <w:p>
      <w:r>
        <w:rPr>
          <w:rFonts w:ascii="Times New Roman" w:hAnsi="Times New Roman" w:eastAsia="宋体"/>
          <w:b w:val="0"/>
          <w:i w:val="0"/>
          <w:sz w:val="22"/>
        </w:rPr>
        <w:t>摘要：【摘译】作者提出“生态货币等级”：货币等级赋予核心国家经济自主，外围国家则受制于核心条件，导致环境与社会自主的不对称，并提供经验支持。</w:t>
      </w:r>
    </w:p>
    <w:p>
      <w:r>
        <w:rPr>
          <w:rFonts w:ascii="Times New Roman" w:hAnsi="Times New Roman" w:eastAsia="宋体"/>
          <w:b w:val="0"/>
          <w:i w:val="0"/>
          <w:sz w:val="20"/>
        </w:rPr>
        <w:t>The intersection of the International Monetary System (IMS) and ecological degradation and social inequality remains, despite some excellent examples, a relatively underexplored area. This paper draws upon the literature to argue that an ecological currency hierarchy (ECH) describes how a hierarchy of currencies grants Core countries considerable autonomy over their economic direction while Periphery countries are subject to conditions in the Core. As capital continuously seeks returns, Core economies can sell debt regardless of global economic circumstances, while the Periphery may only do so when returns in the Core are high and risk tolerance is high. When conditions in the Core offer low returns on investment, foreign direct investment floods into the Periphery driving up their debt levels and material extraction. This structural debt/material extraction dynamic is a function of having a non-Core currency and leaves Periphery countries unable to engage in long-term, autonomous economic planning. We conduct econometric analyses using World Bank, International Monetary Fund, and International Resource Panel data to confirm that having a Core currency increases demand for debt and lowers material extraction, while also confirming that rates of return on investment in the Core drive foreign direct investment, debt, and material extraction in the Periphery.</w:t>
      </w:r>
    </w:p>
    <w:p/>
    <w:p>
      <w:r>
        <w:rPr>
          <w:rFonts w:ascii="Times New Roman" w:hAnsi="Times New Roman" w:eastAsia="黑体"/>
          <w:b/>
          <w:i w:val="0"/>
          <w:sz w:val="24"/>
        </w:rPr>
        <w:t>食利资本主义、社会再生产与自由主义的局限：描绘科威特的性别化资产价值</w:t>
      </w:r>
    </w:p>
    <w:p>
      <w:r>
        <w:rPr>
          <w:rFonts w:ascii="Times New Roman" w:hAnsi="Times New Roman" w:eastAsia="宋体"/>
          <w:b w:val="0"/>
          <w:i/>
          <w:color w:val="404040"/>
          <w:sz w:val="20"/>
        </w:rPr>
        <w:t>Rentier capitalism, social reproduction, and the limits of liberalism: mapping gendered asset value in Kuwait</w:t>
      </w:r>
    </w:p>
    <w:p>
      <w:r>
        <w:rPr>
          <w:rFonts w:ascii="Times New Roman" w:hAnsi="Times New Roman" w:eastAsia="宋体"/>
          <w:b w:val="0"/>
          <w:i w:val="0"/>
          <w:color w:val="595959"/>
          <w:sz w:val="18"/>
        </w:rPr>
        <w:t>Charlie Dannreuther（University of Leeds）；Melissa Langworthy（Independent Researcher）</w:t>
      </w:r>
    </w:p>
    <w:p>
      <w:r>
        <w:rPr>
          <w:rFonts w:ascii="Times New Roman" w:hAnsi="Times New Roman" w:eastAsia="宋体"/>
          <w:b w:val="0"/>
          <w:i w:val="0"/>
          <w:sz w:val="22"/>
        </w:rPr>
        <w:t>摘要：【摘译】作者提出“公民身份租金”概念，以“父权选择”替代市场选择假设，解释科威特经济自由化改革与父权价值巩固的共存。</w:t>
      </w:r>
    </w:p>
    <w:p>
      <w:r>
        <w:rPr>
          <w:rFonts w:ascii="Times New Roman" w:hAnsi="Times New Roman" w:eastAsia="宋体"/>
          <w:b w:val="0"/>
          <w:i w:val="0"/>
          <w:sz w:val="20"/>
        </w:rPr>
        <w:t>This paper introduces the concept of citizenship rent to help explain the apparently contradictory coexistence of liberalising economic reforms and the entrenchment of patriarchal values. Citizenship rent (CR) is defined as the financial flows that move from the state to the citizen in the form of entitlements, employment, and access to state-subsidised goods, labour and business opportunities. Our innovative proposal substitutes transaction cost economics’ assumption of market selection for a selection by patriarchy to show how gender plays a central role in the reproduction of the asset specificities that increase transaction costs. This illustrates how an extractive, asset-based economy, like Kuwait's, can afford to double down on conservative social values, even at a considerable fiscal price, as long as the transaction costs of getting oil to the international markets are not increased through social disruption or political uncertainty. Rather than examining how women’s social reproductive work subsidises social and political stability, CR reveals women’s role in sustaining assets valuable to the state. This paper demonstrates that a close examination of the social values that inhibit transactions can also reveal patriarchal structures in rentier capital and exhibit a need to further analyse the patriarchal transaction costs that shape and sustain societies.</w:t>
      </w:r>
    </w:p>
    <w:p/>
    <w:p>
      <w:r>
        <w:rPr>
          <w:rFonts w:ascii="Times New Roman" w:hAnsi="Times New Roman" w:eastAsia="黑体"/>
          <w:b/>
          <w:i w:val="0"/>
          <w:sz w:val="24"/>
        </w:rPr>
        <w:t>理解权力、文化与制度变迁：政治解决方案分析的修正路径</w:t>
      </w:r>
    </w:p>
    <w:p>
      <w:r>
        <w:rPr>
          <w:rFonts w:ascii="Times New Roman" w:hAnsi="Times New Roman" w:eastAsia="宋体"/>
          <w:b w:val="0"/>
          <w:i/>
          <w:color w:val="404040"/>
          <w:sz w:val="20"/>
        </w:rPr>
        <w:t>Understanding power, culture and institutional change: a revised approach to political settlements analysis</w:t>
      </w:r>
    </w:p>
    <w:p>
      <w:r>
        <w:rPr>
          <w:rFonts w:ascii="Times New Roman" w:hAnsi="Times New Roman" w:eastAsia="宋体"/>
          <w:b w:val="0"/>
          <w:i w:val="0"/>
          <w:color w:val="595959"/>
          <w:sz w:val="18"/>
        </w:rPr>
        <w:t>Clare Cummings（University of Manchester）</w:t>
      </w:r>
    </w:p>
    <w:p>
      <w:r>
        <w:rPr>
          <w:rFonts w:ascii="Times New Roman" w:hAnsi="Times New Roman" w:eastAsia="宋体"/>
          <w:b w:val="0"/>
          <w:i w:val="0"/>
          <w:sz w:val="22"/>
        </w:rPr>
        <w:t>摘要：【摘译】作者认为政治解决方案分析过于唯物，需纳入社会身份、地位与道德信念，将权力关系理解为观念与物质兼具。</w:t>
      </w:r>
    </w:p>
    <w:p>
      <w:r>
        <w:rPr>
          <w:rFonts w:ascii="Times New Roman" w:hAnsi="Times New Roman" w:eastAsia="宋体"/>
          <w:b w:val="0"/>
          <w:i w:val="0"/>
          <w:sz w:val="20"/>
        </w:rPr>
        <w:t>The institutions that govern how we distribute resources, protect rights, and accord status are widely recognised as important for progressive development outcomes. Political settlements analysis is an increasingly influential framework for (post)institutional analysis within development studies, arguing that institutions and their outcomes are shaped by political economy relations of power. This article builds on the strengths of political settlements analysis (PSA) but argues that its strongly materialist foundations overlook the role of social identity, status and moral beliefs in shaping institutional change. Future research employing PSA needs rebalancing, incorporating an understanding of power relations as ideational as well as material and based on cultural as well as political and economic sources. Drawing on insights from cultural political economy, this article presents an alternative approach to power in PSA. This emphasises the contingency inherent in meaning-making processes and conceives of power as embedded in cultural understandings, as well as political organisation and economic control. Adopting this cultural political economy approach to power allows PSA to produce a fuller understanding of the causal mechanisms generating institutional change.</w:t>
      </w:r>
    </w:p>
    <w:p/>
    <w:p>
      <w:r>
        <w:rPr>
          <w:rFonts w:ascii="Times New Roman" w:hAnsi="Times New Roman" w:eastAsia="黑体"/>
          <w:b/>
          <w:i w:val="0"/>
          <w:sz w:val="24"/>
        </w:rPr>
        <w:t>就业创造的比较政治经济学：欧洲增长与就业模式</w:t>
      </w:r>
    </w:p>
    <w:p>
      <w:r>
        <w:rPr>
          <w:rFonts w:ascii="Times New Roman" w:hAnsi="Times New Roman" w:eastAsia="宋体"/>
          <w:b w:val="0"/>
          <w:i/>
          <w:color w:val="404040"/>
          <w:sz w:val="20"/>
        </w:rPr>
        <w:t>The comparative political economy of job creation: European growth and employment models</w:t>
      </w:r>
    </w:p>
    <w:p>
      <w:r>
        <w:rPr>
          <w:rFonts w:ascii="Times New Roman" w:hAnsi="Times New Roman" w:eastAsia="宋体"/>
          <w:b w:val="0"/>
          <w:i w:val="0"/>
          <w:color w:val="595959"/>
          <w:sz w:val="18"/>
        </w:rPr>
        <w:t>Daniel Herrero（Complutense Institute of International Studies (ICEI), Campus Somosaguas）；Luis Cardenas（Complutense Institute of International Studies (ICEI), Campus Somosaguas）</w:t>
      </w:r>
    </w:p>
    <w:p>
      <w:r>
        <w:rPr>
          <w:rFonts w:ascii="Times New Roman" w:hAnsi="Times New Roman" w:eastAsia="宋体"/>
          <w:b w:val="0"/>
          <w:i w:val="0"/>
          <w:sz w:val="22"/>
        </w:rPr>
        <w:t>摘要：【摘译】作者提出关注需求增长驱动、经奥肯定律的失业演变、部门产出与就业创造模式的新框架，分析意大利、西班牙等欧洲增长与就业模式。</w:t>
      </w:r>
    </w:p>
    <w:p>
      <w:r>
        <w:rPr>
          <w:rFonts w:ascii="Times New Roman" w:hAnsi="Times New Roman" w:eastAsia="宋体"/>
          <w:b w:val="0"/>
          <w:i w:val="0"/>
          <w:sz w:val="20"/>
        </w:rPr>
        <w:t>Recent studies within Comparative Political Economy have sought to identify European growth models by analysing the relationships between the institutional framework, income distribution and aggregate demand. This paper contributes to this debate by examining the strategy for unemployment reduction and the sectoral drivers of output and employment growth as core parts of any growth model. We propose a new analytical framework that focuses on three aspects of the economy: (1) the drivers of demand growth, (2) the determinants of the evolution of unemployment through Okun's law and (3) the sectoral patterns of output and employment creation. This approach, which considers both supply and demand aspects, is applied to the cases of Italy, Spain, the United Kingdom, Germany and Sweden before and after the 2008 crisis, and has the potential to refine the taxonomy of European growth models.</w:t>
      </w:r>
    </w:p>
    <w:p/>
    <w:p>
      <w:r>
        <w:rPr>
          <w:rFonts w:ascii="Times New Roman" w:hAnsi="Times New Roman" w:eastAsia="黑体"/>
          <w:b/>
          <w:i w:val="0"/>
          <w:sz w:val="24"/>
        </w:rPr>
        <w:t>女性主义、创新金融与平等基金：行善与获益兼得？</w:t>
      </w:r>
    </w:p>
    <w:p>
      <w:r>
        <w:rPr>
          <w:rFonts w:ascii="Times New Roman" w:hAnsi="Times New Roman" w:eastAsia="宋体"/>
          <w:b w:val="0"/>
          <w:i/>
          <w:color w:val="404040"/>
          <w:sz w:val="20"/>
        </w:rPr>
        <w:t>Feminism, innovative finance and the Equality Fund: doing well while doing good?</w:t>
      </w:r>
    </w:p>
    <w:p>
      <w:r>
        <w:rPr>
          <w:rFonts w:ascii="Times New Roman" w:hAnsi="Times New Roman" w:eastAsia="宋体"/>
          <w:b w:val="0"/>
          <w:i w:val="0"/>
          <w:color w:val="595959"/>
          <w:sz w:val="18"/>
        </w:rPr>
        <w:t>Julie St-Pierre Gaudreault（University of Ottawa）；Susan Jane Spronk（University of Ottawa）</w:t>
      </w:r>
    </w:p>
    <w:p>
      <w:r>
        <w:rPr>
          <w:rFonts w:ascii="Times New Roman" w:hAnsi="Times New Roman" w:eastAsia="宋体"/>
          <w:b w:val="0"/>
          <w:i w:val="0"/>
          <w:sz w:val="22"/>
        </w:rPr>
        <w:t>摘要：【摘译】以加拿大出资3亿加元设立的“平等基金”为例，基于访谈分析女性主义“创新金融”的结构、目标与争议。</w:t>
      </w:r>
    </w:p>
    <w:p>
      <w:r>
        <w:rPr>
          <w:rFonts w:ascii="Times New Roman" w:hAnsi="Times New Roman" w:eastAsia="宋体"/>
          <w:b w:val="0"/>
          <w:i w:val="0"/>
          <w:sz w:val="20"/>
        </w:rPr>
        <w:t>This paper examines the controversies surrounding a feminist ‘innovative finance’ initiative focusing on a case study of the Equality Fund. In 2019, the Government of Canada provided a CAD 300 million contribution to establish multistakeholder partnership known as the Equality Fund, a platform that uses innovative financing, including through its 100% gender lens investment portfolio, the revenue from which is channelled towards grants to women's rights organisations and feminist movements in the global South. Based on interviews with key informants from non-governmental, development cooperation organisations involved in research or advocacy in Canada and beyond we examine the structure and goals of the Equality Fund in light of contrasting interpretations of feminism and debates about the financialisation of development.</w:t>
      </w:r>
    </w:p>
    <w:p/>
    <w:p>
      <w:r>
        <w:rPr>
          <w:rFonts w:ascii="Times New Roman" w:hAnsi="Times New Roman" w:eastAsia="宋体"/>
          <w:b/>
          <w:i w:val="0"/>
          <w:sz w:val="22"/>
        </w:rPr>
        <w:t>NPE： Vol. 29, No. 6, 2024</w:t>
      </w:r>
    </w:p>
    <w:p/>
    <w:p>
      <w:r>
        <w:rPr>
          <w:rFonts w:ascii="Times New Roman" w:hAnsi="Times New Roman" w:eastAsia="黑体"/>
          <w:b/>
          <w:i w:val="0"/>
          <w:sz w:val="24"/>
        </w:rPr>
        <w:t>专题导言：国际与比较政治经济学中的认知政治</w:t>
      </w:r>
    </w:p>
    <w:p>
      <w:r>
        <w:rPr>
          <w:rFonts w:ascii="Times New Roman" w:hAnsi="Times New Roman" w:eastAsia="宋体"/>
          <w:b w:val="0"/>
          <w:i/>
          <w:color w:val="404040"/>
          <w:sz w:val="20"/>
        </w:rPr>
        <w:t>Special section introduction: epistemic politics in international and comparative political economy</w:t>
      </w:r>
    </w:p>
    <w:p>
      <w:r>
        <w:rPr>
          <w:rFonts w:ascii="Times New Roman" w:hAnsi="Times New Roman" w:eastAsia="宋体"/>
          <w:b w:val="0"/>
          <w:i w:val="0"/>
          <w:color w:val="595959"/>
          <w:sz w:val="18"/>
        </w:rPr>
        <w:t>Scott James（King’s College London, London, UK）</w:t>
      </w:r>
    </w:p>
    <w:p>
      <w:r>
        <w:rPr>
          <w:rFonts w:ascii="Times New Roman" w:hAnsi="Times New Roman" w:eastAsia="宋体"/>
          <w:b w:val="0"/>
          <w:i w:val="0"/>
          <w:sz w:val="22"/>
        </w:rPr>
        <w:t>摘要：【摘译】专题导言提出“认知政治”路径，突出经济知识的政治生命，解释危机、变迁与延续动态。</w:t>
      </w:r>
    </w:p>
    <w:p>
      <w:r>
        <w:rPr>
          <w:rFonts w:ascii="Times New Roman" w:hAnsi="Times New Roman" w:eastAsia="宋体"/>
          <w:b w:val="0"/>
          <w:i w:val="0"/>
          <w:sz w:val="20"/>
        </w:rPr>
        <w:t>Economic orthodoxy has faced multiple challenges over recent years, ranging from the global financial crisis and economic populism to the Covid-19 pandemic and the spectre of stagflation. This has generated significant policy innovations, like quantitative easing and the furlough schemes, while heterodox economic ideas (briefly) gained notoriety. Yet these shifts have frequently been grafted onto pre-existing institutional and discursive templates, anchored by the assumption that they represent a temporary deviation from ‘normal’ equilibrium conditions. To make sense of these dynamics of crisis, change and continuity, this special section showcases an ‘epistemic politics’ approach that foregrounds the political life of economic knowledge. It is framed around three questions. What has been the role of economic knowledge and expertise in shaping policy and regulation over the past decade? To what extent have dominant economic ideas, theories and models been impacted by political conflicts and emergent issues? How have policy makers navigated economic crises and uncertainty through cognitive and discursive practices? This introductory paper sets out the ambition for the special section by defining our understanding of epistemic politics, before detailing the threefold contribution it makes to wider scholarship in IPE and CPE. It concludes with an overview of the five papers.</w:t>
      </w:r>
    </w:p>
    <w:p/>
    <w:p>
      <w:r>
        <w:rPr>
          <w:rFonts w:ascii="Times New Roman" w:hAnsi="Times New Roman" w:eastAsia="黑体"/>
          <w:b/>
          <w:i w:val="0"/>
          <w:sz w:val="24"/>
        </w:rPr>
        <w:t>“让我讲个故事”：宏观经济模型的政治</w:t>
      </w:r>
    </w:p>
    <w:p>
      <w:r>
        <w:rPr>
          <w:rFonts w:ascii="Times New Roman" w:hAnsi="Times New Roman" w:eastAsia="宋体"/>
          <w:b w:val="0"/>
          <w:i/>
          <w:color w:val="404040"/>
          <w:sz w:val="20"/>
        </w:rPr>
        <w:t>‘Let me tell you a story’: the politics of macroeconomic models</w:t>
      </w:r>
    </w:p>
    <w:p>
      <w:r>
        <w:rPr>
          <w:rFonts w:ascii="Times New Roman" w:hAnsi="Times New Roman" w:eastAsia="宋体"/>
          <w:b w:val="0"/>
          <w:i w:val="0"/>
          <w:color w:val="595959"/>
          <w:sz w:val="18"/>
        </w:rPr>
        <w:t>Matthew Watson（Department of Politics and International Studies, University of Warwick, Coventry, UK）</w:t>
      </w:r>
    </w:p>
    <w:p>
      <w:r>
        <w:rPr>
          <w:rFonts w:ascii="Times New Roman" w:hAnsi="Times New Roman" w:eastAsia="宋体"/>
          <w:b w:val="0"/>
          <w:i w:val="0"/>
          <w:sz w:val="22"/>
        </w:rPr>
        <w:t>摘要：【摘译】作者认为宏观经济模型在数学塑形之外还经过“叙事塑形”：命名策略与故事使数学结构显得是对经济的描述。</w:t>
      </w:r>
    </w:p>
    <w:p>
      <w:r>
        <w:rPr>
          <w:rFonts w:ascii="Times New Roman" w:hAnsi="Times New Roman" w:eastAsia="宋体"/>
          <w:b w:val="0"/>
          <w:i w:val="0"/>
          <w:sz w:val="20"/>
        </w:rPr>
        <w:t>Various social science literatures suggest that the general character of macroeconomic models reflects their assumptive base. A more specialist literature in the Weintraub-Boumans-Morgan tradition shows how the mathematics of those models moulds together logical implications of particular starting assumptions, insights from generally accepted theoretical propositions, and professionalised common-sense about how the world works. I go one step further in arguing that a process of narrative moulding operates in tandem with this mathematical moulding. A naming strategy provides the mathematical properties of macroeconomic models with economic labels to create the feeling that they are something more than a merely mathematical structure. A storytelling strategy then informs policy-makers of where the solution to the system of equations positions the outer limits of both political desirability and political possibility. Future dedicated research programmes into the narrative dimensions of macroeconomic models can be expected to shed further light on how theory models can masquerade as policy models and substitute models as surrogate models.</w:t>
      </w:r>
    </w:p>
    <w:p/>
    <w:p>
      <w:r>
        <w:rPr>
          <w:rFonts w:ascii="Times New Roman" w:hAnsi="Times New Roman" w:eastAsia="黑体"/>
          <w:b/>
          <w:i w:val="0"/>
          <w:sz w:val="24"/>
        </w:rPr>
        <w:t>中央银行的知识争议</w:t>
      </w:r>
    </w:p>
    <w:p>
      <w:r>
        <w:rPr>
          <w:rFonts w:ascii="Times New Roman" w:hAnsi="Times New Roman" w:eastAsia="宋体"/>
          <w:b w:val="0"/>
          <w:i/>
          <w:color w:val="404040"/>
          <w:sz w:val="20"/>
        </w:rPr>
        <w:t>Central banks’ knowledge controversies</w:t>
      </w:r>
    </w:p>
    <w:p>
      <w:r>
        <w:rPr>
          <w:rFonts w:ascii="Times New Roman" w:hAnsi="Times New Roman" w:eastAsia="宋体"/>
          <w:b w:val="0"/>
          <w:i w:val="0"/>
          <w:color w:val="595959"/>
          <w:sz w:val="18"/>
        </w:rPr>
        <w:t>Jacqueline Best（School of Political Studies, University of Ottawa, Ottawa, Canada）</w:t>
      </w:r>
    </w:p>
    <w:p>
      <w:r>
        <w:rPr>
          <w:rFonts w:ascii="Times New Roman" w:hAnsi="Times New Roman" w:eastAsia="宋体"/>
          <w:b w:val="0"/>
          <w:i w:val="0"/>
          <w:sz w:val="22"/>
        </w:rPr>
        <w:t>摘要：【摘译】作者将美联储、欧洲央行与加拿大央行的政策审查视为“知识争议”：基础指标本身成为争议对象，削弱了去政治化努力。</w:t>
      </w:r>
    </w:p>
    <w:p>
      <w:r>
        <w:rPr>
          <w:rFonts w:ascii="Times New Roman" w:hAnsi="Times New Roman" w:eastAsia="宋体"/>
          <w:b w:val="0"/>
          <w:i w:val="0"/>
          <w:sz w:val="20"/>
        </w:rPr>
        <w:t>In the last few years, the Federal Reserve, the European Central Bank and the Bank of Canada have all initiated policy reviews to reassess monetary policy tools and ideas that were no longer working in a changing global economy. In this paper, I argue that the debates that shaped these reviews can best be understood as ‘knowledge controversies’ in which some of the foundational metrics that monetary policies rely on themselves became the subject of debate. This unsettling of existing economic metrics poses not just technical but also political problems for central banks. These debates have eroded their efforts to depoliticise key issues, revealing the fragility of their technical fixes as metrics themselves can become the source of political disagreement both within the central banks themselves and in the wider public. As we enter an era of even more intense inflation-driven debates about central banking expertise and authority, these reviews provide insights into the epistemic dilemmas that central banks confront, suggesting that they will be dealing with knowledge controversies for some time to come.</w:t>
      </w:r>
    </w:p>
    <w:p/>
    <w:p>
      <w:r>
        <w:rPr>
          <w:rFonts w:ascii="Times New Roman" w:hAnsi="Times New Roman" w:eastAsia="黑体"/>
          <w:b/>
          <w:i w:val="0"/>
          <w:sz w:val="24"/>
        </w:rPr>
        <w:t>“大科技”金融中新兴的机制复杂性与认知壁垒</w:t>
      </w:r>
    </w:p>
    <w:p>
      <w:r>
        <w:rPr>
          <w:rFonts w:ascii="Times New Roman" w:hAnsi="Times New Roman" w:eastAsia="宋体"/>
          <w:b w:val="0"/>
          <w:i/>
          <w:color w:val="404040"/>
          <w:sz w:val="20"/>
        </w:rPr>
        <w:t>Emergent regime complexity and epistemic barriers in ‘bigtech’ finance</w:t>
      </w:r>
    </w:p>
    <w:p>
      <w:r>
        <w:rPr>
          <w:rFonts w:ascii="Times New Roman" w:hAnsi="Times New Roman" w:eastAsia="宋体"/>
          <w:b w:val="0"/>
          <w:i w:val="0"/>
          <w:color w:val="595959"/>
          <w:sz w:val="18"/>
        </w:rPr>
        <w:t>Scott James（Department of Political Economy, King’s College London, London, UK）；Lucia Quaglia（University of Bologna, Bologna, Italy）</w:t>
      </w:r>
    </w:p>
    <w:p>
      <w:r>
        <w:rPr>
          <w:rFonts w:ascii="Times New Roman" w:hAnsi="Times New Roman" w:eastAsia="宋体"/>
          <w:b w:val="0"/>
          <w:i w:val="0"/>
          <w:sz w:val="22"/>
        </w:rPr>
        <w:t>摘要：大型数字平台提供支付服务与金融中介的“大科技金融”兴起，带来具有金融稳定含义的重大跨境监管挑战。尽管国内监管已有所加强，该领域国际合作仍非常有限。地缘政治竞争阻碍了全球规则达成，但我们对这一复杂新领域中标准制定的技术障碍知之甚少。本文结合国际机制复杂性与跨国知识研究，理解“新兴”机制复合体中国际标准制定的认知挑战，认为围绕大科技的监管合作受两大认知壁垒制约：理解上的认知局限与知识的筒仓化；并展示国际机构如何通过铭写与编排过程生成新的跨国知识以克服这些壁垒。</w:t>
      </w:r>
    </w:p>
    <w:p>
      <w:r>
        <w:rPr>
          <w:rFonts w:ascii="Times New Roman" w:hAnsi="Times New Roman" w:eastAsia="宋体"/>
          <w:b w:val="0"/>
          <w:i w:val="0"/>
          <w:sz w:val="20"/>
        </w:rPr>
        <w:t>The rise of ‘bigtech’ finance – the provision of payment services and financial intermediation by large digital platforms – poses significant cross-border regulatory challenges with implications for financial stability. Yet despite steps to strengthen regulation at the domestic level, international cooperation in this area remains very limited. Although geopolitical rivalry over digital technology has hindered progress towards agreement on global rules, we know far less about the technical barriers to standard-setting in this new and complex field. To address this, the paper combines scholarship on international regime complexity and transnational knowledge to understand the epistemic challenges of international standard-setting in an ‘emergent’ regime complex. We argue that regulatory cooperation around bigtech is constrained by two main epistemic barriers: cognitive limits to understanding; and the existence of siloed knowledge. Furthermore, we show how international bodies strive to overcome these barriers by generating new transnational knowledge through processes of inscription and orchestration. The paper makes a wider contribution to the ‘epistemic turn’ in IPE by unpacking the contested meanings and practices of standard-setting in new regulatory fields.</w:t>
      </w:r>
    </w:p>
    <w:p/>
    <w:p>
      <w:r>
        <w:rPr>
          <w:rFonts w:ascii="Times New Roman" w:hAnsi="Times New Roman" w:eastAsia="黑体"/>
          <w:b/>
          <w:i w:val="0"/>
          <w:sz w:val="24"/>
        </w:rPr>
        <w:t>困难时期的技术官僚理性：经济知识动员与脱欧的话语政治</w:t>
      </w:r>
    </w:p>
    <w:p>
      <w:r>
        <w:rPr>
          <w:rFonts w:ascii="Times New Roman" w:hAnsi="Times New Roman" w:eastAsia="宋体"/>
          <w:b w:val="0"/>
          <w:i/>
          <w:color w:val="404040"/>
          <w:sz w:val="20"/>
        </w:rPr>
        <w:t>Technocratic reason in hard times: the mobilisation of economic knowledge and the discursive politics of Brexit</w:t>
      </w:r>
    </w:p>
    <w:p>
      <w:r>
        <w:rPr>
          <w:rFonts w:ascii="Times New Roman" w:hAnsi="Times New Roman" w:eastAsia="宋体"/>
          <w:b w:val="0"/>
          <w:i w:val="0"/>
          <w:color w:val="595959"/>
          <w:sz w:val="18"/>
        </w:rPr>
        <w:t>Ben Clift（Department of Politics and International Studies, University of Warwick, Coventry, UK）；Ben Rosamond（School of Social and Political Science, University of Edinburgh, Edinburgh, Scotland）</w:t>
      </w:r>
    </w:p>
    <w:p>
      <w:r>
        <w:rPr>
          <w:rFonts w:ascii="Times New Roman" w:hAnsi="Times New Roman" w:eastAsia="宋体"/>
          <w:b w:val="0"/>
          <w:i w:val="0"/>
          <w:sz w:val="22"/>
        </w:rPr>
        <w:t>摘要：【摘译】以预算责任办公室与“脱欧经济学家”为对照，作者认为公投式政治化使技术官僚专业知识在脱欧辩论中被边缘化。</w:t>
      </w:r>
    </w:p>
    <w:p>
      <w:r>
        <w:rPr>
          <w:rFonts w:ascii="Times New Roman" w:hAnsi="Times New Roman" w:eastAsia="宋体"/>
          <w:b w:val="0"/>
          <w:i w:val="0"/>
          <w:sz w:val="20"/>
        </w:rPr>
        <w:t>In the context of the debate surrounding and following the Brexit referendum in June 2016, credentialed economic expertise did not enjoy a privileged position within the political and policy debate. Using the contrasting cases of the Office for Budget Responsibility and Economists for Brexit/Free Trade, this paper explores the mobilisation of economic expertise within the discursive politics of Brexit under conditions of pervasive radical uncertainty. It argues that politicisation is an important factor in side-lining technocratic influence over policy choice, but that the particular type of politicisation in play (plebiscitary) meant that the input of technocratic experts was downgraded. It is a politics conducted in another register to the reasoned, evidence-based vernacular of accredited experts and the policy discourses that they work with and through. We also argue that the basic unknowability of the post-Brexit economy further impaired expert input. These limitations were acknowledged by accredited experts themselves, reducing their traction within the policy debate. This unknowability was exploited by forms of counter-expertise mobilised by the Leave campaign. The radical uncertainties of Brexit allowed in heterodox assumptions and approaches to compete on a level playing field with an approximation of what could be presented as prudent best practice.</w:t>
      </w:r>
    </w:p>
    <w:p/>
    <w:p>
      <w:r>
        <w:rPr>
          <w:rFonts w:ascii="Times New Roman" w:hAnsi="Times New Roman" w:eastAsia="黑体"/>
          <w:b/>
          <w:i w:val="0"/>
          <w:sz w:val="24"/>
        </w:rPr>
        <w:t>独立派经济学：社会目的、外行专业知识与现代货币理论的非常规兴起</w:t>
      </w:r>
    </w:p>
    <w:p>
      <w:r>
        <w:rPr>
          <w:rFonts w:ascii="Times New Roman" w:hAnsi="Times New Roman" w:eastAsia="宋体"/>
          <w:b w:val="0"/>
          <w:i/>
          <w:color w:val="404040"/>
          <w:sz w:val="20"/>
        </w:rPr>
        <w:t>Indie economics: social purpose, lay expertise and the unusual rise of modern monetary theory</w:t>
      </w:r>
    </w:p>
    <w:p>
      <w:r>
        <w:rPr>
          <w:rFonts w:ascii="Times New Roman" w:hAnsi="Times New Roman" w:eastAsia="宋体"/>
          <w:b w:val="0"/>
          <w:i w:val="0"/>
          <w:color w:val="595959"/>
          <w:sz w:val="18"/>
        </w:rPr>
        <w:t>Oddný Helgadóttir（Department of Organization, Copenhagen Business School, Frederiksberg, Denmark）；Majsa Grosen（Department of Organization, Copenhagen Business School, Frederiksberg, Denmark）</w:t>
      </w:r>
    </w:p>
    <w:p>
      <w:r>
        <w:rPr>
          <w:rFonts w:ascii="Times New Roman" w:hAnsi="Times New Roman" w:eastAsia="宋体"/>
          <w:b w:val="0"/>
          <w:i w:val="0"/>
          <w:sz w:val="22"/>
        </w:rPr>
        <w:t>摘要：【摘译】作者批评专业知识研究的“方法论精英主义”，以现代货币理论兴起为例，提出内部合法性与外部合法性（社会目的）张力的框架。</w:t>
      </w:r>
    </w:p>
    <w:p>
      <w:r>
        <w:rPr>
          <w:rFonts w:ascii="Times New Roman" w:hAnsi="Times New Roman" w:eastAsia="宋体"/>
          <w:b w:val="0"/>
          <w:i w:val="0"/>
          <w:sz w:val="20"/>
        </w:rPr>
        <w:t>We argue that the IPE literature on economic expertise has been characterised by ‘methodological elitism’ that makes it ill equipped to account for the influence of heterodox and grassroots forms of expertise. To remedy this, we posit a theoretical framework that emphasises the tensions between two forms of professional legitimacy. One is internal legitimacy and it is rooted in appeals to scientific objectivity, political neutrality and high professional barriers of entry. However, internal legitimacy may clash with external legitimacy, which is a function of a clear articulation of social purpose. Taking the surprising rise of Modern Monetary Theory as a case study, the paper makes two claims. First, its ideas did not coalesce into a distinctive heterodox brand of economics through traditional mechanisms like academic peer-review and citation networks, but through intense online activity. Second, the messaging that spurred MMT consistently combined constitutive claims with explicit declarations of social purpose. The result was an open project with a broad normative appeal, which successfully enrolled a large group of passionate followers and co-creators. To date, IPE scholars have been blind to such alternative forms of knowledge production.</w:t>
      </w:r>
    </w:p>
    <w:p/>
    <w:p>
      <w:r>
        <w:rPr>
          <w:rFonts w:ascii="Times New Roman" w:hAnsi="Times New Roman" w:eastAsia="黑体"/>
          <w:b/>
          <w:i w:val="0"/>
          <w:sz w:val="24"/>
        </w:rPr>
        <w:t>政治经济学中的韦伯理想类型：过时还是富有成效？</w:t>
      </w:r>
    </w:p>
    <w:p>
      <w:r>
        <w:rPr>
          <w:rFonts w:ascii="Times New Roman" w:hAnsi="Times New Roman" w:eastAsia="宋体"/>
          <w:b w:val="0"/>
          <w:i/>
          <w:color w:val="404040"/>
          <w:sz w:val="20"/>
        </w:rPr>
        <w:t>The Weberian ideal type in political economy: obsolete match or fruitful encounter?</w:t>
      </w:r>
    </w:p>
    <w:p>
      <w:r>
        <w:rPr>
          <w:rFonts w:ascii="Times New Roman" w:hAnsi="Times New Roman" w:eastAsia="宋体"/>
          <w:b w:val="0"/>
          <w:i w:val="0"/>
          <w:color w:val="595959"/>
          <w:sz w:val="18"/>
        </w:rPr>
        <w:t>Rosa Mulé（Department of Political and Social Sciences, University of Bologna, Bologna, Italy）；Günter Walzenbach（School of Social Sciences, University of the West of England, Bristol, United Kingdom）</w:t>
      </w:r>
    </w:p>
    <w:p>
      <w:r>
        <w:rPr>
          <w:rFonts w:ascii="Times New Roman" w:hAnsi="Times New Roman" w:eastAsia="宋体"/>
          <w:b w:val="0"/>
          <w:i w:val="0"/>
          <w:sz w:val="22"/>
        </w:rPr>
        <w:t>摘要：【摘译】文章评估韦伯理想类型在资本主义多样性等研究中的优缺点，尤其在比较与国际政治经济学交界处。</w:t>
      </w:r>
    </w:p>
    <w:p>
      <w:r>
        <w:rPr>
          <w:rFonts w:ascii="Times New Roman" w:hAnsi="Times New Roman" w:eastAsia="宋体"/>
          <w:b w:val="0"/>
          <w:i w:val="0"/>
          <w:sz w:val="20"/>
        </w:rPr>
        <w:t>This article highlights the analytical contribution of the Weberian ideal type to the field of political economy. Major strands of political economy have continued to integrate ideal type thinking to understand better the dynamics of national, regional and global economic systems. While there is an unbroken popularity of this methodological tool in the social sciences, we argue that it shows particular strengths and weaknesses in the interface between comparative and international political economy. To make this point, we first analyse the aims of the Weberian ideal type and investigate how it has been applied in the Varieties of Capitalism approach (VoC), dominant in much of comparative political economy (CPE). We then explore standard criticisms especially in the extension and reformulation of this approach to include the reasoning of international political economy (IPE). Main patterns of ideal type construction are identified to capture the CPE/IPE interaction and to point to some of the standard pitfalls when using the Weberian device. To maintain its strong position in the toolbox of political economy researchers need to take its heuristic purpose more seriously and be aware of its limitations.</w:t>
      </w:r>
    </w:p>
    <w:p/>
    <w:p>
      <w:r>
        <w:rPr>
          <w:rFonts w:ascii="Times New Roman" w:hAnsi="Times New Roman" w:eastAsia="黑体"/>
          <w:b/>
          <w:i w:val="0"/>
          <w:sz w:val="24"/>
        </w:rPr>
        <w:t>欧洲央行的声誉实用主义：在不断扩大的气候干预中维护声誉</w:t>
      </w:r>
    </w:p>
    <w:p>
      <w:r>
        <w:rPr>
          <w:rFonts w:ascii="Times New Roman" w:hAnsi="Times New Roman" w:eastAsia="宋体"/>
          <w:b w:val="0"/>
          <w:i/>
          <w:color w:val="404040"/>
          <w:sz w:val="20"/>
        </w:rPr>
        <w:t>Reputational pragmatism at the European Central Bank: preserving reputation(s) amidst widening climate interventions</w:t>
      </w:r>
    </w:p>
    <w:p>
      <w:r>
        <w:rPr>
          <w:rFonts w:ascii="Times New Roman" w:hAnsi="Times New Roman" w:eastAsia="宋体"/>
          <w:b w:val="0"/>
          <w:i w:val="0"/>
          <w:color w:val="595959"/>
          <w:sz w:val="18"/>
        </w:rPr>
        <w:t>Adriana Cerdeira（Institute of Public Administration, Leiden University, The Netherlands）；Dovilė Rimkutė（Institute of Public Administration, Leiden University, The Netherlands）</w:t>
      </w:r>
    </w:p>
    <w:p>
      <w:r>
        <w:rPr>
          <w:rFonts w:ascii="Times New Roman" w:hAnsi="Times New Roman" w:eastAsia="宋体"/>
          <w:b w:val="0"/>
          <w:i w:val="0"/>
          <w:sz w:val="22"/>
        </w:rPr>
        <w:t>摘要：【摘译】借助官僚声誉理论，作者分析欧洲央行在扩大气候干预中如何维护既有声誉、培育新声誉。</w:t>
      </w:r>
    </w:p>
    <w:p>
      <w:r>
        <w:rPr>
          <w:rFonts w:ascii="Times New Roman" w:hAnsi="Times New Roman" w:eastAsia="宋体"/>
          <w:b w:val="0"/>
          <w:i w:val="0"/>
          <w:sz w:val="20"/>
        </w:rPr>
        <w:t>Amidst climate change, central banks’ roles have broadened, encompassing new responsibilities beyond tradition through widening interventions. This expansion offers institutional prospects yet could entail reputational risks in reconciling long-standing and evolving responsibilities. Despite widening interventions’ reputational risks, a comprehensive understanding of how these shape banks’ behaviour – preserving existing reputations, fostering new ones, or achieving a compatible integration of both – is lacking. To obtain a better understanding of these dynamics, we draw on bureaucratic reputation theory to examine the climate engagement of the European Central Bank (ECB). Utilising a three-fold frame analysis, we examine the ECB’s communication about its greening agenda, complemented by interview data from stakeholders. Our analysis indicates that the reputation management strategy of the ECB, amidst widening interventions, encompasses the simultaneous presence of three frames – prudence, promotion, and strategic ambiguity. Leveraging the three frames, the ECB engages in reputational pragmatism to navigate diverse audience expectations, conflicting priorities, and mitigate potential reputational risks.</w:t>
      </w:r>
    </w:p>
    <w:p/>
    <w:p>
      <w:r>
        <w:rPr>
          <w:rFonts w:ascii="Times New Roman" w:hAnsi="Times New Roman" w:eastAsia="黑体"/>
          <w:b/>
          <w:i w:val="0"/>
          <w:sz w:val="24"/>
        </w:rPr>
        <w:t>联邦制为何重要：加拿大与德国贸易政策制定中的政策反馈、制度差异与政治</w:t>
      </w:r>
    </w:p>
    <w:p>
      <w:r>
        <w:rPr>
          <w:rFonts w:ascii="Times New Roman" w:hAnsi="Times New Roman" w:eastAsia="宋体"/>
          <w:b w:val="0"/>
          <w:i/>
          <w:color w:val="404040"/>
          <w:sz w:val="20"/>
        </w:rPr>
        <w:t>Why federalism matters: policy feedback, institutional variation and the politics of trade policy-making in Canada and Germany</w:t>
      </w:r>
    </w:p>
    <w:p>
      <w:r>
        <w:rPr>
          <w:rFonts w:ascii="Times New Roman" w:hAnsi="Times New Roman" w:eastAsia="宋体"/>
          <w:b w:val="0"/>
          <w:i w:val="0"/>
          <w:color w:val="595959"/>
          <w:sz w:val="18"/>
        </w:rPr>
        <w:t>Jörg Broschek（Department of Political Science, Wilfrid Laurier University, Waterloo, Canada）</w:t>
      </w:r>
    </w:p>
    <w:p>
      <w:r>
        <w:rPr>
          <w:rFonts w:ascii="Times New Roman" w:hAnsi="Times New Roman" w:eastAsia="宋体"/>
          <w:b w:val="0"/>
          <w:i w:val="0"/>
          <w:sz w:val="22"/>
        </w:rPr>
        <w:t>摘要：【摘译】作者以观念与制度反馈效应解释加拿大与德国次联邦单位参与贸易政策治理的差异。</w:t>
      </w:r>
    </w:p>
    <w:p>
      <w:r>
        <w:rPr>
          <w:rFonts w:ascii="Times New Roman" w:hAnsi="Times New Roman" w:eastAsia="宋体"/>
          <w:b w:val="0"/>
          <w:i w:val="0"/>
          <w:sz w:val="20"/>
        </w:rPr>
        <w:t>Sub-federal units in federal systems increasingly participate in international trade policy-making, a domain that historically represents an exclusive jurisdiction of the federal level. A first strand of research emphasised exogenous factors, most notably the changing scope and depth of trade agreements and social contestation, to explain this trend. This study, by contrast, contributes to more recent efforts that focus on endogenous factors to elucidate variation in terms of how and with what implications sub-federal units have entrenched themselves in trade policy governance. The paper makes two contributions. First, it introduces a new theoretical argument suggesting that ideational and institutional feedback effects can explain variation in sub-federal trade policy-making. Second, the paper tests this framework by using two contrasting cases of federalism: Canada and Germany. The study shows that in Canada intergovernmental institutions facilitating sub-federal participation in trade policy-making had to be created through layering, while in Germany existing institutions were activated through conversion. Although both patterns of institutional change have empowered sub-federal units, they differ in terms of their robustness.</w:t>
      </w:r>
    </w:p>
    <w:p/>
    <w:p>
      <w:r>
        <w:rPr>
          <w:rFonts w:ascii="Times New Roman" w:hAnsi="Times New Roman" w:eastAsia="黑体"/>
          <w:b/>
          <w:i w:val="0"/>
          <w:sz w:val="24"/>
        </w:rPr>
        <w:t>超越南北分野：欧盟改革中的跨国联盟</w:t>
      </w:r>
    </w:p>
    <w:p>
      <w:r>
        <w:rPr>
          <w:rFonts w:ascii="Times New Roman" w:hAnsi="Times New Roman" w:eastAsia="宋体"/>
          <w:b w:val="0"/>
          <w:i/>
          <w:color w:val="404040"/>
          <w:sz w:val="20"/>
        </w:rPr>
        <w:t>Beyond the North–South divide: transnational coalitions in EU reforms</w:t>
      </w:r>
    </w:p>
    <w:p>
      <w:r>
        <w:rPr>
          <w:rFonts w:ascii="Times New Roman" w:hAnsi="Times New Roman" w:eastAsia="宋体"/>
          <w:b w:val="0"/>
          <w:i w:val="0"/>
          <w:color w:val="595959"/>
          <w:sz w:val="18"/>
        </w:rPr>
        <w:t>Zbigniew Truchlewski（Department of Political Science, University of Amsterdam, Amsterdam, Netherlands; Robert Schuman Centre for Advanced Studies of the European University Institute, Fiesole, Italy; European Institute of the London School of Economics and Political Science, London, UK）；Waltraud Schelkle（European University Institute (EUI), Florence, Italy; London School of Economics and Political Science (LSE), London, UK）</w:t>
      </w:r>
    </w:p>
    <w:p>
      <w:r>
        <w:rPr>
          <w:rFonts w:ascii="Times New Roman" w:hAnsi="Times New Roman" w:eastAsia="宋体"/>
          <w:b w:val="0"/>
          <w:i w:val="0"/>
          <w:sz w:val="22"/>
        </w:rPr>
        <w:t>摘要：【摘译】作者指出欧元区南北分裂叙事无法解释改革，强调跨国联盟需超越“志同道合”、与他者妥协，中东欧国家亦有作用。</w:t>
      </w:r>
    </w:p>
    <w:p>
      <w:r>
        <w:rPr>
          <w:rFonts w:ascii="Times New Roman" w:hAnsi="Times New Roman" w:eastAsia="宋体"/>
          <w:b w:val="0"/>
          <w:i w:val="0"/>
          <w:sz w:val="20"/>
        </w:rPr>
        <w:t>The literature on fifteen years of European crises leaves the reader with a puzzle. Prominent accounts of the longest crisis – that of the euro area (EA) – assert that the EA is deeply divided between North and South, with Central Eastern European (CEE) member states being ignored. This makes it hard to explain how the union has managed to reform since 2008 and especially during the Covid-19 pandemic. Scholars have started to talk of transnational coalitions, but they equate coalition-formation with bringing together the like-minded, typically over solidarity versus sovereignty and more or less integration. However, coalitions of the like-minded are typically too small to sustain reforms and compromise has to be sought with others who have different preferences. To establish empirically how stable or fluid transnational coalitions are, we exploit the EMU|Choices database (Wasserfallen, Leuffen, Kudrna, and Degner 2019) [Analysing European Union decision-making during the Eurozone crisis with new data. European Union Politics, 20 (1), 3–23] on EA reforms and our own original data on Covid-19 reforms. Our findings show a stable pattern but no geopolitical divide – coalitions have varying CEE members. These findings can provide a basis for developing a more plausible conceptualisation of transnational coalitions.</w:t>
      </w:r>
    </w:p>
    <w:p/>
    <w:p>
      <w:r>
        <w:rPr>
          <w:rFonts w:ascii="Times New Roman" w:hAnsi="Times New Roman" w:eastAsia="黑体"/>
          <w:b/>
          <w:i w:val="0"/>
          <w:sz w:val="24"/>
        </w:rPr>
        <w:t>绿色火神？钢铁脱碳的政治经济学</w:t>
      </w:r>
    </w:p>
    <w:p>
      <w:r>
        <w:rPr>
          <w:rFonts w:ascii="Times New Roman" w:hAnsi="Times New Roman" w:eastAsia="宋体"/>
          <w:b w:val="0"/>
          <w:i/>
          <w:color w:val="404040"/>
          <w:sz w:val="20"/>
        </w:rPr>
        <w:t>Green Vulcans? The political economy of steel decarbonisation</w:t>
      </w:r>
    </w:p>
    <w:p>
      <w:r>
        <w:rPr>
          <w:rFonts w:ascii="Times New Roman" w:hAnsi="Times New Roman" w:eastAsia="宋体"/>
          <w:b w:val="0"/>
          <w:i w:val="0"/>
          <w:color w:val="595959"/>
          <w:sz w:val="18"/>
        </w:rPr>
        <w:t>Jack Copley（School of Government and International Affairs, Durham University, Durham, UK）</w:t>
      </w:r>
    </w:p>
    <w:p>
      <w:r>
        <w:rPr>
          <w:rFonts w:ascii="Times New Roman" w:hAnsi="Times New Roman" w:eastAsia="宋体"/>
          <w:b w:val="0"/>
          <w:i w:val="0"/>
          <w:sz w:val="22"/>
        </w:rPr>
        <w:t>摘要：【摘译】通过钢铁业历史研究，作者主张以马克思主义视角分析竞争、过度积累与危机，钢铁脱碳必须面对这些资本主义动态。</w:t>
      </w:r>
    </w:p>
    <w:p>
      <w:r>
        <w:rPr>
          <w:rFonts w:ascii="Times New Roman" w:hAnsi="Times New Roman" w:eastAsia="宋体"/>
          <w:b w:val="0"/>
          <w:i w:val="0"/>
          <w:sz w:val="20"/>
        </w:rPr>
        <w:t>Studies of the political economy of decarbonisation have begun to move beyond the price-centrism of neoclassical economics to explore the role of profits in propelling, or failing to propel, a green transformation. This article pushes this argument further, claiming with Marx that the focus on profits is useful insofar as it leads us to a broader analysis of the capitalist dynamics of competition, overaccumulation, and crisis that any green transition will have to reckon with. This is illustrated through an historical study of the steel industry – a prodigious carbon emitter that must be urgently greened. This article traces the interwoven patterns of crisis and technological change in steelmaking through the nineteenth and twentieth centuries, before drawing out certain core themes that then serve as a lens through which to analyze the prospects of steel decarbonisation today. Since its modern birth, technological revolutions in steelmaking have generated and in turn been conditioned by crises of overaccumulation and restructuring. These same forces are shaping the drive to decarbonise the industry today, as vital green investments are obstructed by reoccurring cycles of overcapacity and weak profitability. Greening steelmaking, and capitalism more generally, means wrangling with this boom-and-bust logic and its political ramifications.</w:t>
      </w:r>
    </w:p>
    <w:p/>
    <w:p>
      <w:r>
        <w:rPr>
          <w:rFonts w:ascii="Times New Roman" w:hAnsi="Times New Roman" w:eastAsia="宋体"/>
          <w:b/>
          <w:i w:val="0"/>
          <w:sz w:val="22"/>
        </w:rPr>
        <w:t>NPE： Vol. 29, No. 5, 2024</w:t>
      </w:r>
    </w:p>
    <w:p/>
    <w:p>
      <w:r>
        <w:rPr>
          <w:rFonts w:ascii="Times New Roman" w:hAnsi="Times New Roman" w:eastAsia="黑体"/>
          <w:b/>
          <w:i w:val="0"/>
          <w:sz w:val="24"/>
        </w:rPr>
        <w:t>中东欧经济升级的政治经济学</w:t>
      </w:r>
    </w:p>
    <w:p>
      <w:r>
        <w:rPr>
          <w:rFonts w:ascii="Times New Roman" w:hAnsi="Times New Roman" w:eastAsia="宋体"/>
          <w:b w:val="0"/>
          <w:i/>
          <w:color w:val="404040"/>
          <w:sz w:val="20"/>
        </w:rPr>
        <w:t>The political economy of economic upgrading in Central Eastern Europe</w:t>
      </w:r>
    </w:p>
    <w:p>
      <w:r>
        <w:rPr>
          <w:rFonts w:ascii="Times New Roman" w:hAnsi="Times New Roman" w:eastAsia="宋体"/>
          <w:b w:val="0"/>
          <w:i w:val="0"/>
          <w:color w:val="595959"/>
          <w:sz w:val="18"/>
        </w:rPr>
        <w:t>Marius Kalanta（Institute of International Relations and Political Science, Vilnius University, Vilnius, Lithuania）</w:t>
      </w:r>
    </w:p>
    <w:p>
      <w:r>
        <w:rPr>
          <w:rFonts w:ascii="Times New Roman" w:hAnsi="Times New Roman" w:eastAsia="宋体"/>
          <w:b w:val="0"/>
          <w:i w:val="0"/>
          <w:sz w:val="22"/>
        </w:rPr>
        <w:t>摘要：【摘译】以爱沙尼亚为例，作者发现非合作主义民主新兴经济体中，缺乏“嵌入式自主”可由私人行为体嵌入国家行政与决策的网络型社会集团及共享升级意识形态替代。</w:t>
      </w:r>
    </w:p>
    <w:p>
      <w:r>
        <w:rPr>
          <w:rFonts w:ascii="Times New Roman" w:hAnsi="Times New Roman" w:eastAsia="宋体"/>
          <w:b w:val="0"/>
          <w:i w:val="0"/>
          <w:sz w:val="20"/>
        </w:rPr>
        <w:t>The paper explores the political conditions favourable to economic upgrading in democratic non-corporatist emerging economies with a focus on CEE countries as characteristic examples. While the existing literature has assumed this polity type to be the least favourable for designing and implementing effective industrial policies because of a lack of bureaucratic ‘embedded autonomy’, the paper argues that this is not to suggest that such industrial policies and economic upgrading are rare in these economies, but rather that they involve different mechanisms of political mobilisation and support. To identify these mechanisms, the paper adopts a social bloc-based framework and applies it to an in-depth study of Estonia, a strong upgrader in the region in terms of its increased economic specialisation in ICT-based services. The paper finds that a lack of ‘embedded autonomy’ can effectively be supplanted by the embeddedness of private actors in the state administration and political decision-making through a network-based configuration of the social bloc and a shared upgrading ideology leading to a conflation of private interests with national development goals.</w:t>
      </w:r>
    </w:p>
    <w:p/>
    <w:p>
      <w:r>
        <w:rPr>
          <w:rFonts w:ascii="Times New Roman" w:hAnsi="Times New Roman" w:eastAsia="黑体"/>
          <w:b/>
          <w:i w:val="0"/>
          <w:sz w:val="24"/>
        </w:rPr>
        <w:t>经济开放对社会保险政策初创阶段起源的意义：一项比较研究</w:t>
      </w:r>
    </w:p>
    <w:p>
      <w:r>
        <w:rPr>
          <w:rFonts w:ascii="Times New Roman" w:hAnsi="Times New Roman" w:eastAsia="宋体"/>
          <w:b w:val="0"/>
          <w:i/>
          <w:color w:val="404040"/>
          <w:sz w:val="20"/>
        </w:rPr>
        <w:t>Significance of economic openness for the origins of social insurance policies in the initial stage: a comparative study</w:t>
      </w:r>
    </w:p>
    <w:p>
      <w:r>
        <w:rPr>
          <w:rFonts w:ascii="Times New Roman" w:hAnsi="Times New Roman" w:eastAsia="宋体"/>
          <w:b w:val="0"/>
          <w:i w:val="0"/>
          <w:color w:val="595959"/>
          <w:sz w:val="18"/>
        </w:rPr>
        <w:t>Tomoari Matsunaga（International Graduate School of Social Sciences, Yokohama National University, Yokohama, Japan）</w:t>
      </w:r>
    </w:p>
    <w:p>
      <w:r>
        <w:rPr>
          <w:rFonts w:ascii="Times New Roman" w:hAnsi="Times New Roman" w:eastAsia="宋体"/>
          <w:b w:val="0"/>
          <w:i w:val="0"/>
          <w:sz w:val="22"/>
        </w:rPr>
        <w:t>摘要：【摘译】作者认为一战前经济开放程度影响社会保险政策：保护主义封闭经济先于自由贸易开放经济引入对雇主成本较高的社会保险。</w:t>
      </w:r>
    </w:p>
    <w:p>
      <w:r>
        <w:rPr>
          <w:rFonts w:ascii="Times New Roman" w:hAnsi="Times New Roman" w:eastAsia="宋体"/>
          <w:b w:val="0"/>
          <w:i w:val="0"/>
          <w:sz w:val="20"/>
        </w:rPr>
        <w:t>This article proposes an original perspective on the origins and formation of the modern welfare state, arguing that the openness of national economies had a critical influence upon the kind of social insurance policies each country would adopt before World War I. If we classify Western national economies into two typical types, the free-trade open economy (FOE) and the protectionist closed economy (PCE), depending on their trade policy, we can make two hypotheses. FOE, which is under heavy pressure from international competition, is more sensitive than PCE to the increase in employers’ cost. Therefore, hypothesis (1) is: PCE would precede FOE in introducing social insurance which involves considerable cost increases for employers. Hypothesis (2) is: if FOE dares to undertake a social insurance scheme, they would likely create social insurance that relies on general tax revenues to mitigate cost increases for employers. On the contrary, PCE can undertake social insurance schemes that involve considerable cost increases for employers more easily than FOE, as protective tariffs countervail their cost increases to some extent. Through the comparative analysis of all major Western countries, this article demonstrates the validity of these hypotheses.</w:t>
      </w:r>
    </w:p>
    <w:p/>
    <w:p>
      <w:r>
        <w:rPr>
          <w:rFonts w:ascii="Times New Roman" w:hAnsi="Times New Roman" w:eastAsia="黑体"/>
          <w:b/>
          <w:i w:val="0"/>
          <w:sz w:val="24"/>
        </w:rPr>
        <w:t>与气候变化脱钩：冬季旅游与地区增长的维持</w:t>
      </w:r>
    </w:p>
    <w:p>
      <w:r>
        <w:rPr>
          <w:rFonts w:ascii="Times New Roman" w:hAnsi="Times New Roman" w:eastAsia="宋体"/>
          <w:b w:val="0"/>
          <w:i/>
          <w:color w:val="404040"/>
          <w:sz w:val="20"/>
        </w:rPr>
        <w:t>Decoupling climate change: winter tourism and the maintenance of regional growth</w:t>
      </w:r>
    </w:p>
    <w:p>
      <w:r>
        <w:rPr>
          <w:rFonts w:ascii="Times New Roman" w:hAnsi="Times New Roman" w:eastAsia="宋体"/>
          <w:b w:val="0"/>
          <w:i w:val="0"/>
          <w:color w:val="595959"/>
          <w:sz w:val="18"/>
        </w:rPr>
        <w:t>Valentina Ausserladscheider（Department of Economic Sociology, University of Vienna, Vienna, Austria; Department of Sociology, University of Cambridge, Cambridge, UK）</w:t>
      </w:r>
    </w:p>
    <w:p>
      <w:r>
        <w:rPr>
          <w:rFonts w:ascii="Times New Roman" w:hAnsi="Times New Roman" w:eastAsia="宋体"/>
          <w:b w:val="0"/>
          <w:i w:val="0"/>
          <w:sz w:val="22"/>
        </w:rPr>
        <w:t>摘要：【摘译】以阿尔卑斯冬季旅游为例，作者探讨增长联盟如何在气候风险下维持可能不可持续的增长策略。</w:t>
      </w:r>
    </w:p>
    <w:p>
      <w:r>
        <w:rPr>
          <w:rFonts w:ascii="Times New Roman" w:hAnsi="Times New Roman" w:eastAsia="宋体"/>
          <w:b w:val="0"/>
          <w:i w:val="0"/>
          <w:sz w:val="20"/>
        </w:rPr>
        <w:t>Climate change poses a severe risk for economic growth. The negative effects of climate change are, however, variegated depending on the region and the type of dominant industries fuelling their economies. Winter tourism in the Alps presents a case of a regionally specific and climate-vulnerable growth driver. Despite increasing climate-related physical risks to winter tourism such as snow scarcity, investments into infrastructure expansion continue. This raises the question of why a potentially unviable growth strategy is actively maintained considering the inevitable climate change scenario. Through semi-structured interviews, field work and archival research, this paper explores how the winter-touristic growth coalition responds to climate change. The findings show that key actors discursively decouple climate change from their growth strategies, which allows them to maintain the winter-touristic growth driver. ‘There is no alternative’ narratives and sustainability frameworks characterise the growth coalition´s response to the challenge of climate change. This paper makes an important contribution by exploring winter tourism as regional growth driver that contributes to a national export-oriented growth model. It thereby provides a unique perspective on regional underpinnings of growth models and the politics perpetuating growth model stasis under vulnerable climate conditions.</w:t>
      </w:r>
    </w:p>
    <w:p/>
    <w:p>
      <w:r>
        <w:rPr>
          <w:rFonts w:ascii="Times New Roman" w:hAnsi="Times New Roman" w:eastAsia="黑体"/>
          <w:b/>
          <w:i w:val="0"/>
          <w:sz w:val="24"/>
        </w:rPr>
        <w:t>又一次维持现状的危机？人民币挑战与美元霸权</w:t>
      </w:r>
    </w:p>
    <w:p>
      <w:r>
        <w:rPr>
          <w:rFonts w:ascii="Times New Roman" w:hAnsi="Times New Roman" w:eastAsia="宋体"/>
          <w:b w:val="0"/>
          <w:i/>
          <w:color w:val="404040"/>
          <w:sz w:val="20"/>
        </w:rPr>
        <w:t>Status quo crisis again? RMB challenges and dollar hegemony</w:t>
      </w:r>
    </w:p>
    <w:p>
      <w:r>
        <w:rPr>
          <w:rFonts w:ascii="Times New Roman" w:hAnsi="Times New Roman" w:eastAsia="宋体"/>
          <w:b w:val="0"/>
          <w:i w:val="0"/>
          <w:color w:val="595959"/>
          <w:sz w:val="18"/>
        </w:rPr>
        <w:t>Yong Wook Lee（Department of Political Science and International Relations, Korea University, Seoul, South Korea）；Kyuteg Lim（Institute of Peace and Democracy, Korea University, Seoul, South Korea）</w:t>
      </w:r>
    </w:p>
    <w:p>
      <w:r>
        <w:rPr>
          <w:rFonts w:ascii="Times New Roman" w:hAnsi="Times New Roman" w:eastAsia="宋体"/>
          <w:b w:val="0"/>
          <w:i w:val="0"/>
          <w:sz w:val="22"/>
        </w:rPr>
        <w:t>摘要：尽管过去十年人民币国际化进展缓慢，作者提出经验论证：中国近来强化了人民币的国际与国内能力，使其在中长期成为美元作为全球货币的强大挑战者。作者强调，中国在扩展人民币货币网络、将深度开放的国内金融市场制度化这两大怀疑论者所强调的最严重障碍上取得实质进展。为此作者借鉴货币“信用理论”，以跨境的人民币计价信用与债务关系的外部与内部生产解释人民币货币网络的全球扩展。经验发现表明，外国对人民币计价资产需求的增长速度近来已经起飞。</w:t>
      </w:r>
    </w:p>
    <w:p>
      <w:r>
        <w:rPr>
          <w:rFonts w:ascii="Times New Roman" w:hAnsi="Times New Roman" w:eastAsia="宋体"/>
          <w:b w:val="0"/>
          <w:i w:val="0"/>
          <w:sz w:val="20"/>
        </w:rPr>
        <w:t>Despite the slow process of RMB internationalisation over the last decade, we make an empirical argument that China has recently intensified the RMB’s international and domestic capacity to make it a formidable challenger to the dollar as a global currency in the medium and long-term range. We highlight that China has made substantial progress in expanding the RMB currency network and institutionalising a deep and open domestic financial market, the two most severe obstacles emphasised by the skeptics on RMB internationalisation. In developing this argument, we draw on the ‘credit theory’ of money and explain the global expansion of the RMB currency network in terms of the external and internal production of credit and debt relations denominated in the RMB across borders. Our empirical findings suggest that the pace of the growing foreign demand for RMB-denominated assets has recently taken off.</w:t>
      </w:r>
    </w:p>
    <w:p/>
    <w:p>
      <w:r>
        <w:rPr>
          <w:rFonts w:ascii="Times New Roman" w:hAnsi="Times New Roman" w:eastAsia="黑体"/>
          <w:b/>
          <w:i w:val="0"/>
          <w:sz w:val="24"/>
        </w:rPr>
        <w:t>在出口导向增长与行政凯恩斯主义之间：意大利的双层增长体制</w:t>
      </w:r>
    </w:p>
    <w:p>
      <w:r>
        <w:rPr>
          <w:rFonts w:ascii="Times New Roman" w:hAnsi="Times New Roman" w:eastAsia="宋体"/>
          <w:b w:val="0"/>
          <w:i/>
          <w:color w:val="404040"/>
          <w:sz w:val="20"/>
        </w:rPr>
        <w:t>Between export-led growth and administrative Keynesianism: Italy’s two-tiered growth regime</w:t>
      </w:r>
    </w:p>
    <w:p>
      <w:r>
        <w:rPr>
          <w:rFonts w:ascii="Times New Roman" w:hAnsi="Times New Roman" w:eastAsia="宋体"/>
          <w:b w:val="0"/>
          <w:i w:val="0"/>
          <w:color w:val="595959"/>
          <w:sz w:val="18"/>
        </w:rPr>
        <w:t>Donato Di Carlo（Luiss Hub for New Industrial Policy (LUHNIP), Libera Universita Internazionale degli Studi Sociali Guido Carli, Rome, Italy）；Andrea Ciarini（Department of Social and Economic Sciences, Sapienza University of Rome Italy, Rome, Italy）；Anna Villa（Istituto Nazionale di Statistica, Rome, Italy）</w:t>
      </w:r>
    </w:p>
    <w:p>
      <w:r>
        <w:rPr>
          <w:rFonts w:ascii="Times New Roman" w:hAnsi="Times New Roman" w:eastAsia="宋体"/>
          <w:b w:val="0"/>
          <w:i w:val="0"/>
          <w:sz w:val="22"/>
        </w:rPr>
        <w:t>摘要：【摘译】以增长体制框架分析意大利区域经济，作者发现北部为制造业出口导向体制，南部为依赖公共支出的“行政凯恩斯主义”，意大利难以被定义为单一国家增长体制。</w:t>
      </w:r>
    </w:p>
    <w:p>
      <w:r>
        <w:rPr>
          <w:rFonts w:ascii="Times New Roman" w:hAnsi="Times New Roman" w:eastAsia="宋体"/>
          <w:b w:val="0"/>
          <w:i w:val="0"/>
          <w:sz w:val="20"/>
        </w:rPr>
        <w:t>Comparative political economy scholarship struggles to categorise Italy’s model of capitalism between a mixed-market economy and a hybrid, stagnant economic system. To enhance our understanding of the Italian political economy, this article employs the analytical framework of growth regimes to study Italy’s regional economic systems. Our analysis indicates that Italy can hardly be defined as a ‘national growth regime’ due to the presence of two diametrically opposed regional growth regimes: Northern regions conform to a manufacturing-based, export-led growth regime supported by competitiveness-enhancing territorial institutions; southern regions conform to a particular variety of the consumption-led growth regime, that is, an administrative Keynesianism regime, which we theorise to typify a regime where growth and employment are systematically dependent on the state’s role of employer of last resort, the state’s consumption-enhancing social policies and economic forbearance of labour and corporate tax regulations. The article suggests that studying regional growth regimes is desirable when marked internal diversity in economic outcomes or productive structures exists across regions within (generally larger) countries, and when subnational governments have powers to develop major own institutions/policies in support of regional growth regimes.</w:t>
      </w:r>
    </w:p>
    <w:p/>
    <w:p>
      <w:r>
        <w:rPr>
          <w:rFonts w:ascii="Times New Roman" w:hAnsi="Times New Roman" w:eastAsia="黑体"/>
          <w:b/>
          <w:i w:val="0"/>
          <w:sz w:val="24"/>
        </w:rPr>
        <w:t>可持续未来的社会建构：模型与情景如何限制气候减缓的可能性</w:t>
      </w:r>
    </w:p>
    <w:p>
      <w:r>
        <w:rPr>
          <w:rFonts w:ascii="Times New Roman" w:hAnsi="Times New Roman" w:eastAsia="宋体"/>
          <w:b w:val="0"/>
          <w:i/>
          <w:color w:val="404040"/>
          <w:sz w:val="20"/>
        </w:rPr>
        <w:t>The social construction of sustainable futures: how models and scenarios limit climate mitigation possibilities</w:t>
      </w:r>
    </w:p>
    <w:p>
      <w:r>
        <w:rPr>
          <w:rFonts w:ascii="Times New Roman" w:hAnsi="Times New Roman" w:eastAsia="宋体"/>
          <w:b w:val="0"/>
          <w:i w:val="0"/>
          <w:color w:val="595959"/>
          <w:sz w:val="18"/>
        </w:rPr>
        <w:t>Ben Clift（Department of Politics and International Studies, University of Warwick, Coventry, UK）；Caroline Kuzemko（Department of Politics and International Studies, University of Warwick, Coventry, UK）</w:t>
      </w:r>
    </w:p>
    <w:p>
      <w:r>
        <w:rPr>
          <w:rFonts w:ascii="Times New Roman" w:hAnsi="Times New Roman" w:eastAsia="宋体"/>
          <w:b w:val="0"/>
          <w:i w:val="0"/>
          <w:sz w:val="22"/>
        </w:rPr>
        <w:t>摘要：【摘译】作者分析IPCC借助综合评估模型对气候减缓的社会建构，揭示技术官僚气候政治中的争议，以及模型与情景如何限制被视为可行的未来与政策选项。</w:t>
      </w:r>
    </w:p>
    <w:p>
      <w:r>
        <w:rPr>
          <w:rFonts w:ascii="Times New Roman" w:hAnsi="Times New Roman" w:eastAsia="宋体"/>
          <w:b w:val="0"/>
          <w:i w:val="0"/>
          <w:sz w:val="20"/>
        </w:rPr>
        <w:t>This article shines a light on the act of social construction of climate change mitigation as a policy issue at the hands of expert bodies enjoying epistemic power, notably the Intergovernmental Panel on Climate Change (IPCC), using Integrated Assessment Models (IAMs) as key tools. This is crucial to the politics of tackling climate change as IPCC models and scenarios profoundly shape what are seen as viable futures and mitigation policy options. Analysing how technocratic governance bodies broach climate change, its mitigation, and the associated economic costs and implications, reveals contestations within the technocratic politics of climate change. The particular social construction of mitigation as a policy issue through IAMs and IPCC scenarios has important and real socio-ecological consequences. This engagement with the technocratic politics of mitigation problematises five key assumptions that are fed into modelling, and reveals why and how they matter politically. We also highlight ways in which contestable assumptions built into IPCC IAMs undermine their credibility and usefulness for planning mitigation strategies.</w:t>
      </w:r>
    </w:p>
    <w:p/>
    <w:p>
      <w:r>
        <w:rPr>
          <w:rFonts w:ascii="Times New Roman" w:hAnsi="Times New Roman" w:eastAsia="黑体"/>
          <w:b/>
          <w:i w:val="0"/>
          <w:sz w:val="24"/>
        </w:rPr>
        <w:t>政治经济学的社会与政治基础：二战以来意大利发展的解释与分期</w:t>
      </w:r>
    </w:p>
    <w:p>
      <w:r>
        <w:rPr>
          <w:rFonts w:ascii="Times New Roman" w:hAnsi="Times New Roman" w:eastAsia="宋体"/>
          <w:b w:val="0"/>
          <w:i/>
          <w:color w:val="404040"/>
          <w:sz w:val="20"/>
        </w:rPr>
        <w:t>The social and political bases of political economy: interpreting and periodising Italian developments since WWII</w:t>
      </w:r>
    </w:p>
    <w:p>
      <w:r>
        <w:rPr>
          <w:rFonts w:ascii="Times New Roman" w:hAnsi="Times New Roman" w:eastAsia="宋体"/>
          <w:b w:val="0"/>
          <w:i w:val="0"/>
          <w:color w:val="595959"/>
          <w:sz w:val="18"/>
        </w:rPr>
        <w:t>Emanuele Ferragina（Sciences Po, Paris, France）；Alessandro Arrigoni（Independent Researcher, Barcelona (Spain)）</w:t>
      </w:r>
    </w:p>
    <w:p>
      <w:r>
        <w:rPr>
          <w:rFonts w:ascii="Times New Roman" w:hAnsi="Times New Roman" w:eastAsia="宋体"/>
          <w:b w:val="0"/>
          <w:i w:val="0"/>
          <w:sz w:val="22"/>
        </w:rPr>
        <w:t>摘要：【摘译】作者以“政治经济的社会与政治基础”的自下而上与自上而下变化，解释意大利从福特主义向新自由主义的转型与分期。</w:t>
      </w:r>
    </w:p>
    <w:p>
      <w:r>
        <w:rPr>
          <w:rFonts w:ascii="Times New Roman" w:hAnsi="Times New Roman" w:eastAsia="宋体"/>
          <w:b w:val="0"/>
          <w:i w:val="0"/>
          <w:sz w:val="20"/>
        </w:rPr>
        <w:t>We investigate the transition between Fordism and neoliberalism in Italy employing insights from International (IPE) and Comparative Political Economy (CPE). Transitions are key periods to observe how countries tend to converge towards similar political economy developments through processes of social, political and institutional adaptation. We contribute to the literature by detailing how transformations in the ‘social and political bases of political economy’ influence institutional change. We understand these transformations as movements from below (changes in sociodemographic and productive compositions, and social movements) and above (agency in political parties, trade unions, business associations and elites); we name these components ‘the social and productive composition’ and ‘the social and political representation sphere’ respectively. Employing process tracing, we identify three historical periods in post-WWII Italian political economy – state Fordism (1945–78), a transitional period we name ‘the long 1980s’ (1979–91), and neoliberalism (1992–) – delineated by two historical ruptures: a breakup moment in 1978–9 that signalled the decline of Fordism, and a critical juncture that ushered in neoliberalism in 1992. Analytically, changes within the social and productive composition during state Fordism impacted on the social and political representation sphere, and on several reforms undertaken in different institutional domains. However, since the breakup moment 1978–9 this dynamic changed together with the international political economy context. Similar to other western countries, the main actors within the social and political representation sphere increasingly approached institutional regulation inspired by neoliberal ideas, while the pressures coming from the more active forces within the social and productive composition faltered.</w:t>
      </w:r>
    </w:p>
    <w:p/>
    <w:p>
      <w:r>
        <w:rPr>
          <w:rFonts w:ascii="Times New Roman" w:hAnsi="Times New Roman" w:eastAsia="黑体"/>
          <w:b/>
          <w:i w:val="0"/>
          <w:sz w:val="24"/>
        </w:rPr>
        <w:t>适应市场：左翼对自由主义经济政策的意识形态辩护（1977—1986）</w:t>
      </w:r>
    </w:p>
    <w:p>
      <w:r>
        <w:rPr>
          <w:rFonts w:ascii="Times New Roman" w:hAnsi="Times New Roman" w:eastAsia="宋体"/>
          <w:b w:val="0"/>
          <w:i/>
          <w:color w:val="404040"/>
          <w:sz w:val="20"/>
        </w:rPr>
        <w:t>Adapting to the market: leftist ideological justifications of liberal economic policies, 1977–1986</w:t>
      </w:r>
    </w:p>
    <w:p>
      <w:r>
        <w:rPr>
          <w:rFonts w:ascii="Times New Roman" w:hAnsi="Times New Roman" w:eastAsia="宋体"/>
          <w:b w:val="0"/>
          <w:i w:val="0"/>
          <w:color w:val="595959"/>
          <w:sz w:val="18"/>
        </w:rPr>
        <w:t>Virginia Crespi de Valldaura（London School of Economics and Political Science, London, UK）；Gianmarco Fifi（London School of Economics and Political Science, London, UK）</w:t>
      </w:r>
    </w:p>
    <w:p>
      <w:r>
        <w:rPr>
          <w:rFonts w:ascii="Times New Roman" w:hAnsi="Times New Roman" w:eastAsia="宋体"/>
          <w:b w:val="0"/>
          <w:i w:val="0"/>
          <w:sz w:val="22"/>
        </w:rPr>
        <w:t>摘要：【摘译】比较1970年代末至80年代初法、意、西左翼政党与工会，作者发现左翼通过意识形态辩护接受自由市场政策。</w:t>
      </w:r>
    </w:p>
    <w:p>
      <w:r>
        <w:rPr>
          <w:rFonts w:ascii="Times New Roman" w:hAnsi="Times New Roman" w:eastAsia="宋体"/>
          <w:b w:val="0"/>
          <w:i w:val="0"/>
          <w:sz w:val="20"/>
        </w:rPr>
        <w:t>Why do leftist forces accept, support and adopt free-market policies? To answer this question, we carry out a comparative study of left-wing groups (both parties and trade unions) in France, Italy and Spain during the late 1970s and the early 1980s. This period is widely acknowledged in international political economy to have represented a paradigm shift from post-war Keynesianism to neoliberal policy-making. We employ in-depth content analysis of memoirs, interviews to the press, opinion articles and policy-papers to explain actors’ positions on landmark policies implemented during such transition. In alignment with a developing literature in political economy (e.g. Mudge 2018), we find a proactive role of progressives in developing the ideological justification for the resort to liberal policies. However, we emphasise that widespread consensus among so-called progressives, rather than a leading role of technocrats or party experts, best explains such shifts. In this way, the paper casts doubts on interpretations of the liberalisation process that place excessive emphasis on the role of external constraints as well as on elite power. Drawing on Hall (1993), we argue that left-wing forces in the early 1980s have enacted a ‘second order change’, whereby policymakers use new instruments to meet existing policy objectives.</w:t>
      </w:r>
    </w:p>
    <w:p/>
    <w:p>
      <w:r>
        <w:rPr>
          <w:rFonts w:ascii="Times New Roman" w:hAnsi="Times New Roman" w:eastAsia="黑体"/>
          <w:b/>
          <w:i w:val="0"/>
          <w:sz w:val="24"/>
        </w:rPr>
        <w:t>拆解援助中的反政治机器：政治实践智慧（mētis）及其局限</w:t>
      </w:r>
    </w:p>
    <w:p>
      <w:r>
        <w:rPr>
          <w:rFonts w:ascii="Times New Roman" w:hAnsi="Times New Roman" w:eastAsia="宋体"/>
          <w:b w:val="0"/>
          <w:i/>
          <w:color w:val="404040"/>
          <w:sz w:val="20"/>
        </w:rPr>
        <w:t>Dismantling the anti-politics machine in aid: political mētis and its limits</w:t>
      </w:r>
    </w:p>
    <w:p>
      <w:r>
        <w:rPr>
          <w:rFonts w:ascii="Times New Roman" w:hAnsi="Times New Roman" w:eastAsia="宋体"/>
          <w:b w:val="0"/>
          <w:i w:val="0"/>
          <w:color w:val="595959"/>
          <w:sz w:val="18"/>
        </w:rPr>
        <w:t>Brendan S. Whitty（Business School, University of St Andrews, St Andrews, UK）</w:t>
      </w:r>
    </w:p>
    <w:p>
      <w:r>
        <w:rPr>
          <w:rFonts w:ascii="Times New Roman" w:hAnsi="Times New Roman" w:eastAsia="宋体"/>
          <w:b w:val="0"/>
          <w:i w:val="0"/>
          <w:sz w:val="22"/>
        </w:rPr>
        <w:t>摘要：【摘译】作者以适应性项目为切入点，认为其将政治重新想象为情境化、关系性、涌现的专家实践智慧，为拆解援助中的“反政治机器”提供希望，但也有局限。</w:t>
      </w:r>
    </w:p>
    <w:p>
      <w:r>
        <w:rPr>
          <w:rFonts w:ascii="Times New Roman" w:hAnsi="Times New Roman" w:eastAsia="宋体"/>
          <w:b w:val="0"/>
          <w:i w:val="0"/>
          <w:sz w:val="20"/>
        </w:rPr>
        <w:t>In a recent article in NPE, Rajesh Venugopal (2022. Can the anti-politics machine be dismantled? New political economy, 1–15) concluded that the anti-politics machine was still in operation. He argued that development planners held a cognitive divide between the realm of political dynamics – an unknowable terra incognita – and the realm of operational technical knowledge. This article revisits and expands that argument. It takes a particular kind of adaptive project as an analytical entry point, arguing that their focus on political practice reimagines the ontology of politics as a kind of expert mētis which is situated, relational and emergent. Such projects hold out hope that the anti-politics machine can be dismantled by displacing the cognitive frames of the development planner from the centre stage and emphasising political practice during implementation. However, shifting attention to implementation reveals other elements of the anti-politics machine’s operation. Drawing on interviews with policy advocates, the article shows that the anti-politics machine does not simply work through the cognition of the planner: it also acts through bureaucratic resistance to political practice during project implementation, produced through operational, accountability and financing processes that shackle practice, particularly in spaces with heterogeneous interests and values.</w:t>
      </w:r>
    </w:p>
    <w:p/>
    <w:p>
      <w:r>
        <w:rPr>
          <w:rFonts w:ascii="Times New Roman" w:hAnsi="Times New Roman" w:eastAsia="黑体"/>
          <w:b/>
          <w:i w:val="0"/>
          <w:sz w:val="24"/>
        </w:rPr>
        <w:t>2016年古巴社会再生产成本的分配：国内与侨居家庭、私营部门和国家的相对贡献</w:t>
      </w:r>
    </w:p>
    <w:p>
      <w:r>
        <w:rPr>
          <w:rFonts w:ascii="Times New Roman" w:hAnsi="Times New Roman" w:eastAsia="宋体"/>
          <w:b w:val="0"/>
          <w:i/>
          <w:color w:val="404040"/>
          <w:sz w:val="20"/>
        </w:rPr>
        <w:t>The distribution of the cost of Cuban social reproduction in 2016: the relative contributions of domestic and diasporic households, the private sector and the state</w:t>
      </w:r>
    </w:p>
    <w:p>
      <w:r>
        <w:rPr>
          <w:rFonts w:ascii="Times New Roman" w:hAnsi="Times New Roman" w:eastAsia="宋体"/>
          <w:b w:val="0"/>
          <w:i w:val="0"/>
          <w:color w:val="595959"/>
          <w:sz w:val="18"/>
        </w:rPr>
        <w:t>Anamary Maqueira Linares（Economics, University of Manitoba, Manitoba, Canada）；Katherine A. Moos（Economics, University of Massachusetts Amherst, Amherst, MA, USA）</w:t>
      </w:r>
    </w:p>
    <w:p>
      <w:r>
        <w:rPr>
          <w:rFonts w:ascii="Times New Roman" w:hAnsi="Times New Roman" w:eastAsia="宋体"/>
          <w:b w:val="0"/>
          <w:i w:val="0"/>
          <w:sz w:val="22"/>
        </w:rPr>
        <w:t>摘要：【摘译】作者构建核算框架估计2016年古巴社会再生产成本分配，发现国内与侨居家庭是最大贡献者，与古巴革命的官方承诺不同。</w:t>
      </w:r>
    </w:p>
    <w:p>
      <w:r>
        <w:rPr>
          <w:rFonts w:ascii="Times New Roman" w:hAnsi="Times New Roman" w:eastAsia="宋体"/>
          <w:b w:val="0"/>
          <w:i w:val="0"/>
          <w:sz w:val="20"/>
        </w:rPr>
        <w:t>Drawing on feminist political economy and social reproduction theory, we propose an accounting framework for understanding the distributional role of household production, employment, remittances and government social transfers in the social reproduction of the Cuban people. We apply this quantitative framework to available data and produce estimates for 2016. Our findings demonstrate that households – both domestic and diasporic – were the largest contributors to social reproduction in Cuba. Our empirical exercise reveals how the actual distributional arrangements underlying Cuban social reproduction differ from the official commitments and goals of the Cuban Revolution. The relative contributions in 2016 signal several potentially unsustainable self-reinforcing dynamics that undermine efforts to achieve gender and racial equality on the Island.</w:t>
      </w:r>
    </w:p>
    <w:p/>
    <w:p>
      <w:r>
        <w:rPr>
          <w:rFonts w:ascii="Times New Roman" w:hAnsi="Times New Roman" w:eastAsia="宋体"/>
          <w:b/>
          <w:i w:val="0"/>
          <w:sz w:val="22"/>
        </w:rPr>
        <w:t>NPE： Vol. 29, No. 4, 2024</w:t>
      </w:r>
    </w:p>
    <w:p/>
    <w:p>
      <w:r>
        <w:rPr>
          <w:rFonts w:ascii="Times New Roman" w:hAnsi="Times New Roman" w:eastAsia="黑体"/>
          <w:b/>
          <w:i w:val="0"/>
          <w:sz w:val="24"/>
        </w:rPr>
        <w:t>经济实验中公平的起源：演化行为经济学如何论证“温和商业”</w:t>
      </w:r>
    </w:p>
    <w:p>
      <w:r>
        <w:rPr>
          <w:rFonts w:ascii="Times New Roman" w:hAnsi="Times New Roman" w:eastAsia="宋体"/>
          <w:b w:val="0"/>
          <w:i/>
          <w:color w:val="404040"/>
          <w:sz w:val="20"/>
        </w:rPr>
        <w:t>The origins of fairness in economic experiments: how evolutionary behavioural economics makes a case for doux commerce</w:t>
      </w:r>
    </w:p>
    <w:p>
      <w:r>
        <w:rPr>
          <w:rFonts w:ascii="Times New Roman" w:hAnsi="Times New Roman" w:eastAsia="宋体"/>
          <w:b w:val="0"/>
          <w:i w:val="0"/>
          <w:color w:val="595959"/>
          <w:sz w:val="18"/>
        </w:rPr>
        <w:t>Sabine Frerichs（Department of Socioeconomics, Vienna University of Economics and Business, Vienna, Austria; International Institute for the Sociology of Law, Oñati, Spain; Ikerbasque – Basque Foundation for Science, Bilbao, Spain; Faculty of Law, University of the Basque Country, Donostia/San Sebastian, Spain）</w:t>
      </w:r>
    </w:p>
    <w:p>
      <w:r>
        <w:rPr>
          <w:rFonts w:ascii="Times New Roman" w:hAnsi="Times New Roman" w:eastAsia="宋体"/>
          <w:b w:val="0"/>
          <w:i w:val="0"/>
          <w:sz w:val="22"/>
        </w:rPr>
        <w:t>摘要：【摘译】作者批判性评估行为经济学社会分支中探寻公平演化起源的研究策略，认为其论证了“温和商业”命题。</w:t>
      </w:r>
    </w:p>
    <w:p>
      <w:r>
        <w:rPr>
          <w:rFonts w:ascii="Times New Roman" w:hAnsi="Times New Roman" w:eastAsia="宋体"/>
          <w:b w:val="0"/>
          <w:i w:val="0"/>
          <w:sz w:val="20"/>
        </w:rPr>
        <w:t>Behavioural economics works toward more realistic accounts of economic action, which includes efforts to endogenise the ‘social’. In its social strand, behavioural economics is specifically concerned with fair outcomes in interactive economic games, which are explained by reference to social preferences, norms and institutions. While these concepts also matter to scholars in political economy and socioeconomics, behavioural economists seek to go further in specifying their behavioural and evolutionary foundations. This article critically evaluates evolutionary research strategies in the social strand of behavioural economics, which aim to uncover the evolutionary origins of fairness in economic experiments. Representatives of this field offer new support for the classical idea of ‘doux commerce’, or the civilising function of markets, by suggesting that cooperation with strangers in economic exchange fundamentally shaped the course of human evolution. Their explanatory framework is gene-culture coevolution, which covers long timespans of human existence. However, the case for the virtuous effect of markets in human prehistory remains ambiguous: basic concepts, causal mechanisms, and timescales of analysis vary to an extent that it is possible to arrive at very different projections of ‘doux commerce’ into the past. With regard to the present, these fulfil a similar function in naturalising market moralities.</w:t>
      </w:r>
    </w:p>
    <w:p/>
    <w:p>
      <w:r>
        <w:rPr>
          <w:rFonts w:ascii="Times New Roman" w:hAnsi="Times New Roman" w:eastAsia="黑体"/>
          <w:b/>
          <w:i w:val="0"/>
          <w:sz w:val="24"/>
        </w:rPr>
        <w:t>经济衰退与脱碳：分析加拿大与美国的绿色刺激支出</w:t>
      </w:r>
    </w:p>
    <w:p>
      <w:r>
        <w:rPr>
          <w:rFonts w:ascii="Times New Roman" w:hAnsi="Times New Roman" w:eastAsia="宋体"/>
          <w:b w:val="0"/>
          <w:i/>
          <w:color w:val="404040"/>
          <w:sz w:val="20"/>
        </w:rPr>
        <w:t>Economic recessions and decarbonisation: analysing green stimulus spending in Canada and the US</w:t>
      </w:r>
    </w:p>
    <w:p>
      <w:r>
        <w:rPr>
          <w:rFonts w:ascii="Times New Roman" w:hAnsi="Times New Roman" w:eastAsia="宋体"/>
          <w:b w:val="0"/>
          <w:i w:val="0"/>
          <w:color w:val="595959"/>
          <w:sz w:val="18"/>
        </w:rPr>
        <w:t>Vegard Tørstad（Department of Political Science, University of Oslo, Oslo, Norway）；Jonas Nahm（School of Advanced International Studies, Johns Hopkins University, Washington, DC, USA）；Jon Hovi（Department of Political Science, University of Oslo, Oslo, Norway）；Tora Skodvin（Department of Political Science, University of Oslo, Oslo, Norway）；Gard Olav Dietrichson（Department of Political Science, University of Oslo, Oslo, Norway）</w:t>
      </w:r>
    </w:p>
    <w:p>
      <w:r>
        <w:rPr>
          <w:rFonts w:ascii="Times New Roman" w:hAnsi="Times New Roman" w:eastAsia="宋体"/>
          <w:b w:val="0"/>
          <w:i w:val="0"/>
          <w:sz w:val="22"/>
        </w:rPr>
        <w:t>摘要：【摘译】研究加拿大与美国在2008年危机与2020年疫情中绿色刺激支出的规模与分布。</w:t>
      </w:r>
    </w:p>
    <w:p>
      <w:r>
        <w:rPr>
          <w:rFonts w:ascii="Times New Roman" w:hAnsi="Times New Roman" w:eastAsia="宋体"/>
          <w:b w:val="0"/>
          <w:i w:val="0"/>
          <w:sz w:val="20"/>
        </w:rPr>
        <w:t>Existing research has demonstrated that government policies often prioritise growth over climate during economic downturns. Yet government stimulus spending during economic downturns also offers an opportunity for decarbonisation through long-term investments in infrastructure, transportation electrification, building efficiency, and clean energy technologies able to reduce emissions and sustainably shift the economy away from fossil fuels. We study the size and distribution of green stimulus spending in response to two recent economic downturns – the 2008 financial crisis and the 2020 Covid-19 pandemic. Focusing on Canada and the US – two major economies with strong incumbent fossil fuel interests – we explore the determinants of green stimulus spending. Counter to conventional wisdom, our findings provide little evidence to support the notion that institutional permeability to industry lobbying influenced the share of green stimulus spending. Instead, drawing on a novel dataset on green recovery spending and lobbying, we show that the strength of liberal parties in the legislatures shapes the distribution of stimulus funds. Our analysis suggests that liberal parties committed to decarbonisation can leverage economic crises to align economic and climate policy making, even in the face of strong lobbying efforts by the fossil fuel sector.</w:t>
      </w:r>
    </w:p>
    <w:p/>
    <w:p>
      <w:r>
        <w:rPr>
          <w:rFonts w:ascii="Times New Roman" w:hAnsi="Times New Roman" w:eastAsia="黑体"/>
          <w:b/>
          <w:i w:val="0"/>
          <w:sz w:val="24"/>
        </w:rPr>
        <w:t>海湾合作委员会国家的国家自主性、经济改革与商业精英影响</w:t>
      </w:r>
    </w:p>
    <w:p>
      <w:r>
        <w:rPr>
          <w:rFonts w:ascii="Times New Roman" w:hAnsi="Times New Roman" w:eastAsia="宋体"/>
          <w:b w:val="0"/>
          <w:i/>
          <w:color w:val="404040"/>
          <w:sz w:val="20"/>
        </w:rPr>
        <w:t>State autonomy, economic reform &amp; business elite influence in the GCC</w:t>
      </w:r>
    </w:p>
    <w:p>
      <w:r>
        <w:rPr>
          <w:rFonts w:ascii="Times New Roman" w:hAnsi="Times New Roman" w:eastAsia="宋体"/>
          <w:b w:val="0"/>
          <w:i w:val="0"/>
          <w:color w:val="595959"/>
          <w:sz w:val="18"/>
        </w:rPr>
        <w:t>Dania Thafer（Center for Contemporary Arab Studies, Georgetown University, Washington, DC, USA; Gulf International Forum, Washington, DC, USA）</w:t>
      </w:r>
    </w:p>
    <w:p>
      <w:r>
        <w:rPr>
          <w:rFonts w:ascii="Times New Roman" w:hAnsi="Times New Roman" w:eastAsia="宋体"/>
          <w:b w:val="0"/>
          <w:i w:val="0"/>
          <w:sz w:val="22"/>
        </w:rPr>
        <w:t>摘要：【摘译】以卡塔尔与科威特为例，作者挑战传统食利国家理论，发现商业精英对政治制度影响越小，国家越有自主实现经济改革目标。</w:t>
      </w:r>
    </w:p>
    <w:p>
      <w:r>
        <w:rPr>
          <w:rFonts w:ascii="Times New Roman" w:hAnsi="Times New Roman" w:eastAsia="宋体"/>
          <w:b w:val="0"/>
          <w:i w:val="0"/>
          <w:sz w:val="20"/>
        </w:rPr>
        <w:t>This study challenges traditional rentier state theory and contributes to a new generation of scholarship focused on state-business relations by evaluating the relationship between different degrees of state policymaking autonomy and business elite influences in political and economic institutions. The findings of this study address central policy questions about economic reform in the Gulf Cooperation Council countries. Using primary data from my case studies of Qatar and Kuwait, I posit two arguments. First, states with lesser business elite influence over political institutions have more autonomy to realise their economic reform goals; a less dominant and influential business elite circle will more likely submit to state-led economic reform initiatives. Greater business elite dominance, meanwhile, tends to create a powerful bloc undercutting economic change, such as labour reform or new regulatory frameworks, that would benefit the long-term stability of the state. Second, rentier states with higher degrees of state-led capitalism have more autonomy to conduct economic reforms; state-led capitalism produces more coherent and cohesive state apparatuses that can incentivize business elite cooperation.</w:t>
      </w:r>
    </w:p>
    <w:p/>
    <w:p>
      <w:r>
        <w:rPr>
          <w:rFonts w:ascii="Times New Roman" w:hAnsi="Times New Roman" w:eastAsia="黑体"/>
          <w:b/>
          <w:i w:val="0"/>
          <w:sz w:val="24"/>
        </w:rPr>
        <w:t>军事化新自由主义与全球政治经济的重构</w:t>
      </w:r>
    </w:p>
    <w:p>
      <w:r>
        <w:rPr>
          <w:rFonts w:ascii="Times New Roman" w:hAnsi="Times New Roman" w:eastAsia="宋体"/>
          <w:b w:val="0"/>
          <w:i/>
          <w:color w:val="404040"/>
          <w:sz w:val="20"/>
        </w:rPr>
        <w:t>Militarised neoliberalism and the reconstruction of the global political economy</w:t>
      </w:r>
    </w:p>
    <w:p>
      <w:r>
        <w:rPr>
          <w:rFonts w:ascii="Times New Roman" w:hAnsi="Times New Roman" w:eastAsia="宋体"/>
          <w:b w:val="0"/>
          <w:i w:val="0"/>
          <w:color w:val="595959"/>
          <w:sz w:val="18"/>
        </w:rPr>
        <w:t>Trissia Wijaya（Research Organization of Open and Innovative Collaboration, Ritsumeikan University, Kyoto, Japan）；Kanishka Jayasuriya（Politics and International Studies, Murdoch University, Murdoch, Australia）</w:t>
      </w:r>
    </w:p>
    <w:p>
      <w:r>
        <w:rPr>
          <w:rFonts w:ascii="Times New Roman" w:hAnsi="Times New Roman" w:eastAsia="宋体"/>
          <w:b w:val="0"/>
          <w:i w:val="0"/>
          <w:sz w:val="22"/>
        </w:rPr>
        <w:t>摘要：【摘译】作者认为所谓“新华盛顿共识”并非去全球化或背离新自由主义，而是“军事化新自由主义”：重新利用并重组安全制度与联盟，以促进美国等国家的全球经济积累。</w:t>
      </w:r>
    </w:p>
    <w:p>
      <w:r>
        <w:rPr>
          <w:rFonts w:ascii="Times New Roman" w:hAnsi="Times New Roman" w:eastAsia="宋体"/>
          <w:b w:val="0"/>
          <w:i w:val="0"/>
          <w:sz w:val="20"/>
        </w:rPr>
        <w:t>The consensus on industry policy, state intervention and free trade that have been so central to the neoliberal international order of the past three decades has been fundamentally transformed over the past few years. The Biden administration has coined the term ‘New Washington Consensus’ to describe these transformations in the global political and economic order. The nub of our argument is that rather than being the start of ‘deglobalisation’, or a turn away from neoliberalism, it represents the emergence of a form of militarised neoliberalism that repurposes and reorganises security institutions and alliances to enable or facilitate global economic accumulation by states such as the United States and China, such that it leads to new forms of regulatory geographies. We contest the idea that this means a shift back towards more statist forms of development. State activism is an important dimension of the new conjuncture, but we see this as the emergence of a different and more militarised neoliberalism. It is not about disconnecting but reconnecting the global economy in a way that favours certain forms of social forces and interests.</w:t>
      </w:r>
    </w:p>
    <w:p/>
    <w:p>
      <w:r>
        <w:rPr>
          <w:rFonts w:ascii="Times New Roman" w:hAnsi="Times New Roman" w:eastAsia="黑体"/>
          <w:b/>
          <w:i w:val="0"/>
          <w:sz w:val="24"/>
        </w:rPr>
        <w:t>国家与非法资金流动的合法化：玻利维亚的黄金贸易</w:t>
      </w:r>
    </w:p>
    <w:p>
      <w:r>
        <w:rPr>
          <w:rFonts w:ascii="Times New Roman" w:hAnsi="Times New Roman" w:eastAsia="宋体"/>
          <w:b w:val="0"/>
          <w:i/>
          <w:color w:val="404040"/>
          <w:sz w:val="20"/>
        </w:rPr>
        <w:t>The state and the legalisation of illicit financial flows: trading gold in Bolivia</w:t>
      </w:r>
    </w:p>
    <w:p>
      <w:r>
        <w:rPr>
          <w:rFonts w:ascii="Times New Roman" w:hAnsi="Times New Roman" w:eastAsia="宋体"/>
          <w:b w:val="0"/>
          <w:i w:val="0"/>
          <w:color w:val="595959"/>
          <w:sz w:val="18"/>
        </w:rPr>
        <w:t>Fritz Brugger（Department of Humanities, Social and Political Sciences, ETH Zürich, Zürich, Switzerland）；Joschka J. Proksik（Department of Humanities, Social and Political Sciences, ETH Zürich, Zürich, Switzerland）；Felicitas Fischer（Department of Humanities, Social and Political Sciences, ETH Zürich, Zürich, Switzerland）</w:t>
      </w:r>
    </w:p>
    <w:p>
      <w:r>
        <w:rPr>
          <w:rFonts w:ascii="Times New Roman" w:hAnsi="Times New Roman" w:eastAsia="宋体"/>
          <w:b w:val="0"/>
          <w:i w:val="0"/>
          <w:sz w:val="22"/>
        </w:rPr>
        <w:t>摘要：【摘译】基于政治解决方案理论，以玻利维亚黄金贸易为例，作者解释国家机构在非法资金流入正式价值链并被合法化中的守门人作用。</w:t>
      </w:r>
    </w:p>
    <w:p>
      <w:r>
        <w:rPr>
          <w:rFonts w:ascii="Times New Roman" w:hAnsi="Times New Roman" w:eastAsia="宋体"/>
          <w:b w:val="0"/>
          <w:i w:val="0"/>
          <w:sz w:val="20"/>
        </w:rPr>
        <w:t>Most research on illicit financial flows (IFFs) has focused on illicit outflows from low-income countries and the role of non-state actors in generating IFFs. Less attention has been paid to processes through which IFFs enter formal value chains – in effect being legalised before leaving the country – or the crucial role of state institutions as gatekeepers. We develop a novel explanatory approach to account for the enabling role of state institutions in the legalisation of IFFs. Building on political settlement theory, we explain the performance of institutions in regulating IFFs as a function to maintain political power. Taking the case of Bolivia, we examine how legalising illicit value flows works in practice and analyse the motives and underlying conditions that lead state institutions to permit the formal export of gold shipments that have been illicitly sourced or transferred. We find that the legalisation of IFFs accommodates the interests of powerful cooperatives dominating the gold-mining sector, which are critical to maintaining the political settlement on which the incumbent government’s power is based. By maintaining a status quo of non-enforcement, legal ambiguity, and informality, gold-mining cooperatives reap higher benefits from resource extraction at the expense of domestic revenue mobilisation.</w:t>
      </w:r>
    </w:p>
    <w:p/>
    <w:p>
      <w:r>
        <w:rPr>
          <w:rFonts w:ascii="Times New Roman" w:hAnsi="Times New Roman" w:eastAsia="黑体"/>
          <w:b/>
          <w:i w:val="0"/>
          <w:sz w:val="24"/>
        </w:rPr>
        <w:t>新冠与结构性卡特尔化：市场—国家—社会纽带与制药业政治经济学</w:t>
      </w:r>
    </w:p>
    <w:p>
      <w:r>
        <w:rPr>
          <w:rFonts w:ascii="Times New Roman" w:hAnsi="Times New Roman" w:eastAsia="宋体"/>
          <w:b w:val="0"/>
          <w:i/>
          <w:color w:val="404040"/>
          <w:sz w:val="20"/>
        </w:rPr>
        <w:t>COVID and structural cartelisation: market-state-society ties and the political economy of Pharma</w:t>
      </w:r>
    </w:p>
    <w:p>
      <w:r>
        <w:rPr>
          <w:rFonts w:ascii="Times New Roman" w:hAnsi="Times New Roman" w:eastAsia="宋体"/>
          <w:b w:val="0"/>
          <w:i w:val="0"/>
          <w:color w:val="595959"/>
          <w:sz w:val="18"/>
        </w:rPr>
        <w:t>Matthew Sparke（Politics Department, University of California Santa Cruz, Santa Cruz, CA, USA）；Owain Williams（Global Political Economy and Health, University of Leeds, Leeds, UK）</w:t>
      </w:r>
    </w:p>
    <w:p>
      <w:r>
        <w:rPr>
          <w:rFonts w:ascii="Times New Roman" w:hAnsi="Times New Roman" w:eastAsia="宋体"/>
          <w:b w:val="0"/>
          <w:i w:val="0"/>
          <w:sz w:val="22"/>
        </w:rPr>
        <w:t>摘要：【摘译】作者以企业—企业、企业—国家、企业—社会三层嵌套的“结构性卡特尔化”解释制药业权力，新冠疫苗获取的全球不平等暴露其后果。</w:t>
      </w:r>
    </w:p>
    <w:p>
      <w:r>
        <w:rPr>
          <w:rFonts w:ascii="Times New Roman" w:hAnsi="Times New Roman" w:eastAsia="宋体"/>
          <w:b w:val="0"/>
          <w:i w:val="0"/>
          <w:sz w:val="20"/>
        </w:rPr>
        <w:t>The big profits and influence of pharmaceutical firms that again rose to prominence during the COVID pandemic illustrate far more than just the global reach and market power of Big Pharma. Here we instead explain the power of these firms as a consequence of structural cartelisation that is networked and nested across hybrid state and market relations. Global inequalities in access to COVID vaccines exposed the inequity outcomes of the cartelisation of the pharmaceutical sector in dramatic new ways. To come to critical terms with this cartelisation, we describe how it is comprised of three kinds of nested and networked layers of structural collusion: namely, (i) firm-firm collusion, (ii) firm-state collusion; and (iii) firm-state-philanthropy collusion. By suggesting that these kinds of collusional relations are nested, overlapping and deeply networked, we explain how they have come to work together structurally. And, in doing so, we argue, they serve to capture value from biomedical innovation in ways that limit global access to medicines while simultaneously entrenching the dominance of high-income countries, lead firms and the interests of investors.</w:t>
      </w:r>
    </w:p>
    <w:p/>
    <w:p>
      <w:r>
        <w:rPr>
          <w:rFonts w:ascii="Times New Roman" w:hAnsi="Times New Roman" w:eastAsia="黑体"/>
          <w:b/>
          <w:i w:val="0"/>
          <w:sz w:val="24"/>
        </w:rPr>
        <w:t>公共政策如何促进地方合作？来自欧盟葡萄酒政策的洞见</w:t>
      </w:r>
    </w:p>
    <w:p>
      <w:r>
        <w:rPr>
          <w:rFonts w:ascii="Times New Roman" w:hAnsi="Times New Roman" w:eastAsia="宋体"/>
          <w:b w:val="0"/>
          <w:i/>
          <w:color w:val="404040"/>
          <w:sz w:val="20"/>
        </w:rPr>
        <w:t>How can public policies facilitate local cooperation? insights from the EU’s wine policy</w:t>
      </w:r>
    </w:p>
    <w:p>
      <w:r>
        <w:rPr>
          <w:rFonts w:ascii="Times New Roman" w:hAnsi="Times New Roman" w:eastAsia="宋体"/>
          <w:b w:val="0"/>
          <w:i w:val="0"/>
          <w:color w:val="595959"/>
          <w:sz w:val="18"/>
        </w:rPr>
        <w:t>Kira Gartzou-Katsouyanni（Hellenic Observatory and European Institute, London School of Economics and Political Science (LSE), London, UK）</w:t>
      </w:r>
    </w:p>
    <w:p>
      <w:r>
        <w:rPr>
          <w:rFonts w:ascii="Times New Roman" w:hAnsi="Times New Roman" w:eastAsia="宋体"/>
          <w:b w:val="0"/>
          <w:i w:val="0"/>
          <w:sz w:val="22"/>
        </w:rPr>
        <w:t>摘要：【摘译】以欧盟葡萄酒政策促成希腊葡萄酒业地方合作为例，作者提出“促进型总体制度框架”：宏观制度降低地方合作障碍，与地方领导力等条件结合产生效果。</w:t>
      </w:r>
    </w:p>
    <w:p>
      <w:r>
        <w:rPr>
          <w:rFonts w:ascii="Times New Roman" w:hAnsi="Times New Roman" w:eastAsia="宋体"/>
          <w:b w:val="0"/>
          <w:i w:val="0"/>
          <w:sz w:val="20"/>
        </w:rPr>
        <w:t>Decentralised cooperation is key for achieving a range of policy goals, but we still know relatively little about how to create it in low-trust, institutionally weak settings. This article develops an account of Facilitative Overarching Institutional Frameworks (FOIFs) as macro-level institutions that abate the obstacles to local cooperation. Through qualitative evidence collected via fieldwork, it is shown that the EU’s wine policy is a good example of a FOIF, and that it has crucially contributed to the puzzling emergence of demanding forms of local cooperation in the Greek wine sector. When combined with favourable local conditions, and particularly with local leadership, as in Santorini, a FOIF can have transformative implications for local cooperation. When local leadership is absent, as in Lemnos, the final degree of local cooperation will be more limited. While the rareness of embedded policymaking in Greece inhibits the adoption of public policies that favour decentralised cooperation, in the wine sector the EU’s system of subsidies and geographical indications partially compensates for these for domestic institutional deficiencies. The article contributes to our knowledge about the emergence of decentralised cooperation in adverse circumstances and improves our understanding of the effects of transnational integration regimes on local governance arrangements.</w:t>
      </w:r>
    </w:p>
    <w:p/>
    <w:p>
      <w:r>
        <w:rPr>
          <w:rFonts w:ascii="Times New Roman" w:hAnsi="Times New Roman" w:eastAsia="黑体"/>
          <w:b/>
          <w:i w:val="0"/>
          <w:sz w:val="24"/>
        </w:rPr>
        <w:t>数字照护平台工作的社会再生产分析</w:t>
      </w:r>
    </w:p>
    <w:p>
      <w:r>
        <w:rPr>
          <w:rFonts w:ascii="Times New Roman" w:hAnsi="Times New Roman" w:eastAsia="宋体"/>
          <w:b w:val="0"/>
          <w:i/>
          <w:color w:val="404040"/>
          <w:sz w:val="20"/>
        </w:rPr>
        <w:t>A social reproduction analysis of digital care platform work</w:t>
      </w:r>
    </w:p>
    <w:p>
      <w:r>
        <w:rPr>
          <w:rFonts w:ascii="Times New Roman" w:hAnsi="Times New Roman" w:eastAsia="宋体"/>
          <w:b w:val="0"/>
          <w:i w:val="0"/>
          <w:color w:val="595959"/>
          <w:sz w:val="18"/>
        </w:rPr>
        <w:t>Paula Rodríguez-Modroño（Department of Economics, Quantitative Methods and Economic History, Pablo de Olavide University, Sevilla, Spain）；Astrid Agenjo-Calderón（Department of Economics, Quantitative Methods and Economic History, Pablo de Olavide University, Sevilla, Spain）；Purificación López-Igual（Department of Economics, Quantitative Methods and Economic History, Pablo de Olavide University, Sevilla, Spain）</w:t>
      </w:r>
    </w:p>
    <w:p>
      <w:r>
        <w:rPr>
          <w:rFonts w:ascii="Times New Roman" w:hAnsi="Times New Roman" w:eastAsia="宋体"/>
          <w:b w:val="0"/>
          <w:i w:val="0"/>
          <w:sz w:val="22"/>
        </w:rPr>
        <w:t>摘要：【摘译】结合社会再生产理论与移民劳动体制，以西班牙数字照护平台为例，作者认为平台促进再生产活动的不稳定商品化。</w:t>
      </w:r>
    </w:p>
    <w:p>
      <w:r>
        <w:rPr>
          <w:rFonts w:ascii="Times New Roman" w:hAnsi="Times New Roman" w:eastAsia="宋体"/>
          <w:b w:val="0"/>
          <w:i w:val="0"/>
          <w:sz w:val="20"/>
        </w:rPr>
        <w:t>Digital platforms are becoming an important factor in the process of reconfiguration and commodification of social reproduction during the neoliberal phase of capitalism. Developing a theoretical framework merging social reproduction theory and migrant labour regimes, this article argues that the introduction of digital platforms in the care sector is facilitating the expansion of precarised commodification of reproductive activities in a context of social care crisis. Through a mixed-method analysis, combining desk-based research with in-depth interviews of digital care platform work in Spain, the study examines the migrant labour regime of digital care platforms and how they take advantage of the international division of labour and global care chains to further exploit a highly precarious, informalised, feminised and racialised workforce. Our findings reveal that platforms use technology to rapidly access a reserve labour army, thus extracting more surplus value by restricting access to information, controlling the intermediation process and further fragmenting the workforce in reproductive activities.</w:t>
      </w:r>
    </w:p>
    <w:p/>
    <w:p>
      <w:r>
        <w:rPr>
          <w:rFonts w:ascii="Times New Roman" w:hAnsi="Times New Roman" w:eastAsia="黑体"/>
          <w:b/>
          <w:i w:val="0"/>
          <w:sz w:val="24"/>
        </w:rPr>
        <w:t>讲述低碳未来转型：化石燃料生产型新兴经济体中长期战略的作用</w:t>
      </w:r>
    </w:p>
    <w:p>
      <w:r>
        <w:rPr>
          <w:rFonts w:ascii="Times New Roman" w:hAnsi="Times New Roman" w:eastAsia="宋体"/>
          <w:b w:val="0"/>
          <w:i/>
          <w:color w:val="404040"/>
          <w:sz w:val="20"/>
        </w:rPr>
        <w:t>Narrating transitions to low carbon futures: the role of long-term strategies (LTS) in fossil fuel producing emerging economies</w:t>
      </w:r>
    </w:p>
    <w:p>
      <w:r>
        <w:rPr>
          <w:rFonts w:ascii="Times New Roman" w:hAnsi="Times New Roman" w:eastAsia="宋体"/>
          <w:b w:val="0"/>
          <w:i w:val="0"/>
          <w:color w:val="595959"/>
          <w:sz w:val="18"/>
        </w:rPr>
        <w:t>Carl Death（Politics, University of Manchester, Manchester, UK）</w:t>
      </w:r>
    </w:p>
    <w:p>
      <w:r>
        <w:rPr>
          <w:rFonts w:ascii="Times New Roman" w:hAnsi="Times New Roman" w:eastAsia="宋体"/>
          <w:b w:val="0"/>
          <w:i w:val="0"/>
          <w:sz w:val="22"/>
        </w:rPr>
        <w:t>摘要：【摘译】以南非与尼日利亚提交UNFCCC的长期战略为例，从情节、行为体、话语与沉默四维分析其低碳转型叙事，发现国家机构主导等共性。</w:t>
      </w:r>
    </w:p>
    <w:p>
      <w:r>
        <w:rPr>
          <w:rFonts w:ascii="Times New Roman" w:hAnsi="Times New Roman" w:eastAsia="宋体"/>
          <w:b w:val="0"/>
          <w:i w:val="0"/>
          <w:sz w:val="20"/>
        </w:rPr>
        <w:t>This article examines how national ‘long-term strategies’ (LTS) narrate energy transitions to low carbon futures. It focuses on the case studies of South Africa and Nigeria as two early LTS submissions to the UNFCCC by prominent fossil fuel producing emerging economies. Given the relative lack of research on both the LTS specifically and the role of narrative futures in the IPE of energy transitions more generally, the article develops an analytical framework based around four key features of LTS narratives: their plots, actors, discourses, and silences. The article argues that there are important similarities in the narratives, especially concerning the leading role of state institutions and national planners. However, there are key differences in terms of narratives of the just transition in South Africa compared to economic growth and innovation in Nigeria, as well as in the cases made for international investment. Finally, there are silences in both LTS narratives in relation to issues of politics, democracy, subjectivity and ecology. This suggests some important limitations on the potential of LTS to advance a just global transition to a decarbonised global economy.</w:t>
      </w:r>
    </w:p>
    <w:p/>
    <w:p>
      <w:r>
        <w:rPr>
          <w:rFonts w:ascii="Times New Roman" w:hAnsi="Times New Roman" w:eastAsia="黑体"/>
          <w:b/>
          <w:i w:val="0"/>
          <w:sz w:val="24"/>
        </w:rPr>
        <w:t>私募股权公司与产业政策：阐述国家主导市场中的国家—金融关系</w:t>
      </w:r>
    </w:p>
    <w:p>
      <w:r>
        <w:rPr>
          <w:rFonts w:ascii="Times New Roman" w:hAnsi="Times New Roman" w:eastAsia="宋体"/>
          <w:b w:val="0"/>
          <w:i/>
          <w:color w:val="404040"/>
          <w:sz w:val="20"/>
        </w:rPr>
        <w:t>Private equity firms and industrial policy: elaborating the state-finance nexus in state-led markets</w:t>
      </w:r>
    </w:p>
    <w:p>
      <w:r>
        <w:rPr>
          <w:rFonts w:ascii="Times New Roman" w:hAnsi="Times New Roman" w:eastAsia="宋体"/>
          <w:b w:val="0"/>
          <w:i w:val="0"/>
          <w:color w:val="595959"/>
          <w:sz w:val="18"/>
        </w:rPr>
        <w:t>Imogen T. Liu（Department of Political Science and Public Administration, Vrije Universiteit Amsterdam, Amsterdam, the Netherlands）</w:t>
      </w:r>
    </w:p>
    <w:p>
      <w:r>
        <w:rPr>
          <w:rFonts w:ascii="Times New Roman" w:hAnsi="Times New Roman" w:eastAsia="宋体"/>
          <w:b w:val="0"/>
          <w:i w:val="0"/>
          <w:sz w:val="22"/>
        </w:rPr>
        <w:t>摘要：【摘译】作者质疑私人主导市场假设，认为国家主导市场提供反事实：国家可规训私募股权投资服务产业转型。</w:t>
      </w:r>
    </w:p>
    <w:p>
      <w:r>
        <w:rPr>
          <w:rFonts w:ascii="Times New Roman" w:hAnsi="Times New Roman" w:eastAsia="宋体"/>
          <w:b w:val="0"/>
          <w:i w:val="0"/>
          <w:sz w:val="20"/>
        </w:rPr>
        <w:t>Under what conditions can the state discipline private equity firms into delivering the investment required to meet the coming needs of industrial transformation? States have sought to crowd in private capital to finance industrial development, but the results have so far been less than satisfactory. Prevailing accounts of financial industry power largely characterise an arms-length state-finance relationship that has unfolded in private-led markets where private equity firms have contributed to the secular growth in non-productive economic activity. This article problematises the assumption of private-led markets and argues that state-led markets present a counterfactual in which the disbursement of public money entails strict policy discipline and tight embedding between the state and private equity firms, which provides the conditions for them to emerge as unlikely champions of industrial policy. Two cases of co-investment between Chinese and European sovereign wealth funds demonstrate the power dynamics at play. Where PE firms in the Sino-Irish co-investment facilitated the international scaling of Irish firms in China, the PE firms operating in Europe failed to embed Chinese firms into regional supply chains in the Sino-Belgian co-investment.</w:t>
      </w:r>
    </w:p>
    <w:p/>
    <w:p>
      <w:r>
        <w:rPr>
          <w:rFonts w:ascii="Times New Roman" w:hAnsi="Times New Roman" w:eastAsia="宋体"/>
          <w:b/>
          <w:i w:val="0"/>
          <w:sz w:val="22"/>
        </w:rPr>
        <w:t>NPE： Vol. 29, No. 3, 2024</w:t>
      </w:r>
    </w:p>
    <w:p/>
    <w:p>
      <w:r>
        <w:rPr>
          <w:rFonts w:ascii="Times New Roman" w:hAnsi="Times New Roman" w:eastAsia="黑体"/>
          <w:b/>
          <w:i w:val="0"/>
          <w:sz w:val="24"/>
        </w:rPr>
        <w:t>汽车消费的金融化</w:t>
      </w:r>
    </w:p>
    <w:p>
      <w:r>
        <w:rPr>
          <w:rFonts w:ascii="Times New Roman" w:hAnsi="Times New Roman" w:eastAsia="宋体"/>
          <w:b w:val="0"/>
          <w:i/>
          <w:color w:val="404040"/>
          <w:sz w:val="20"/>
        </w:rPr>
        <w:t>The financialisation of car consumption</w:t>
      </w:r>
    </w:p>
    <w:p>
      <w:r>
        <w:rPr>
          <w:rFonts w:ascii="Times New Roman" w:hAnsi="Times New Roman" w:eastAsia="宋体"/>
          <w:b w:val="0"/>
          <w:i w:val="0"/>
          <w:color w:val="595959"/>
          <w:sz w:val="18"/>
        </w:rPr>
        <w:t>Tom Haines-Doran（Leeds University Business School, University of Leeds, Leeds, United Kingdom）</w:t>
      </w:r>
    </w:p>
    <w:p>
      <w:r>
        <w:rPr>
          <w:rFonts w:ascii="Times New Roman" w:hAnsi="Times New Roman" w:eastAsia="宋体"/>
          <w:b w:val="0"/>
          <w:i w:val="0"/>
          <w:sz w:val="22"/>
        </w:rPr>
        <w:t>摘要：【摘译】以英国个人合约购车为例，作者认为其是车企为克服成熟市场饱和导致利润实现问题而设计的金融创新。</w:t>
      </w:r>
    </w:p>
    <w:p>
      <w:r>
        <w:rPr>
          <w:rFonts w:ascii="Times New Roman" w:hAnsi="Times New Roman" w:eastAsia="宋体"/>
          <w:b w:val="0"/>
          <w:i w:val="0"/>
          <w:sz w:val="20"/>
        </w:rPr>
        <w:t>This paper investigates the growth of new forms of personal finance used in purchasing motor vehicles – a development which it characterises as ‘financialisation’. It focusses on the case of the rise of the personal contract purchase (PCP) in the United Kingdom market, and seeks to account for its growing popularity, and potential implications. It is found that the rise of PCPs is best understood as a form of financial innovation designed to help car manufacturers overcome long-term profit realisation problems produced by market saturation in mature markets. The way PCPs are structured lowers consumers’ monthly finance payments, allowing them to access to higher value vehicles, and encourages more frequent purchases of new vehicles, all of which allows greater manufacturer profit realisation. However, it does so in a way which increases financial risk, to consumers, car manufacturers, and financial investors. On the other hand, manufacturers’ risk exposure is limited by how the consumers’ car dependency lowers expected default rates. PCPs threaten financial stability, as well as sustaining social and environmentally unsustainable consumption practices.</w:t>
      </w:r>
    </w:p>
    <w:p/>
    <w:p>
      <w:r>
        <w:rPr>
          <w:rFonts w:ascii="Times New Roman" w:hAnsi="Times New Roman" w:eastAsia="黑体"/>
          <w:b/>
          <w:i w:val="0"/>
          <w:sz w:val="24"/>
        </w:rPr>
        <w:t>从NAFTA到USMCA：重新审视市场准入与政策空间的权衡</w:t>
      </w:r>
    </w:p>
    <w:p>
      <w:r>
        <w:rPr>
          <w:rFonts w:ascii="Times New Roman" w:hAnsi="Times New Roman" w:eastAsia="宋体"/>
          <w:b w:val="0"/>
          <w:i/>
          <w:color w:val="404040"/>
          <w:sz w:val="20"/>
        </w:rPr>
        <w:t>From NAFTA to USMCA: revisiting the market access – policy space trade-off</w:t>
      </w:r>
    </w:p>
    <w:p>
      <w:r>
        <w:rPr>
          <w:rFonts w:ascii="Times New Roman" w:hAnsi="Times New Roman" w:eastAsia="宋体"/>
          <w:b w:val="0"/>
          <w:i w:val="0"/>
          <w:color w:val="595959"/>
          <w:sz w:val="18"/>
        </w:rPr>
        <w:t>Ludovic Arnaud（Department of International Development, University of Oxford, Oxfordshire, UK）</w:t>
      </w:r>
    </w:p>
    <w:p>
      <w:r>
        <w:rPr>
          <w:rFonts w:ascii="Times New Roman" w:hAnsi="Times New Roman" w:eastAsia="宋体"/>
          <w:b w:val="0"/>
          <w:i w:val="0"/>
          <w:sz w:val="22"/>
        </w:rPr>
        <w:t>摘要：本文为南北贸易协定演变文献作出贡献：历史上南方国家以放弃积极贸易与产业政策的政策空间换取锁定优惠且稳定的市场准入。本文以北美自由贸易协定重新谈判为案例，基于协定文本、谈判媒体报道及对三国谈判代表与利益相关者的107次访谈，表明重新谈判带来了冲突格局的变化：墨西哥政府试图保住市场准入并寻求进一步限制自身政策空间……（摘要后文讨论美国对政策空间的新要求与权衡格局变化）。</w:t>
      </w:r>
    </w:p>
    <w:p>
      <w:r>
        <w:rPr>
          <w:rFonts w:ascii="Times New Roman" w:hAnsi="Times New Roman" w:eastAsia="宋体"/>
          <w:b w:val="0"/>
          <w:i w:val="0"/>
          <w:sz w:val="20"/>
        </w:rPr>
        <w:t>This paper contributes to the literature on the evolution of North–South trade agreements, which historically involved countries in the global South relinquishing policy space for activist trade and industrial policies in exchange for locking-in preferential and stable market access. It takes as case study the renegotiation of the North American Free Trade Agreement (NAFTA), drawing on the agreements, media coverage of the negotiations, and 107 interviews with negotiators and stakeholders in all three countries. I show how the renegotiation resulted in changing conflicts: while the Mexican government attempted to preserve its market access and sought to further restrict its policy space due to path dependence, the Trump administration wanted to reduce market access for Mexico and create uncertainty to re-shore production. The Trump administration partially succeeded by undermining the lock-in effect of trade agreements and including unprecedented provisions in USMCA. The actions of the Biden administration indicate a long-term shift in US trade policy towards protectionism. Combined with the USMCA sunset clause, this creates the risk that the US will use USMCA review periods to create market access uncertainty instead of seizing the opportunities to strengthen North American economic cooperation.</w:t>
      </w:r>
    </w:p>
    <w:p/>
    <w:p>
      <w:r>
        <w:rPr>
          <w:rFonts w:ascii="Times New Roman" w:hAnsi="Times New Roman" w:eastAsia="黑体"/>
          <w:b/>
          <w:i w:val="0"/>
          <w:sz w:val="24"/>
        </w:rPr>
        <w:t>作为争夺场所的股东大会：评估环境股东活动家的策略</w:t>
      </w:r>
    </w:p>
    <w:p>
      <w:r>
        <w:rPr>
          <w:rFonts w:ascii="Times New Roman" w:hAnsi="Times New Roman" w:eastAsia="宋体"/>
          <w:b w:val="0"/>
          <w:i/>
          <w:color w:val="404040"/>
          <w:sz w:val="20"/>
        </w:rPr>
        <w:t>The AGM as a site of contestation: evaluating the tactics of environmental shareholder activists</w:t>
      </w:r>
    </w:p>
    <w:p>
      <w:r>
        <w:rPr>
          <w:rFonts w:ascii="Times New Roman" w:hAnsi="Times New Roman" w:eastAsia="宋体"/>
          <w:b w:val="0"/>
          <w:i w:val="0"/>
          <w:color w:val="595959"/>
          <w:sz w:val="18"/>
        </w:rPr>
        <w:t>Ainsley Elbra（School of Social and Political Sciences, University of Sydney, Sydney, Australia）</w:t>
      </w:r>
    </w:p>
    <w:p>
      <w:r>
        <w:rPr>
          <w:rFonts w:ascii="Times New Roman" w:hAnsi="Times New Roman" w:eastAsia="宋体"/>
          <w:b w:val="0"/>
          <w:i w:val="0"/>
          <w:sz w:val="22"/>
        </w:rPr>
        <w:t>摘要：【摘译】作者评估澳大利亚环境股东活动家在股东大会上改造企业行为的策略。</w:t>
      </w:r>
    </w:p>
    <w:p>
      <w:r>
        <w:rPr>
          <w:rFonts w:ascii="Times New Roman" w:hAnsi="Times New Roman" w:eastAsia="宋体"/>
          <w:b w:val="0"/>
          <w:i w:val="0"/>
          <w:sz w:val="20"/>
        </w:rPr>
        <w:t>The politics of climate change in Australia remains highly fraught, this is despite the country experiencing acute impacts of a changing climate including mega-fires, floods, and severe and prolonged drought. Government inaction has led to limited market signals encouraging producers or consumers to move away from carbon intensive energy production to clean energy. In the absence of regulation, Australian shareholder activists are engaging directly with company boards and executives to reform corporate behaviour. This engagement, environmental, social, and governance (ESG) shareholder activism, has proliferated since 2017, much later than in comparable jurisdictions. Activists have targeted the mining, oil and gas, and finance sectors, due to their contribution to the Australian economy and their direct impact on global emissions. This paper explores the reasons for, and the implications of, the growth in ESG shareholder activism in Australia. It argues that the emergence of this activism in Australia was delayed due to complexities in the country's corporations' law. Regulatory attempts at stymying ESG shareholder activism resulted in the emergence of a duopoly of actors, at the cost of broader investor and civil society engagement. It is concluded that the rise of ESG shareholder activism in Australia is linked to growing tension between societal expectations, regulation, and the behaviour of firms. And, that ESG activists have been successful in leveraging this tension. There is evidence that large corporates have responded to activist claims, rendering this form of activism a potentially effective method for addressing some of the most pressing issues facing society.</w:t>
      </w:r>
    </w:p>
    <w:p/>
    <w:p>
      <w:r>
        <w:rPr>
          <w:rFonts w:ascii="Times New Roman" w:hAnsi="Times New Roman" w:eastAsia="黑体"/>
          <w:b/>
          <w:i w:val="0"/>
          <w:sz w:val="24"/>
        </w:rPr>
        <w:t>超越情境：在企业问责研究中认真对待政治经济学</w:t>
      </w:r>
    </w:p>
    <w:p>
      <w:r>
        <w:rPr>
          <w:rFonts w:ascii="Times New Roman" w:hAnsi="Times New Roman" w:eastAsia="宋体"/>
          <w:b w:val="0"/>
          <w:i/>
          <w:color w:val="404040"/>
          <w:sz w:val="20"/>
        </w:rPr>
        <w:t>Beyond context: taking political economy seriously in the study of corporate accountability</w:t>
      </w:r>
    </w:p>
    <w:p>
      <w:r>
        <w:rPr>
          <w:rFonts w:ascii="Times New Roman" w:hAnsi="Times New Roman" w:eastAsia="宋体"/>
          <w:b w:val="0"/>
          <w:i w:val="0"/>
          <w:color w:val="595959"/>
          <w:sz w:val="18"/>
        </w:rPr>
        <w:t>Daniela Lai（Department of Politics, International Relations and Philosophy, Royal Holloway (University of London), Egham (Surrey), UK）</w:t>
      </w:r>
    </w:p>
    <w:p>
      <w:r>
        <w:rPr>
          <w:rFonts w:ascii="Times New Roman" w:hAnsi="Times New Roman" w:eastAsia="宋体"/>
          <w:b w:val="0"/>
          <w:i w:val="0"/>
          <w:sz w:val="22"/>
        </w:rPr>
        <w:t>摘要：【摘译】作者主张在转型正义中将政治经济学作为结构性因素而非情境，以理解企业问责。</w:t>
      </w:r>
    </w:p>
    <w:p>
      <w:r>
        <w:rPr>
          <w:rFonts w:ascii="Times New Roman" w:hAnsi="Times New Roman" w:eastAsia="宋体"/>
          <w:b w:val="0"/>
          <w:i w:val="0"/>
          <w:sz w:val="20"/>
        </w:rPr>
        <w:t>The article argues for taking political economy seriously in the study of corporate accountability in transitional justice processes. Corporate actors are now commonly involved in transitional justice (that is, attempts at doing justice in the aftermath of mass violence). However, the literature is still limited by an inclination to treat political economy as context, rather than as a structuring factor intervening both on the war-related or authoritarian violence and on the efforts to make corporate actors accountable. This article proposes three shifts towards a better understanding of the political economy of corporate accountability in TJ: from a focus on the proximate economic causes of war to a genealogical view of pre-war, wartime and post-war economies; towards a more holistic view of conflict financing; and from an emphasis on the political economy of war to the political economy of violence. These shifts allow us to analyse a greater variety of political economies of corporate accountability, address more diffuse responsibilities for violence and injustice, and cover forms of violence that extend over longer periods of time. While holding broader relevance for the field, the arguments are illustrated with reference to the former Yugoslav region and the Bosnian War.</w:t>
      </w:r>
    </w:p>
    <w:p/>
    <w:p>
      <w:r>
        <w:rPr>
          <w:rFonts w:ascii="Times New Roman" w:hAnsi="Times New Roman" w:eastAsia="黑体"/>
          <w:b/>
          <w:i w:val="0"/>
          <w:sz w:val="24"/>
        </w:rPr>
        <w:t>贸易拜物教与贸易正义棘轮：NAFTA 2.0中象征性与实质性变革之间</w:t>
      </w:r>
    </w:p>
    <w:p>
      <w:r>
        <w:rPr>
          <w:rFonts w:ascii="Times New Roman" w:hAnsi="Times New Roman" w:eastAsia="宋体"/>
          <w:b w:val="0"/>
          <w:i/>
          <w:color w:val="404040"/>
          <w:sz w:val="20"/>
        </w:rPr>
        <w:t>Trade fetishism and the trade justice ratchet: between token and substantive change in NAFTA 2.0</w:t>
      </w:r>
    </w:p>
    <w:p>
      <w:r>
        <w:rPr>
          <w:rFonts w:ascii="Times New Roman" w:hAnsi="Times New Roman" w:eastAsia="宋体"/>
          <w:b w:val="0"/>
          <w:i w:val="0"/>
          <w:color w:val="595959"/>
          <w:sz w:val="18"/>
        </w:rPr>
        <w:t>Gavin Fridell（Global Development Studies, Saint Mary’s University, Halifax, Canada）</w:t>
      </w:r>
    </w:p>
    <w:p>
      <w:r>
        <w:rPr>
          <w:rFonts w:ascii="Times New Roman" w:hAnsi="Times New Roman" w:eastAsia="宋体"/>
          <w:b w:val="0"/>
          <w:i w:val="0"/>
          <w:sz w:val="22"/>
        </w:rPr>
        <w:t>摘要：【摘译】借助“贸易拜物教”概念，作者分析NAFTA 2.0中劳工、性别、人权与环境条款介于象征与实质变革之间，以及贸易正义团体的矛盾立场。</w:t>
      </w:r>
    </w:p>
    <w:p>
      <w:r>
        <w:rPr>
          <w:rFonts w:ascii="Times New Roman" w:hAnsi="Times New Roman" w:eastAsia="宋体"/>
          <w:b w:val="0"/>
          <w:i w:val="0"/>
          <w:sz w:val="20"/>
        </w:rPr>
        <w:t>Countless socially responsible trade initiatives have emerged in recent years offering an uncertain mixture of token and substantive changes. After decades of battles over free trade, this marks a significant shift, challenging established debates over free versus regulated markets by promoting labour, gender, human, and environmental rights through trade agreements. This reorientation contains complex contradictions, with trade justice groups conceding to the popularity of trade while simultaneously insisting on a new vision of what trade is ‘about.’ Drawing on the idea of trade fetishism, this article argues that the desire for trade involves not only its material motivations, but its seductive content as a fetishised object of global capital, offering the fantasy of ‘trade’ as a symbolic source of pleasure. Through the case of the new NAFTA 2.0, it points to the relevance of trade politics that aspires not to overcome trade fetishism, but, as Lucas Pohl (2022) suggests, to ‘get with’ it. Through a trade justice ratchet mechanism, advocates have pushed for unanticipated changes, while also ceding to the limitations of the current order. The outcome is a process of contesting the symbolic content of what trade is and is not about, with significant material and policy implications.</w:t>
      </w:r>
    </w:p>
    <w:p/>
    <w:p>
      <w:r>
        <w:rPr>
          <w:rFonts w:ascii="Times New Roman" w:hAnsi="Times New Roman" w:eastAsia="黑体"/>
          <w:b/>
          <w:i w:val="0"/>
          <w:sz w:val="24"/>
        </w:rPr>
        <w:t>家庭负债是否导致工会密度下降？</w:t>
      </w:r>
    </w:p>
    <w:p>
      <w:r>
        <w:rPr>
          <w:rFonts w:ascii="Times New Roman" w:hAnsi="Times New Roman" w:eastAsia="宋体"/>
          <w:b w:val="0"/>
          <w:i/>
          <w:color w:val="404040"/>
          <w:sz w:val="20"/>
        </w:rPr>
        <w:t>Does household indebtedness contribute to the decline of union density?</w:t>
      </w:r>
    </w:p>
    <w:p>
      <w:r>
        <w:rPr>
          <w:rFonts w:ascii="Times New Roman" w:hAnsi="Times New Roman" w:eastAsia="宋体"/>
          <w:b w:val="0"/>
          <w:i w:val="0"/>
          <w:color w:val="595959"/>
          <w:sz w:val="18"/>
        </w:rPr>
        <w:t>Giorgos Gouzoulis（Queen Mary, University of London, School of Business &amp;amp; Management, London, UK）</w:t>
      </w:r>
    </w:p>
    <w:p>
      <w:r>
        <w:rPr>
          <w:rFonts w:ascii="Times New Roman" w:hAnsi="Times New Roman" w:eastAsia="宋体"/>
          <w:b w:val="0"/>
          <w:i w:val="0"/>
          <w:sz w:val="22"/>
        </w:rPr>
        <w:t>摘要：【摘译】对瑞典、日本、韩国1965—2018年的回归显示，家庭负债上升与工会化程度下降相关。</w:t>
      </w:r>
    </w:p>
    <w:p>
      <w:r>
        <w:rPr>
          <w:rFonts w:ascii="Times New Roman" w:hAnsi="Times New Roman" w:eastAsia="宋体"/>
          <w:b w:val="0"/>
          <w:i w:val="0"/>
          <w:sz w:val="20"/>
        </w:rPr>
        <w:t>This paper argues that rising household indebtedness is associated with the decline of organised labour. Over the last decades, the financial system is increasingly financing working-class households, and recent research shows that indebted employees become more risk-averse at the workplace on the fear of losing their job and defaulting. Thus, since union formation or participation is commonly punished with redundancy, rising household indebtedness is likely to be associated with the aggregate reduction in unionisation. This study examines this argument for a high-, a mid-, and low-unionisation economy over the period 1965–2018: Sweden, Japan, and South Korea, respectively. Regression analysis provides robust support in favour of this argument. The results also suggest that financial regulation and social norms about personal insolvency matter for the size of the effects of household debt on unionisation.</w:t>
      </w:r>
    </w:p>
    <w:p/>
    <w:p>
      <w:r>
        <w:rPr>
          <w:rFonts w:ascii="Times New Roman" w:hAnsi="Times New Roman" w:eastAsia="黑体"/>
          <w:b/>
          <w:i w:val="0"/>
          <w:sz w:val="24"/>
        </w:rPr>
        <w:t>社会再生产理论与社会再生产的资本主义“形式”</w:t>
      </w:r>
    </w:p>
    <w:p>
      <w:r>
        <w:rPr>
          <w:rFonts w:ascii="Times New Roman" w:hAnsi="Times New Roman" w:eastAsia="宋体"/>
          <w:b w:val="0"/>
          <w:i/>
          <w:color w:val="404040"/>
          <w:sz w:val="20"/>
        </w:rPr>
        <w:t>Social reproduction theory and the capitalist ‘form’ of social reproduction</w:t>
      </w:r>
    </w:p>
    <w:p>
      <w:r>
        <w:rPr>
          <w:rFonts w:ascii="Times New Roman" w:hAnsi="Times New Roman" w:eastAsia="宋体"/>
          <w:b w:val="0"/>
          <w:i w:val="0"/>
          <w:color w:val="595959"/>
          <w:sz w:val="18"/>
        </w:rPr>
        <w:t>Pedro M. Rey-Araújo（Centre of Time-Use Research, University College London, London, UK）</w:t>
      </w:r>
    </w:p>
    <w:p>
      <w:r>
        <w:rPr>
          <w:rFonts w:ascii="Times New Roman" w:hAnsi="Times New Roman" w:eastAsia="宋体"/>
          <w:b w:val="0"/>
          <w:i w:val="0"/>
          <w:sz w:val="22"/>
        </w:rPr>
        <w:t>摘要：【摘译】作者质疑社会再生产理论将其仅视为劳动力再生产，主张将社会生活再生产理解为跨历史内容与资本主义形式的关系。</w:t>
      </w:r>
    </w:p>
    <w:p>
      <w:r>
        <w:rPr>
          <w:rFonts w:ascii="Times New Roman" w:hAnsi="Times New Roman" w:eastAsia="宋体"/>
          <w:b w:val="0"/>
          <w:i w:val="0"/>
          <w:sz w:val="20"/>
        </w:rPr>
        <w:t>This paper critically interrogates the meaning attached to social reproduction in the so-called Social Reproduction Theory [SRT]. While SRT represents an improvement over competing approaches to social reproduction along several dimensions, its understanding of social reproduction as referring exclusively to the ongoing reproduction of labour-power does not fully capture the extent to which the reproduction of social life is mediated by the reproduction of capital. Instead of defining social reproduction in opposition to capitalist production, it is argued that their relation should be reformulated as one between a transhistorical content, namely, the need of any society to reproduce itself through a division of labour that mediates its metabolic interaction with nature, and a historically specific form it adopted, as myriad uncoordinated acts of individual production linked together by the incessant circulation of capital along its different value forms in search of self-expansion. Inasmuch as the reproduction of social life thus requires the concomitant reproduction of capital’s abstract nexus as the key mediating link between human life and its condition, the reproduction of social life and that of capital need to be framed as two mutually co-mediated moments within overall capitalist social reproduction.</w:t>
      </w:r>
    </w:p>
    <w:p/>
    <w:p>
      <w:r>
        <w:rPr>
          <w:rFonts w:ascii="Times New Roman" w:hAnsi="Times New Roman" w:eastAsia="黑体"/>
          <w:b/>
          <w:i w:val="0"/>
          <w:sz w:val="24"/>
        </w:rPr>
        <w:t>土耳其助学贷款政治：以威权债务福利规训青年</w:t>
      </w:r>
    </w:p>
    <w:p>
      <w:r>
        <w:rPr>
          <w:rFonts w:ascii="Times New Roman" w:hAnsi="Times New Roman" w:eastAsia="宋体"/>
          <w:b w:val="0"/>
          <w:i/>
          <w:color w:val="404040"/>
          <w:sz w:val="20"/>
        </w:rPr>
        <w:t>The politics of student loan in Turkey: regimenting the youth through authoritarian debtfarism</w:t>
      </w:r>
    </w:p>
    <w:p>
      <w:r>
        <w:rPr>
          <w:rFonts w:ascii="Times New Roman" w:hAnsi="Times New Roman" w:eastAsia="宋体"/>
          <w:b w:val="0"/>
          <w:i w:val="0"/>
          <w:color w:val="595959"/>
          <w:sz w:val="18"/>
        </w:rPr>
        <w:t>Havva Ezgi Dogru（The Department of Sociology, Anadolu University, Eskisehir, Turkey）</w:t>
      </w:r>
    </w:p>
    <w:p>
      <w:r>
        <w:rPr>
          <w:rFonts w:ascii="Times New Roman" w:hAnsi="Times New Roman" w:eastAsia="宋体"/>
          <w:b w:val="0"/>
          <w:i w:val="0"/>
          <w:sz w:val="22"/>
        </w:rPr>
        <w:t>摘要：【摘译】作者将土耳其助学贷款扩张界定为“威权债务福利”治理技术，国家通过使青年依赖信用货币实现其社会再生产。</w:t>
      </w:r>
    </w:p>
    <w:p>
      <w:r>
        <w:rPr>
          <w:rFonts w:ascii="Times New Roman" w:hAnsi="Times New Roman" w:eastAsia="宋体"/>
          <w:b w:val="0"/>
          <w:i w:val="0"/>
          <w:sz w:val="20"/>
        </w:rPr>
        <w:t>The mass-scale expansion of student loan schemes in Turkey over the last two decades has been accomplished by a governance technique which the article defines as authoritarian debtfarism. By restructuring the Credit and Dormitories Institution (KYK) as subordinated to the executive and insulated from democratic intervention, the authoritarian neoliberal state in Turkey has sought to fulfil its new economic function, i.e. enabling the societal reproduction of the youth by increasing their financial dependency on credit money. The state-led student loan expansion in Turkey emerged in a tuition-free higher education setting without a sophisticated financial infrastructure and in an economic environment marked with perpetual graduate unemployment as well as inflationary pressures on repayment amounts. Based on a detailed interrogation of the official documents and in-depth interviews with defaulters, this article argues that authoritarian debtfarism has imposed a rigid market discipline over the university youth by using non-transparency and arbitrariness as its governance mechanisms. Consequently, future labour of the graduates is put on hold through a long-term debt relation, compelling them to integrate into labour market precariously as a new segment of the relative surplus population.</w:t>
      </w:r>
    </w:p>
    <w:p/>
    <w:p>
      <w:r>
        <w:rPr>
          <w:rFonts w:ascii="Times New Roman" w:hAnsi="Times New Roman" w:eastAsia="黑体"/>
          <w:b/>
          <w:i w:val="0"/>
          <w:sz w:val="24"/>
        </w:rPr>
        <w:t>气候怀疑论与右翼民粹主义的关联：基于文化政治经济学的解释路径</w:t>
      </w:r>
    </w:p>
    <w:p>
      <w:r>
        <w:rPr>
          <w:rFonts w:ascii="Times New Roman" w:hAnsi="Times New Roman" w:eastAsia="宋体"/>
          <w:b w:val="0"/>
          <w:i/>
          <w:color w:val="404040"/>
          <w:sz w:val="20"/>
        </w:rPr>
        <w:t>On the links between climate scepticism and right-wing populism (RWP): an explanatory approach based on cultural political economy (CPE)</w:t>
      </w:r>
    </w:p>
    <w:p>
      <w:r>
        <w:rPr>
          <w:rFonts w:ascii="Times New Roman" w:hAnsi="Times New Roman" w:eastAsia="宋体"/>
          <w:b w:val="0"/>
          <w:i w:val="0"/>
          <w:color w:val="595959"/>
          <w:sz w:val="18"/>
        </w:rPr>
        <w:t>Tobias Haas（Research Institute for Sustainability – Helmholtz Centre Potsdam (RIFS), Potsdam, Germany）</w:t>
      </w:r>
    </w:p>
    <w:p>
      <w:r>
        <w:rPr>
          <w:rFonts w:ascii="Times New Roman" w:hAnsi="Times New Roman" w:eastAsia="宋体"/>
          <w:b w:val="0"/>
          <w:i w:val="0"/>
          <w:sz w:val="22"/>
        </w:rPr>
        <w:t>摘要：【摘译】基于文化政治经济学，作者认为右翼民粹不仅反移民与自由化，还捍卫根植于化石资本主义的既有生活方式，因而怀疑气候科学。</w:t>
      </w:r>
    </w:p>
    <w:p>
      <w:r>
        <w:rPr>
          <w:rFonts w:ascii="Times New Roman" w:hAnsi="Times New Roman" w:eastAsia="宋体"/>
          <w:b w:val="0"/>
          <w:i w:val="0"/>
          <w:sz w:val="20"/>
        </w:rPr>
        <w:t>Various analyses show that right-wing populist parties (RWP) tend to be sceptical of climate science and policy. This points to a blank space in the dominant analyses of populism: their blindness towards society-nature relations. This paper aims to develop an approach grounded in Cultural Political Economy (CPE) that can be used to decipher the mediation of RWP within the context of economic, political, and cultural developments as well as society–nature relations. Against this background, the argument is developed that RWP is concerned not only with countering migration and processes of societal liberalisation, but also with defending an existing way of life that is firmly rooted in the destructive appropriation of nature. As a current of right-wing politics, RWP defends the imperial mode of living by expressing scepticism towards the existence of anthropogenic climate change. The paper contributes to a better understanding of the political economy of RWP by linking the dimensions of social domination with the appropriation of nature.</w:t>
      </w:r>
    </w:p>
    <w:p/>
    <w:p>
      <w:r>
        <w:rPr>
          <w:rFonts w:ascii="Times New Roman" w:hAnsi="Times New Roman" w:eastAsia="黑体"/>
          <w:b/>
          <w:i w:val="0"/>
          <w:sz w:val="24"/>
        </w:rPr>
        <w:t>各国技能体系为何不同？国家在维持增长模式的技能体系制度中的作用</w:t>
      </w:r>
    </w:p>
    <w:p>
      <w:r>
        <w:rPr>
          <w:rFonts w:ascii="Times New Roman" w:hAnsi="Times New Roman" w:eastAsia="宋体"/>
          <w:b w:val="0"/>
          <w:i/>
          <w:color w:val="404040"/>
          <w:sz w:val="20"/>
        </w:rPr>
        <w:t>Why do national skill systems vary? The state’s role in skill system institutions for maintaining growth models</w:t>
      </w:r>
    </w:p>
    <w:p>
      <w:r>
        <w:rPr>
          <w:rFonts w:ascii="Times New Roman" w:hAnsi="Times New Roman" w:eastAsia="宋体"/>
          <w:b w:val="0"/>
          <w:i w:val="0"/>
          <w:color w:val="595959"/>
          <w:sz w:val="18"/>
        </w:rPr>
        <w:t>Merve Sancak（Loughborough University, London, UK）</w:t>
      </w:r>
    </w:p>
    <w:p>
      <w:r>
        <w:rPr>
          <w:rFonts w:ascii="Times New Roman" w:hAnsi="Times New Roman" w:eastAsia="宋体"/>
          <w:b w:val="0"/>
          <w:i w:val="0"/>
          <w:sz w:val="22"/>
        </w:rPr>
        <w:t>摘要：【摘译】比较墨西哥与土耳其，作者发现自由化后不同增长模式导致国家在最低工资与职业教育培训两项技能体系制度中扮演不同角色。</w:t>
      </w:r>
    </w:p>
    <w:p>
      <w:r>
        <w:rPr>
          <w:rFonts w:ascii="Times New Roman" w:hAnsi="Times New Roman" w:eastAsia="宋体"/>
          <w:b w:val="0"/>
          <w:i w:val="0"/>
          <w:sz w:val="20"/>
        </w:rPr>
        <w:t>This article combines the comparative political economy of skill formation literature with the one on growth models to analyse the state's role in skill systems of late industrialising countries. It focuses on Mexico and Turkey, which constitute crucial cases for a most similar case analysis. The article shows that Mexico and Turkey followed different growth models after their economic liberalisation, which led to distinct state roles in two key skill system institutions, namely the minimum wage and the vocational education and training (VET) system. In Mexico, the state aligned these institutions with the ‘dependent-downgrading' growth model, which was reliant on external demand and investments with low industrial upgrading and sometimes downgrading, and minimal working-class cohesion. Minimising labour costs was prioritised to attract foreign investment and to reduce the prices of exports, leading to extremely low wages and a liberal VET system in Mexico. In Turkey, the growth model was ‘domestic-upgrading’ with higher role of domestic investments and demand, and some improvements in industrial upgrading and working-class social cohesion. Ensuring high minimum wage and comprehensive VET system constituted key strategies for the state to maintain this growth model in Turkey, leading to relatively higher minimum wage and a statist VET system.</w:t>
      </w:r>
    </w:p>
    <w:p/>
    <w:p>
      <w:r>
        <w:rPr>
          <w:rFonts w:ascii="Times New Roman" w:hAnsi="Times New Roman" w:eastAsia="宋体"/>
          <w:b/>
          <w:i w:val="0"/>
          <w:sz w:val="22"/>
        </w:rPr>
        <w:t>NPE： Vol. 29, No. 2, 2024</w:t>
      </w:r>
    </w:p>
    <w:p/>
    <w:p>
      <w:r>
        <w:rPr>
          <w:rFonts w:ascii="Times New Roman" w:hAnsi="Times New Roman" w:eastAsia="黑体"/>
          <w:b/>
          <w:i w:val="0"/>
          <w:sz w:val="24"/>
        </w:rPr>
        <w:t>有害的去工业化与汲取主义：国际劳动与危害分工中的金特罗—普丘恩卡维</w:t>
      </w:r>
    </w:p>
    <w:p>
      <w:r>
        <w:rPr>
          <w:rFonts w:ascii="Times New Roman" w:hAnsi="Times New Roman" w:eastAsia="宋体"/>
          <w:b w:val="0"/>
          <w:i/>
          <w:color w:val="404040"/>
          <w:sz w:val="20"/>
        </w:rPr>
        <w:t>Noxious deindustrialisation and extractivism: Quintero-Puchuncaví in the international division of labour and noxiousness</w:t>
      </w:r>
    </w:p>
    <w:p>
      <w:r>
        <w:rPr>
          <w:rFonts w:ascii="Times New Roman" w:hAnsi="Times New Roman" w:eastAsia="宋体"/>
          <w:b w:val="0"/>
          <w:i w:val="0"/>
          <w:color w:val="595959"/>
          <w:sz w:val="18"/>
        </w:rPr>
        <w:t>Lorenzo Feltrin（Department of Political Science and International Studies, University of Birmingham, Birmingham, UK; Department of Sociology, University of Chile, Santiago de Chile, Chile）；Gabriela Julio Medel（School of Management, University of Bristol, Bristol, UK）</w:t>
      </w:r>
    </w:p>
    <w:p>
      <w:r>
        <w:rPr>
          <w:rFonts w:ascii="Times New Roman" w:hAnsi="Times New Roman" w:eastAsia="宋体"/>
          <w:b w:val="0"/>
          <w:i w:val="0"/>
          <w:sz w:val="22"/>
        </w:rPr>
        <w:t>摘要：【摘译】作者分析智利以铜为中心的金特罗—普丘恩卡维工业区中“有害去工业化”的悖论：就业去工业化的同时，高污染产业仍在运转。作者认为，地方嵌入“国际劳动与危害分工”（技术能力、工资水平与环境负担差异构成的全球社会生态等级）的方式塑造了这一模式。</w:t>
      </w:r>
    </w:p>
    <w:p>
      <w:r>
        <w:rPr>
          <w:rFonts w:ascii="Times New Roman" w:hAnsi="Times New Roman" w:eastAsia="宋体"/>
          <w:b w:val="0"/>
          <w:i w:val="0"/>
          <w:sz w:val="20"/>
        </w:rPr>
        <w:t>This article examines the paradox of ‘noxious deindustrialisation’ – employment deindustrialisation in areas where significantly noxious industries are still operating – in the context of an extractivist economy in the Global South. Analysing the copper-centred industrial area of Quintero-Puchuncaví (Chile), we argue that a key element shaping patterns of local noxious deindustrialisation is the mode of insertion of the affected area in the international division of labour and noxiousness. The latter refers to the global socioecological hierarchy constituted by interconnected differentials in technological capabilities, wage levels, and environmental degradation. In countries marked by extractivism, the simple closure of polluting industries deepens the dependence of their economies on rent-bearing primary product exports, while the permanence of such industries often results in the perpetuation of ‘sacrifice zones’, where communities are exposed to severe noxiousness while receiving only meagre benefits in return. In our view, tackling the ecological crisis requires a more balanced international division of labour, as a step towards decommodifying production and nature. Without transformations in this direction, the current attempts at an energy transition risk provoking an unsustainable deepening of extractivism and inequality.</w:t>
      </w:r>
    </w:p>
    <w:p/>
    <w:p>
      <w:r>
        <w:rPr>
          <w:rFonts w:ascii="Times New Roman" w:hAnsi="Times New Roman" w:eastAsia="黑体"/>
          <w:b/>
          <w:i w:val="0"/>
          <w:sz w:val="24"/>
        </w:rPr>
        <w:t>资源丰富国家在国际分工中的转型：乌兹别克斯坦的“落后”工业化与相对过剩人口</w:t>
      </w:r>
    </w:p>
    <w:p>
      <w:r>
        <w:rPr>
          <w:rFonts w:ascii="Times New Roman" w:hAnsi="Times New Roman" w:eastAsia="宋体"/>
          <w:b w:val="0"/>
          <w:i/>
          <w:color w:val="404040"/>
          <w:sz w:val="20"/>
        </w:rPr>
        <w:t>The transformation of resource-rich countries in the International Division of Labour: ‘backward' industrialisation and relative surplus population in Uzbekistan</w:t>
      </w:r>
    </w:p>
    <w:p>
      <w:r>
        <w:rPr>
          <w:rFonts w:ascii="Times New Roman" w:hAnsi="Times New Roman" w:eastAsia="宋体"/>
          <w:b w:val="0"/>
          <w:i w:val="0"/>
          <w:color w:val="595959"/>
          <w:sz w:val="18"/>
        </w:rPr>
        <w:t>Franco Galdini（Department of Politics, The School of Social Sciences, The University of Manchester, Manchester, UK）</w:t>
      </w:r>
    </w:p>
    <w:p>
      <w:r>
        <w:rPr>
          <w:rFonts w:ascii="Times New Roman" w:hAnsi="Times New Roman" w:eastAsia="宋体"/>
          <w:b w:val="0"/>
          <w:i w:val="0"/>
          <w:sz w:val="22"/>
        </w:rPr>
        <w:t>摘要：【摘译】作者认为，独立后的乌兹别克斯坦作为初级产品出口国融入世界经济，呈现两个特征：以棉花租金补贴面向国内市场的“落后”工业化，以及大规模相对过剩人口的形成（并转化为外出劳务移民）。</w:t>
      </w:r>
    </w:p>
    <w:p>
      <w:r>
        <w:rPr>
          <w:rFonts w:ascii="Times New Roman" w:hAnsi="Times New Roman" w:eastAsia="宋体"/>
          <w:b w:val="0"/>
          <w:i w:val="0"/>
          <w:sz w:val="20"/>
        </w:rPr>
        <w:t>This article explains independent Uzbekistan’s transformation starting from its integration into the global economy as a primary commodity exporter. It argues that, in line with other resource-rich countries of the Global South, this transformation exhibited two enduring and interlinked features, namely rent-subsidised ‘backward’ industrialisation and the rise of a vast relative surplus population (RSP). First, the end of collective agriculture expropriated most of the Uzbek rural population from the land, so rents from cotton exports could subsidise ‘backward’ industries manufacturing for the domestic market. Second, as these industries could only absorb a minority of the population due to their limited (largely domestic) scale of production, the majority was turned into a vast RSP that struggles in the informal sector, including as labour migrants. Third, cotton’s replacement by gold and natural gas as the main export commodities laid the basis for the current liberalisation. Still, Uzbekistan endures as a raw material exporter, hence as a ‘backward’ industrialiser and reservoir of RSP. As such, the paper problematises the transition literature’s framing of Uzbekistan as an example of failed reform or successful developmentalism, showing instead how these enduring features of its development paralleled similar dynamics in other raw-material-exporting countries of the Global South.</w:t>
      </w:r>
    </w:p>
    <w:p/>
    <w:p>
      <w:r>
        <w:rPr>
          <w:rFonts w:ascii="Times New Roman" w:hAnsi="Times New Roman" w:eastAsia="黑体"/>
          <w:b/>
          <w:i w:val="0"/>
          <w:sz w:val="24"/>
        </w:rPr>
        <w:t>商业协会何时希望硬性的贸易—可持续关联？分析框架与欧盟案例</w:t>
      </w:r>
    </w:p>
    <w:p>
      <w:r>
        <w:rPr>
          <w:rFonts w:ascii="Times New Roman" w:hAnsi="Times New Roman" w:eastAsia="宋体"/>
          <w:b w:val="0"/>
          <w:i/>
          <w:color w:val="404040"/>
          <w:sz w:val="20"/>
        </w:rPr>
        <w:t>When do business associations want a hard trade-sustainability nexus? A framework of analysis and the EU case</w:t>
      </w:r>
    </w:p>
    <w:p>
      <w:r>
        <w:rPr>
          <w:rFonts w:ascii="Times New Roman" w:hAnsi="Times New Roman" w:eastAsia="宋体"/>
          <w:b w:val="0"/>
          <w:i w:val="0"/>
          <w:color w:val="595959"/>
          <w:sz w:val="18"/>
        </w:rPr>
        <w:t>Rodrigo Fagundes Cezar（School of International Relations, Fundação Getulio Vargas (FGV), Rio de Janeiro, Brazil）</w:t>
      </w:r>
    </w:p>
    <w:p>
      <w:r>
        <w:rPr>
          <w:rFonts w:ascii="Times New Roman" w:hAnsi="Times New Roman" w:eastAsia="宋体"/>
          <w:b w:val="0"/>
          <w:i w:val="0"/>
          <w:sz w:val="22"/>
        </w:rPr>
        <w:t>摘要：【摘译】作者提出框架解释贸易相关可持续义务趋硬时商业协会的政治立场；对欧盟磋商意见的分析显示，企业层面与组织特征能很好地解释协会间分歧。</w:t>
      </w:r>
    </w:p>
    <w:p>
      <w:r>
        <w:rPr>
          <w:rFonts w:ascii="Times New Roman" w:hAnsi="Times New Roman" w:eastAsia="宋体"/>
          <w:b w:val="0"/>
          <w:i w:val="0"/>
          <w:sz w:val="20"/>
        </w:rPr>
        <w:t>This paper proposes and probes the plausibility of a framework to explain how business associations position themselves politically as trade-related sustainability obligations get stronger. An analysis of the submissions of EU business associations during a consultation on trade and sustainability indicates that firm-level and organisational characteristics explain well trade associations’ political cleavages. The paper can provide new insights to help understand a major development in the EU and beyond. The EU is passing through an unprecedented shift in its approach to trade and sustainability as it is likely to rely on legal sanctions to enforce sustainability commitments in trade agreements. Understanding the position of EU business interests in that process is relevant to project the consequences of such shift. Besides, as sustainability provisions in trade agreements get stronger, associations may play an ever-important role in promoting their members collectively or in shielding them from reputational costs. Understanding their political positioning is thus key to understanding the very politics of trade and sustainable development.</w:t>
      </w:r>
    </w:p>
    <w:p/>
    <w:p>
      <w:r>
        <w:rPr>
          <w:rFonts w:ascii="Times New Roman" w:hAnsi="Times New Roman" w:eastAsia="黑体"/>
          <w:b/>
          <w:i w:val="0"/>
          <w:sz w:val="24"/>
        </w:rPr>
        <w:t>数字转型的跨国治理：为欧洲外围的创新融资</w:t>
      </w:r>
    </w:p>
    <w:p>
      <w:r>
        <w:rPr>
          <w:rFonts w:ascii="Times New Roman" w:hAnsi="Times New Roman" w:eastAsia="宋体"/>
          <w:b w:val="0"/>
          <w:i/>
          <w:color w:val="404040"/>
          <w:sz w:val="20"/>
        </w:rPr>
        <w:t>Transnational governance of digital transformation: financing innovation in Europe’s periphery</w:t>
      </w:r>
    </w:p>
    <w:p>
      <w:r>
        <w:rPr>
          <w:rFonts w:ascii="Times New Roman" w:hAnsi="Times New Roman" w:eastAsia="宋体"/>
          <w:b w:val="0"/>
          <w:i w:val="0"/>
          <w:color w:val="595959"/>
          <w:sz w:val="18"/>
        </w:rPr>
        <w:t>Sidney A. Rothstein（Department of Political Science, Williams College, Williamstown, MA, USA）</w:t>
      </w:r>
    </w:p>
    <w:p>
      <w:r>
        <w:rPr>
          <w:rFonts w:ascii="Times New Roman" w:hAnsi="Times New Roman" w:eastAsia="宋体"/>
          <w:b w:val="0"/>
          <w:i w:val="0"/>
          <w:sz w:val="22"/>
        </w:rPr>
        <w:t>摘要：【摘译】作者研究欧洲外围国家为数字转型融资的策略，发现它们借助欧盟层面工具与跨国治理为创新融资。</w:t>
      </w:r>
    </w:p>
    <w:p>
      <w:r>
        <w:rPr>
          <w:rFonts w:ascii="Times New Roman" w:hAnsi="Times New Roman" w:eastAsia="宋体"/>
          <w:b w:val="0"/>
          <w:i w:val="0"/>
          <w:sz w:val="20"/>
        </w:rPr>
        <w:t>Policymakers in Europe have embraced the notion that they can and should drive economic growth by promoting digital technology. Efforts to do so, known as ‘digital transformation’, involve reallocating labour and capital to more efficient uses, especially those that produce technological innovation. Recent research has shed light on the politics of updating institutions for education and skills training, but we know little about the politics of reallocating capital in the current episode of economic upgrading, despite the specific and sizable costs of producing technological innovation. What strategies are policymakers implementing to finance technological innovation, especially in Europe’s periphery, where states lack fiscal resources? Focusing on the case of Portugal, this article illustrates the centrality of development financial institutions to financing technological innovation, identifying a distinct type of digital transformation in Europe’s periphery, where the state plays a marginal role in governing key aspects of economic upgrading. Instead, private finance allocates capital, and international organisations like the European Commission design policies to govern capital allocation. This article develops a framework for analysing the politics of digital transformation in Europe’s periphery that centres transnational actors and institutions, rather than the state, in directing the path of technological and structural change.</w:t>
      </w:r>
    </w:p>
    <w:p/>
    <w:p>
      <w:r>
        <w:rPr>
          <w:rFonts w:ascii="Times New Roman" w:hAnsi="Times New Roman" w:eastAsia="黑体"/>
          <w:b/>
          <w:i w:val="0"/>
          <w:sz w:val="24"/>
        </w:rPr>
        <w:t>低利率、低生产率、低增长？宽松货币政策下英国企业融资与投资策略的多部门案例研究</w:t>
      </w:r>
    </w:p>
    <w:p>
      <w:r>
        <w:rPr>
          <w:rFonts w:ascii="Times New Roman" w:hAnsi="Times New Roman" w:eastAsia="宋体"/>
          <w:b w:val="0"/>
          <w:i/>
          <w:color w:val="404040"/>
          <w:sz w:val="20"/>
        </w:rPr>
        <w:t>Low interest rates, low productivity, low growth? A multi-sector case study of UK-based firms’ funding and investment strategies in the context of loose monetary policy</w:t>
      </w:r>
    </w:p>
    <w:p>
      <w:r>
        <w:rPr>
          <w:rFonts w:ascii="Times New Roman" w:hAnsi="Times New Roman" w:eastAsia="宋体"/>
          <w:b w:val="0"/>
          <w:i w:val="0"/>
          <w:color w:val="595959"/>
          <w:sz w:val="18"/>
        </w:rPr>
        <w:t>John Evemy（Department of Politics, University of York, York, UK）；Craig Berry（Institute for Innovation and Public Purpose, University College London, London, UK）；Edward Yates（Management School, The University of Sheffield, Sheffield, UK）</w:t>
      </w:r>
    </w:p>
    <w:p>
      <w:r>
        <w:rPr>
          <w:rFonts w:ascii="Times New Roman" w:hAnsi="Times New Roman" w:eastAsia="宋体"/>
          <w:b w:val="0"/>
          <w:i w:val="0"/>
          <w:sz w:val="22"/>
        </w:rPr>
        <w:t>摘要：【摘译】对2012—2016年英国两部门八家企业的比较发现：投资决策先于融资决策，宽松货币政策只是便利而非驱动投资；投资质量影响融资选择。</w:t>
      </w:r>
    </w:p>
    <w:p>
      <w:r>
        <w:rPr>
          <w:rFonts w:ascii="Times New Roman" w:hAnsi="Times New Roman" w:eastAsia="宋体"/>
          <w:b w:val="0"/>
          <w:i w:val="0"/>
          <w:sz w:val="20"/>
        </w:rPr>
        <w:t>Low productivity growth in a low interest rate environment is a perennial problem for both UK monetary policy and the UK economy more generally. Through a comparative case study of eight firms across two economic sectors during 2012–6 we identify two shortcomings in the current productivity literature. The first is the importance of the order in which firms make investment and funding decisions. Investment decisions tend to predate questions of firm financing, implying loose monetary policy does not drive investment, but rather facilitates it. Secondly, we emphasise the importance of investment quality for funding choices. External financing such as credit or stock issues is predominantly used to fund expansionary but not productivity focussed investments. This implies monetary policy may have worsened the UK’s productivity problem by facilitating expansionary over productivity enhancing investment strategies. Our findings are broadly consistent with the political economy literature on the UK economy, but we argue that research framed by the ‘growth model’ concept has not successfully illuminated firm-level dynamics, and relies on mainstream macroeconomics to explain low productivity. We therefore argue for a research agenda that moves beyond aggregate measures and incorporates questions about the quality of economic activity.</w:t>
      </w:r>
    </w:p>
    <w:p/>
    <w:p>
      <w:r>
        <w:rPr>
          <w:rFonts w:ascii="Times New Roman" w:hAnsi="Times New Roman" w:eastAsia="黑体"/>
          <w:b/>
          <w:i w:val="0"/>
          <w:sz w:val="24"/>
        </w:rPr>
        <w:t>英语对早期恩格斯的重要性——合作前恩格斯与马克思研究英国政治经济学文献的比较</w:t>
      </w:r>
    </w:p>
    <w:p>
      <w:r>
        <w:rPr>
          <w:rFonts w:ascii="Times New Roman" w:hAnsi="Times New Roman" w:eastAsia="宋体"/>
          <w:b w:val="0"/>
          <w:i/>
          <w:color w:val="404040"/>
          <w:sz w:val="20"/>
        </w:rPr>
        <w:t>The importance of the English language for the early Engels–a comparison between Engels’ and Marx’s research on English political economic literature before their collaboration</w:t>
      </w:r>
    </w:p>
    <w:p>
      <w:r>
        <w:rPr>
          <w:rFonts w:ascii="Times New Roman" w:hAnsi="Times New Roman" w:eastAsia="宋体"/>
          <w:b w:val="0"/>
          <w:i w:val="0"/>
          <w:color w:val="595959"/>
          <w:sz w:val="18"/>
        </w:rPr>
        <w:t>Feixia Ling（Department of Philosophy, Institute of Marxist Philosophy and Chinese Modernization, Sun Yat–sen University, Key Research Institute of Humanities and Social Sciences of the Ministry of Education in University, Guangzhou, People’s Republic of China）</w:t>
      </w:r>
    </w:p>
    <w:p>
      <w:r>
        <w:rPr>
          <w:rFonts w:ascii="Times New Roman" w:hAnsi="Times New Roman" w:eastAsia="宋体"/>
          <w:b w:val="0"/>
          <w:i w:val="0"/>
          <w:sz w:val="22"/>
        </w:rPr>
        <w:t>摘要：【摘译】基于MEGA2，作者发现恩格斯凭借英语能力与在英国的田野经验，在与马克思合作前比马克思更早研读英国政治经济学一手文献。</w:t>
      </w:r>
    </w:p>
    <w:p>
      <w:r>
        <w:rPr>
          <w:rFonts w:ascii="Times New Roman" w:hAnsi="Times New Roman" w:eastAsia="宋体"/>
          <w:b w:val="0"/>
          <w:i w:val="0"/>
          <w:sz w:val="20"/>
        </w:rPr>
        <w:t>The current research on Engels’ and Marx’s early economic studies often neglects the language and geographical differences between Engels and Marx which directly lead to the disparity between them in political economy. This study, based on MEGA2, finds that before the collaboration with Marx, Engels, with his proficiency in English, studied plenty of first-hand English literature on political economy while having in-person experience and doing field investigation in Britain which most German intellectuals of the same period such as Marx lacked. With access to the newly published English literature, Engels transformed his literature advantage into a theoretical edge and formulated his original ideas. Yet Marx in German states and Austrian Empire mainly studied French translations of limited English literature on political economy, although presenting critical insights. Engels’ advantage is that he proposed many ideas that would become the basis of Marxian political economy, some of which had not yet been explored by Marx but were later affirmed by Marx.</w:t>
      </w:r>
    </w:p>
    <w:p/>
    <w:p>
      <w:r>
        <w:rPr>
          <w:rFonts w:ascii="Times New Roman" w:hAnsi="Times New Roman" w:eastAsia="黑体"/>
          <w:b/>
          <w:i w:val="0"/>
          <w:sz w:val="24"/>
        </w:rPr>
        <w:t>塑造行星健康不平等：澳大利亚增长模式的政治经济学</w:t>
      </w:r>
    </w:p>
    <w:p>
      <w:r>
        <w:rPr>
          <w:rFonts w:ascii="Times New Roman" w:hAnsi="Times New Roman" w:eastAsia="宋体"/>
          <w:b w:val="0"/>
          <w:i/>
          <w:color w:val="404040"/>
          <w:sz w:val="20"/>
        </w:rPr>
        <w:t>Shaping planetary health inequities: the political economy of the Australian growth model</w:t>
      </w:r>
    </w:p>
    <w:p>
      <w:r>
        <w:rPr>
          <w:rFonts w:ascii="Times New Roman" w:hAnsi="Times New Roman" w:eastAsia="宋体"/>
          <w:b w:val="0"/>
          <w:i w:val="0"/>
          <w:color w:val="595959"/>
          <w:sz w:val="18"/>
        </w:rPr>
        <w:t>Nicholas Frank（School of Regulation and Global Governance, Australian National University, Canberra, Australia）；Megan Arthur（School of Regulation and Global Governance, Australian National University, Canberra, Australia）；Sharon Friel（School of Regulation and Global Governance, Australian National University, Canberra, Australia）</w:t>
      </w:r>
    </w:p>
    <w:p>
      <w:r>
        <w:rPr>
          <w:rFonts w:ascii="Times New Roman" w:hAnsi="Times New Roman" w:eastAsia="宋体"/>
          <w:b w:val="0"/>
          <w:i w:val="0"/>
          <w:sz w:val="22"/>
        </w:rPr>
        <w:t>摘要：【摘译】作者分析澳大利亚增长模式的来源及维系它的政治联盟，指出该模式对行星健康公平的负面影响。</w:t>
      </w:r>
    </w:p>
    <w:p>
      <w:r>
        <w:rPr>
          <w:rFonts w:ascii="Times New Roman" w:hAnsi="Times New Roman" w:eastAsia="宋体"/>
          <w:b w:val="0"/>
          <w:i w:val="0"/>
          <w:sz w:val="20"/>
        </w:rPr>
        <w:t>Planetary health equity – the equitable enjoyment of good health and wellbeing in a sustainable ecosystem – is under threat from anthropogenic climate change and economic and social inequities. Driving these major challenges is the global consumptogenic system that encourages excessive production and consumption goods and services that are harming human and planetary health. Growth models lie at the core of the consumptogenic system. This paper examines the sources of economic growth in Australia, the coalitions that sustain this approach politically, and the implications of these dynamics for planetary health equity. Australia’s consumption-led growth model is underpinned by a combination of rising house prices and a permissive credit regime. This growth model is supported by a dominant growth coalition of producer interests, elements of organised labour, and property owners. The growth coalition has been able to successfully generate growth model policy convergence between the mainstream political parties. In turn this growth model, and associated growth coalition, has undermined the pursuit of planetary health equity in Australia by incentivising and driving excessive consumption, greenhouse gas emissions, and economic inequality.</w:t>
      </w:r>
    </w:p>
    <w:p/>
    <w:p>
      <w:r>
        <w:rPr>
          <w:rFonts w:ascii="Times New Roman" w:hAnsi="Times New Roman" w:eastAsia="黑体"/>
          <w:b/>
          <w:i w:val="0"/>
          <w:sz w:val="24"/>
        </w:rPr>
        <w:t>市场渗透社会再生产与欧洲跨国劳动力流动</w:t>
      </w:r>
    </w:p>
    <w:p>
      <w:r>
        <w:rPr>
          <w:rFonts w:ascii="Times New Roman" w:hAnsi="Times New Roman" w:eastAsia="宋体"/>
          <w:b w:val="0"/>
          <w:i/>
          <w:color w:val="404040"/>
          <w:sz w:val="20"/>
        </w:rPr>
        <w:t>Market-reach into social reproduction and transnational labour mobility in Europe</w:t>
      </w:r>
    </w:p>
    <w:p>
      <w:r>
        <w:rPr>
          <w:rFonts w:ascii="Times New Roman" w:hAnsi="Times New Roman" w:eastAsia="宋体"/>
          <w:b w:val="0"/>
          <w:i w:val="0"/>
          <w:color w:val="595959"/>
          <w:sz w:val="18"/>
        </w:rPr>
        <w:t>Ania Plomien（Department of Gender Studies, London School of Economics and Political Science, London, UK）；Gregory Schwartz（University of Bristol Business School, Bristol, UK）</w:t>
      </w:r>
    </w:p>
    <w:p>
      <w:r>
        <w:rPr>
          <w:rFonts w:ascii="Times New Roman" w:hAnsi="Times New Roman" w:eastAsia="宋体"/>
          <w:b w:val="0"/>
          <w:i w:val="0"/>
          <w:sz w:val="22"/>
        </w:rPr>
        <w:t>摘要：【摘译】作者运用社会再生产理论与不平衡综合积累框架，分析英国、波兰、乌克兰的食品、住房与照护部门，揭示市场渗透社会再生产如何驱动欧洲跨国劳动流动。</w:t>
      </w:r>
    </w:p>
    <w:p>
      <w:r>
        <w:rPr>
          <w:rFonts w:ascii="Times New Roman" w:hAnsi="Times New Roman" w:eastAsia="宋体"/>
          <w:b w:val="0"/>
          <w:i w:val="0"/>
          <w:sz w:val="20"/>
        </w:rPr>
        <w:t>What are the processes and consequences of markets reaching deeper into social reproduction? How do these developments, in the context of Europeanisation underpinned by neoliberalisation and transnationalisation, compel labour mobility? To consider these questions we apply social reproduction theory and the framework of uneven and combined accumulation of capital in Europe to the analysis of the UK, Poland and Ukraine and their food production, housing construction and care provision sectors.We explore how transformations, in these three countries interconnected by labour mobilities and in these three domains key to social reproduction, not only affect the industries that supply food, housing and care, but, crucially, redraw the contours of social reproduction. Theorising social reproduction as a continuum of market, state and household provisioning, we outline its transformation within the specific constellation of Europeanisation and delineate how mobility is both propelled by and advances market-reach into food, housing and care. We argue that market-driven transnational social reproduction is constituted by contradictions stemming from the deepening subordination of reproductive labour to the law of value, progressively depriving households of the promise of prosperity - a complex process that is made visible by our feminist critique of political economy.</w:t>
      </w:r>
    </w:p>
    <w:p/>
    <w:p>
      <w:r>
        <w:rPr>
          <w:rFonts w:ascii="Times New Roman" w:hAnsi="Times New Roman" w:eastAsia="黑体"/>
          <w:b/>
          <w:i w:val="0"/>
          <w:sz w:val="24"/>
        </w:rPr>
        <w:t>中国金融化了吗？中国金融两次历史性转型的意义</w:t>
      </w:r>
    </w:p>
    <w:p>
      <w:r>
        <w:rPr>
          <w:rFonts w:ascii="Times New Roman" w:hAnsi="Times New Roman" w:eastAsia="宋体"/>
          <w:b w:val="0"/>
          <w:i/>
          <w:color w:val="404040"/>
          <w:sz w:val="20"/>
        </w:rPr>
        <w:t>Is China financialised? The significance of two historic transformations of Chinese finance</w:t>
      </w:r>
    </w:p>
    <w:p>
      <w:r>
        <w:rPr>
          <w:rFonts w:ascii="Times New Roman" w:hAnsi="Times New Roman" w:eastAsia="宋体"/>
          <w:b w:val="0"/>
          <w:i w:val="0"/>
          <w:color w:val="595959"/>
          <w:sz w:val="18"/>
        </w:rPr>
        <w:t>Yuning Shi（Department of Economics, SOAS University of London, London, UK）</w:t>
      </w:r>
    </w:p>
    <w:p>
      <w:r>
        <w:rPr>
          <w:rFonts w:ascii="Times New Roman" w:hAnsi="Times New Roman" w:eastAsia="宋体"/>
          <w:b w:val="0"/>
          <w:i w:val="0"/>
          <w:sz w:val="22"/>
        </w:rPr>
        <w:t>摘要：本文分析中国金融体系的两次关键转型，以回答中国经济中是否存在金融化。第一次是国家主导的改革，使金融体系与其他经济部门一样引入市场做法；第二次是市场主导的过程，表现为影子银行的兴起，其源自金融市场内部，目的在于绕过贷款限制。文章表明，尽管经历两次转型且过去四十年金融规模大幅增长，中国金融的底层性质并未改变，仍以服务国家发展目标为主，因此不宜以西方金融化概念简单套用。</w:t>
      </w:r>
    </w:p>
    <w:p>
      <w:r>
        <w:rPr>
          <w:rFonts w:ascii="Times New Roman" w:hAnsi="Times New Roman" w:eastAsia="宋体"/>
          <w:b w:val="0"/>
          <w:i w:val="0"/>
          <w:sz w:val="20"/>
        </w:rPr>
        <w:t>This article tackles the question of whether financialisation is present in the Chinese economy by analysing two key transformations of the country’s financial system. The first was a state-led reform process through which the Chinese financial system introduced market practices, similarly to the rest of the economy. The second was a market-led process, reflected in the emergence and rise of shadow banking, which originates from within financial markets with the aim of bypassing loan restrictions. The article shows that despite the two transformations and the enormous growth of finance during the past four decades, the underlying character of the Chinese financial system exhibits remarkable continuity. Namely, it remains bank based – albeit partially liberalised – with a predominant role for bank credit and a strong presence for the state. The relational and government-controlled structures of Chinese finance have not been replaced by arm’s length and private mechanisms. On these grounds, it is premature to consider the Chinese economy to be financialised.</w:t>
      </w:r>
    </w:p>
    <w:p/>
    <w:p>
      <w:r>
        <w:rPr>
          <w:rFonts w:ascii="Times New Roman" w:hAnsi="Times New Roman" w:eastAsia="黑体"/>
          <w:b/>
          <w:i w:val="0"/>
          <w:sz w:val="24"/>
        </w:rPr>
        <w:t>自由、支配与零工经济</w:t>
      </w:r>
    </w:p>
    <w:p>
      <w:r>
        <w:rPr>
          <w:rFonts w:ascii="Times New Roman" w:hAnsi="Times New Roman" w:eastAsia="宋体"/>
          <w:b w:val="0"/>
          <w:i/>
          <w:color w:val="404040"/>
          <w:sz w:val="20"/>
        </w:rPr>
        <w:t>Freedom, domination and the gig economy</w:t>
      </w:r>
    </w:p>
    <w:p>
      <w:r>
        <w:rPr>
          <w:rFonts w:ascii="Times New Roman" w:hAnsi="Times New Roman" w:eastAsia="宋体"/>
          <w:b w:val="0"/>
          <w:i w:val="0"/>
          <w:color w:val="595959"/>
          <w:sz w:val="18"/>
        </w:rPr>
        <w:t>James Hickson（Heseltine Institute for Public Policy, Practice, and Place, University of Liverpool, Liverpool, UK）</w:t>
      </w:r>
    </w:p>
    <w:p>
      <w:r>
        <w:rPr>
          <w:rFonts w:ascii="Times New Roman" w:hAnsi="Times New Roman" w:eastAsia="宋体"/>
          <w:b w:val="0"/>
          <w:i w:val="0"/>
          <w:sz w:val="22"/>
        </w:rPr>
        <w:t>摘要：【摘译】作者以共和主义自由观指出，零工经济所宣扬的“选择自由”掩盖了对工人的支配。</w:t>
      </w:r>
    </w:p>
    <w:p>
      <w:r>
        <w:rPr>
          <w:rFonts w:ascii="Times New Roman" w:hAnsi="Times New Roman" w:eastAsia="宋体"/>
          <w:b w:val="0"/>
          <w:i w:val="0"/>
          <w:sz w:val="20"/>
        </w:rPr>
        <w:t>Employment practices in the gig economy have routinely been defended through the language of individual freedom. Indeed, this particular model of on-demand employment is often presented as removing constraints on the freedom to choose when, where and how to sell one’s labour, enabling individuals to exercise greater self-authorship over their working lives. In this article, however, I show how the particular conception of freedom that underpins this pro-gig work discourse functions to obscure significant threats to the liberty of gig workers. An alternative perspective, inspired by the republican tradition of political thought, reveals instead how the structural vulnerability of gig workers exposes them to extraordinary forms of domination, compromising their freedom. Relative to typical employees in advanced capitalist labour markets, the precarious legal and economic status of gig workers leaves them less free, with fewer institutionalised resources to disarm the multiple forms of dominating, arbitrary power to which they are vulnerable. To maximise freedom within existing capitalist labour markets, on this republican view, we should seek to (re)build the rights and protections available to workers, rather than promote the further normalisation of under-regulated and precarious gig work.</w:t>
      </w:r>
    </w:p>
    <w:p/>
    <w:p>
      <w:r>
        <w:rPr>
          <w:rFonts w:ascii="Times New Roman" w:hAnsi="Times New Roman" w:eastAsia="宋体"/>
          <w:b/>
          <w:i w:val="0"/>
          <w:sz w:val="22"/>
        </w:rPr>
        <w:t>NPE： Vol. 29, No. 1, 2024</w:t>
      </w:r>
    </w:p>
    <w:p/>
    <w:p>
      <w:r>
        <w:rPr>
          <w:rFonts w:ascii="Times New Roman" w:hAnsi="Times New Roman" w:eastAsia="黑体"/>
          <w:b/>
          <w:i w:val="0"/>
          <w:sz w:val="24"/>
        </w:rPr>
        <w:t>资本主义改革与中国极端贫困：前所未有的进步还是收入紧缩？</w:t>
      </w:r>
    </w:p>
    <w:p>
      <w:r>
        <w:rPr>
          <w:rFonts w:ascii="Times New Roman" w:hAnsi="Times New Roman" w:eastAsia="宋体"/>
          <w:b w:val="0"/>
          <w:i/>
          <w:color w:val="404040"/>
          <w:sz w:val="20"/>
        </w:rPr>
        <w:t>Capitalist reforms and extreme poverty in China: unprecedented progress or income deflation?</w:t>
      </w:r>
    </w:p>
    <w:p>
      <w:r>
        <w:rPr>
          <w:rFonts w:ascii="Times New Roman" w:hAnsi="Times New Roman" w:eastAsia="宋体"/>
          <w:b w:val="0"/>
          <w:i w:val="0"/>
          <w:color w:val="595959"/>
          <w:sz w:val="18"/>
        </w:rPr>
        <w:t>Dylan Sullivan（Macquarie School of Social Sciences, Macquarie University, Sydney, Australia）；Michail Moatsos（School of Business and Economics, Maastricht University, Maastricht¸ the Netherlands）；Jason Hickel（Institute for Environmental Science and Technology (ICTA-UAB), Autonomous University of Barcelona, Barcelona, Spain; Department of Social and Cultural Anthropology, Autonomous University of Barcelona, Barcelona, Spain）</w:t>
      </w:r>
    </w:p>
    <w:p>
      <w:r>
        <w:rPr>
          <w:rFonts w:ascii="Times New Roman" w:hAnsi="Times New Roman" w:eastAsia="宋体"/>
          <w:b w:val="0"/>
          <w:i w:val="0"/>
          <w:sz w:val="22"/>
        </w:rPr>
        <w:t>摘要：【摘译】作者质疑世界银行1.9美元贫困线叙事，依据OECD“基本需求篮子”数据发现：1980年代中国极端贫困较低，1990年代市场化改革期间反而上升，此后才下降。</w:t>
      </w:r>
    </w:p>
    <w:p>
      <w:r>
        <w:rPr>
          <w:rFonts w:ascii="Times New Roman" w:hAnsi="Times New Roman" w:eastAsia="宋体"/>
          <w:b w:val="0"/>
          <w:i w:val="0"/>
          <w:sz w:val="20"/>
        </w:rPr>
        <w:t>It is widely believed that China's socialist economy had relatively high rates of extreme poverty while the capitalist reforms of the 1980s and 1990s delivered rapid progress. This narrative relies on World Bank estimates of the share of people living on less than $1.90 a day (2011 PPP), which show a sharp decline from 88 per cent in 1981 to zero by 2018. However, the World Bank’s poverty line has been critiqued for ignoring variations in the actual cost of meeting basic needs. In this paper we review data published by the OECD on the share of people unable to afford a subsistence basket. These estimates indicate that from 1981 to 1990, when most of China’s socialist provisioning systems were still in place, the country’s extreme poverty rate was on average only 5.6 per cent, substantially lower than in capitalist economies of comparable size and income at the time: 51 per cent in India, 36.5 per cent in Indonesia, and 29.5 per cent in Brazil. China's comparatively strong performance is corroborated by data on other social indicators. Moreover, extreme poverty in China increased during the capitalist reforms of the 1990s, reaching a peak of 68 per cent, as privatisation inflated the prices of essential goods and thus deflated the incomes of the working classes. These results indicate that socialist provisioning policies can be effective at preventing extreme poverty, while market reforms may threaten people's ability to meet basic needs.</w:t>
      </w:r>
    </w:p>
    <w:p/>
    <w:p>
      <w:r>
        <w:rPr>
          <w:rFonts w:ascii="Times New Roman" w:hAnsi="Times New Roman" w:eastAsia="黑体"/>
          <w:b/>
          <w:i w:val="0"/>
          <w:sz w:val="24"/>
        </w:rPr>
        <w:t>平衡天平：劳工整合与增长模式转型的政治</w:t>
      </w:r>
    </w:p>
    <w:p>
      <w:r>
        <w:rPr>
          <w:rFonts w:ascii="Times New Roman" w:hAnsi="Times New Roman" w:eastAsia="宋体"/>
          <w:b w:val="0"/>
          <w:i/>
          <w:color w:val="404040"/>
          <w:sz w:val="20"/>
        </w:rPr>
        <w:t>Balancing the scales: labour incorporation and the politics of growth model transformation</w:t>
      </w:r>
    </w:p>
    <w:p>
      <w:r>
        <w:rPr>
          <w:rFonts w:ascii="Times New Roman" w:hAnsi="Times New Roman" w:eastAsia="宋体"/>
          <w:b w:val="0"/>
          <w:i w:val="0"/>
          <w:color w:val="595959"/>
          <w:sz w:val="18"/>
        </w:rPr>
        <w:t>Assaf S. Bondy（The Department of Sociology, Haifa University, Haifa, Israel）；Erez Maggor（The Martin Buber Society of Fellows, The Hebrew University in Jerusalem, Jerusalem, Israel）</w:t>
      </w:r>
    </w:p>
    <w:p>
      <w:r>
        <w:rPr>
          <w:rFonts w:ascii="Times New Roman" w:hAnsi="Times New Roman" w:eastAsia="宋体"/>
          <w:b w:val="0"/>
          <w:i w:val="0"/>
          <w:sz w:val="22"/>
        </w:rPr>
        <w:t>摘要：【摘译】作者提出增长模式变迁的一条路径：将有组织劳工纳入增长联盟，并结合劳工整合文献扩展增长联盟的作用。</w:t>
      </w:r>
    </w:p>
    <w:p>
      <w:r>
        <w:rPr>
          <w:rFonts w:ascii="Times New Roman" w:hAnsi="Times New Roman" w:eastAsia="宋体"/>
          <w:b w:val="0"/>
          <w:i w:val="0"/>
          <w:sz w:val="20"/>
        </w:rPr>
        <w:t>Led by the emerging growth models perspective, research in comparative political economy has recently reintroduced demand drivers of economic growth into the centre of political-economic analysis. While this marks a significant advancement, current scholarship has, so far, focused mainly on explaining the endurance of existing growth models rather than the process of change. To begin addressing this gap, we identify one route to growth model change: the inclusion of organised labour into growth coalitions. Our proposed framework expands the role of growth coalitions in growth models by incorporating insights from the established literature on institutional change. Building on these insights, we distinguish between broad and narrow coalitions based on their scope, composition, and inclusive nature. With this distinction in mind, we argue that when a previously narrow coalition is broadened by incorporating organised labour, it can ‘balance the scales’, i.e. shift the growth model from a purely export-led model into a more balanced one. This shift occurs as labour’s influence on policy promotes wage growth and redistribution which, in turn, fuel wage-based consumption. We demonstrate our theoretical framework through a comparative analysis of the primary case study of Israel and two additional cases of Brazil and Ireland.</w:t>
      </w:r>
    </w:p>
    <w:p/>
    <w:p>
      <w:r>
        <w:rPr>
          <w:rFonts w:ascii="Times New Roman" w:hAnsi="Times New Roman" w:eastAsia="黑体"/>
          <w:b/>
          <w:i w:val="0"/>
          <w:sz w:val="24"/>
        </w:rPr>
        <w:t>以货币依附换取政治独立？黑山案例</w:t>
      </w:r>
    </w:p>
    <w:p>
      <w:r>
        <w:rPr>
          <w:rFonts w:ascii="Times New Roman" w:hAnsi="Times New Roman" w:eastAsia="宋体"/>
          <w:b w:val="0"/>
          <w:i/>
          <w:color w:val="404040"/>
          <w:sz w:val="20"/>
        </w:rPr>
        <w:t>Political independence through monetary dependence? The case of Montenegro</w:t>
      </w:r>
    </w:p>
    <w:p>
      <w:r>
        <w:rPr>
          <w:rFonts w:ascii="Times New Roman" w:hAnsi="Times New Roman" w:eastAsia="宋体"/>
          <w:b w:val="0"/>
          <w:i w:val="0"/>
          <w:color w:val="595959"/>
          <w:sz w:val="18"/>
        </w:rPr>
        <w:t>Nicola Nones（Department of Politics, University of Virginia, Charlottesville, USA）</w:t>
      </w:r>
    </w:p>
    <w:p>
      <w:r>
        <w:rPr>
          <w:rFonts w:ascii="Times New Roman" w:hAnsi="Times New Roman" w:eastAsia="宋体"/>
          <w:b w:val="0"/>
          <w:i w:val="0"/>
          <w:sz w:val="22"/>
        </w:rPr>
        <w:t>摘要：【摘译】黑山民族主义领导人为何在争取独立时采用欧元？作者认为，货币替代被用作摆脱塞尔维亚、建构国家地位的工具，即以货币依附换取政治独立。</w:t>
      </w:r>
    </w:p>
    <w:p>
      <w:r>
        <w:rPr>
          <w:rFonts w:ascii="Times New Roman" w:hAnsi="Times New Roman" w:eastAsia="宋体"/>
          <w:b w:val="0"/>
          <w:i w:val="0"/>
          <w:sz w:val="20"/>
        </w:rPr>
        <w:t>As an economic policy, currency substitution – the use of a foreign currency in lieu of a domestic currency – is rarely associated with nationalism. This is due to a natural tendency to equate nationalism with economic mercantilism and with the political need to foster nationalist feelings among the population. This need not to be the case, though, as the case of the newly independent Montenegro demonstrates. How can we explain the apparent inconsistency between nationalist leaders fighting for independence and opting to use the currency of the European Union (EU), the quintessential supra-national entity? This paper suggests that conventional explanations need to be complemented with a contextual historical analysis of nationalism. By incorporating the fluid and multifaceted nature of nationalism which, in the hands of skilful political elites, can be reframed to include apparently contradictory positions, I suggest that euroisation has been extremely consistent with nationalist goals. As the content and directionality of nationalist discourse shifted, the euro was transformed into a symbol of national identity in this Newly Independent Country.</w:t>
      </w:r>
    </w:p>
    <w:p/>
    <w:p>
      <w:r>
        <w:rPr>
          <w:rFonts w:ascii="Times New Roman" w:hAnsi="Times New Roman" w:eastAsia="黑体"/>
          <w:b/>
          <w:i w:val="0"/>
          <w:sz w:val="24"/>
        </w:rPr>
        <w:t>“拯救WTO”：中等强国内部人与世界贸易组织联合声明倡议</w:t>
      </w:r>
    </w:p>
    <w:p>
      <w:r>
        <w:rPr>
          <w:rFonts w:ascii="Times New Roman" w:hAnsi="Times New Roman" w:eastAsia="宋体"/>
          <w:b w:val="0"/>
          <w:i/>
          <w:color w:val="404040"/>
          <w:sz w:val="20"/>
        </w:rPr>
        <w:t>‘Saving the WTO’: middle power insiders and joint statement initiatives at the World Trade Organisation</w:t>
      </w:r>
    </w:p>
    <w:p>
      <w:r>
        <w:rPr>
          <w:rFonts w:ascii="Times New Roman" w:hAnsi="Times New Roman" w:eastAsia="宋体"/>
          <w:b w:val="0"/>
          <w:i w:val="0"/>
          <w:color w:val="595959"/>
          <w:sz w:val="18"/>
        </w:rPr>
        <w:t>Shamel Azmeh（The Global Development Institute, The University of Manchester, Manchester, UK）</w:t>
      </w:r>
    </w:p>
    <w:p>
      <w:r>
        <w:rPr>
          <w:rFonts w:ascii="Times New Roman" w:hAnsi="Times New Roman" w:eastAsia="宋体"/>
          <w:b w:val="0"/>
          <w:i w:val="0"/>
          <w:sz w:val="22"/>
        </w:rPr>
        <w:t>摘要：多边贸易体制陷入僵局，推动了区域与双边协定扩张所带来的机制转移与创设。学界长期争论这些协定对多边体制的影响。基于对60个WTO成员国官员的访谈，本文分析多边贸易体制中“内部人”（签署此类协定的国家）与“局外人”的行为。研究发现，作为内部人的中等强国通过联合声明倡议（JSI）推动WTO改革以“拯救WTO”，在区域协定中积累的规则被带回多边谈判。</w:t>
      </w:r>
    </w:p>
    <w:p>
      <w:r>
        <w:rPr>
          <w:rFonts w:ascii="Times New Roman" w:hAnsi="Times New Roman" w:eastAsia="宋体"/>
          <w:b w:val="0"/>
          <w:i w:val="0"/>
          <w:sz w:val="20"/>
        </w:rPr>
        <w:t>Studies have argued that gridlock in the multilateral trade regime has contributed to processes of regime shifting and creation through the expansion of regional and bilateral agreements. Scholars have long debated the impact of such agreements on the multilateral regime exploring their effect on the incentives of insiders, countries that have signed such agreements, and outsiders, countries that are excluded from such agreements. Based on interviews with officials from sixty member states at the World Trade Organisation, this paper examines this issue by analysing the behaviour of insiders and outsiders in the multilateral trade regime. While analysis of trade and investment diversion might lead us to predict that outsiders will have a stronger interest in the multilateral regime, I find that insiders, particularly middle powers, are key drivers of attempts to end the stalemate in the World Trade Organisation by championing what became known as Joint Statement Initiatives. I explain this position by the systemic support of middle powers to the multilateral regime and by the shift in trade governance towards deep integration issues in which discrimination against outsiders is infeasible or costly.</w:t>
      </w:r>
    </w:p>
    <w:p/>
    <w:p>
      <w:r>
        <w:rPr>
          <w:rFonts w:ascii="Times New Roman" w:hAnsi="Times New Roman" w:eastAsia="黑体"/>
          <w:b/>
          <w:i w:val="0"/>
          <w:sz w:val="24"/>
        </w:rPr>
        <w:t>竞争者国家对跨国资本的多尺度调和：“一带一路”在中东</w:t>
      </w:r>
    </w:p>
    <w:p>
      <w:r>
        <w:rPr>
          <w:rFonts w:ascii="Times New Roman" w:hAnsi="Times New Roman" w:eastAsia="宋体"/>
          <w:b w:val="0"/>
          <w:i/>
          <w:color w:val="404040"/>
          <w:sz w:val="20"/>
        </w:rPr>
        <w:t>A contender state’s multiscalar mediation of transnational capital: the belt and road in the Middle East</w:t>
      </w:r>
    </w:p>
    <w:p>
      <w:r>
        <w:rPr>
          <w:rFonts w:ascii="Times New Roman" w:hAnsi="Times New Roman" w:eastAsia="宋体"/>
          <w:b w:val="0"/>
          <w:i w:val="0"/>
          <w:color w:val="595959"/>
          <w:sz w:val="18"/>
        </w:rPr>
        <w:t>Salam Alshareef（Grenoble Ecole de Management, Grenoble, France; Univ. Grenoble Alpes, Grenoble INP (Institute of Engineering Univ. Grenoble Alpes.), Grenoble, France）</w:t>
      </w:r>
    </w:p>
    <w:p>
      <w:r>
        <w:rPr>
          <w:rFonts w:ascii="Times New Roman" w:hAnsi="Times New Roman" w:eastAsia="宋体"/>
          <w:b w:val="0"/>
          <w:i w:val="0"/>
          <w:sz w:val="22"/>
        </w:rPr>
        <w:t>摘要：本文评估“一带一路”倡议在中东活动的跨尺度驱动因素。作者基于“竞争者国家—社会复合体”概念，批判性讨论领土逻辑与资本逻辑。中国竞争者国家的印记体现在其调和跨国资本的特殊方式上，包括国家对项目的所有与主导，以及项目的实际和潜在结果。“一带一路”通过外部地理空间的增值消化过剩资本，同时因应一系列多尺度的政治与经济考量进行调整。</w:t>
      </w:r>
    </w:p>
    <w:p>
      <w:r>
        <w:rPr>
          <w:rFonts w:ascii="Times New Roman" w:hAnsi="Times New Roman" w:eastAsia="宋体"/>
          <w:b w:val="0"/>
          <w:i w:val="0"/>
          <w:sz w:val="20"/>
        </w:rPr>
        <w:t>The article assesses trans-scalar drivers of Belt and Road initiative’s (BRI) activities in the Middle East. It engages critically with the concepts of territorial and capitalist logics of power based on the contender state-society complex’s concept. The imprints of China’s contender state are identifiable in its peculiar mode of mediation of transnational capital both in terms of the state ownership-leadership of BRI projects’ and of their effective and potential outcomes. While BRI fixes over-accumulated capital through valorisation in external geographies, it is modulated to respond to a set of multi-scalar political and economic imperatives. Studied activities in the Middle East contribute to China’s energy security in terms of direct access to oil, trade routes, and oil invoicing practices. Transports and logistics investments strategically integrate the mainland’s underdeveloped regions as central nodes in the BRI’s transnational capital flows to dynamise their economies and ensure political stability. Beijing seems to be conducting a territorially embedded strategy to restructure the international monetary system through new oil-related financial and monetary arrangements with Middle East producers. Geopolitically, BRI reduces dependence on US-dominated global connectivity networks, thus increasing Beijing political autonomy.</w:t>
      </w:r>
    </w:p>
    <w:p/>
    <w:p>
      <w:r>
        <w:rPr>
          <w:rFonts w:ascii="Times New Roman" w:hAnsi="Times New Roman" w:eastAsia="黑体"/>
          <w:b/>
          <w:i w:val="0"/>
          <w:sz w:val="24"/>
        </w:rPr>
        <w:t>汽车、资本主义与生态危机：理解德国汽车业可持续转型的系统性障碍</w:t>
      </w:r>
    </w:p>
    <w:p>
      <w:r>
        <w:rPr>
          <w:rFonts w:ascii="Times New Roman" w:hAnsi="Times New Roman" w:eastAsia="宋体"/>
          <w:b w:val="0"/>
          <w:i/>
          <w:color w:val="404040"/>
          <w:sz w:val="20"/>
        </w:rPr>
        <w:t>Cars, capitalism and ecological crises: understanding systemic barriers to a sustainability transition in the German car industry</w:t>
      </w:r>
    </w:p>
    <w:p>
      <w:r>
        <w:rPr>
          <w:rFonts w:ascii="Times New Roman" w:hAnsi="Times New Roman" w:eastAsia="宋体"/>
          <w:b w:val="0"/>
          <w:i w:val="0"/>
          <w:color w:val="595959"/>
          <w:sz w:val="18"/>
        </w:rPr>
        <w:t>A. Katharina Keil（Institute for Geography and Sustainability, Faculty of Geosciences and Environment, University of Lausanne, Lausanne, Switzerland）；Julia K. Steinberger（Institute for Geography and Sustainability, Faculty of Geosciences and Environment, University of Lausanne, Lausanne, Switzerland）</w:t>
      </w:r>
    </w:p>
    <w:p>
      <w:r>
        <w:rPr>
          <w:rFonts w:ascii="Times New Roman" w:hAnsi="Times New Roman" w:eastAsia="宋体"/>
          <w:b w:val="0"/>
          <w:i w:val="0"/>
          <w:sz w:val="22"/>
        </w:rPr>
        <w:t>摘要：【摘译】作者通过马克思主义视角的文献综述，指出德国汽车业可持续转型面临的系统内在障碍。</w:t>
      </w:r>
    </w:p>
    <w:p>
      <w:r>
        <w:rPr>
          <w:rFonts w:ascii="Times New Roman" w:hAnsi="Times New Roman" w:eastAsia="宋体"/>
          <w:b w:val="0"/>
          <w:i w:val="0"/>
          <w:sz w:val="20"/>
        </w:rPr>
        <w:t>In the face of climate and ecological crises, it is vital that car use be reduced, while simultaneously shifting towards different powertrains and reducing the size, weight and energy demand of vehicles. This poses a challenge to the global car industry, as its business model historically centres on selling more and larger cars. In this context, the purpose of this paper is to examine the social-ecological limits of industrial restructuring in Germany. A narrative literature review through the lens of Marxian political economy sheds light on intertwined system-immanent barriers to achieving social and ecological sustainability at the sectoral level. Consequently, powertrain electrification is structured by technological dynamism, which fuels appropriation in the quest for metals and rare earths, with significant social and ecological disadvantages. This generates an impasse for the industry’s transition strategies. Understanding how capitalist tendencies generate interlaced and mutually re-enforcing barriers to achieving social-ecological sustainability is key to understanding why industrial transitions are insufficient from a social-ecological perspective.</w:t>
      </w:r>
    </w:p>
    <w:p/>
    <w:p>
      <w:r>
        <w:rPr>
          <w:rFonts w:ascii="Times New Roman" w:hAnsi="Times New Roman" w:eastAsia="黑体"/>
          <w:b/>
          <w:i w:val="0"/>
          <w:sz w:val="24"/>
        </w:rPr>
        <w:t>荷兰（后）殖民移民中的多样性、团结与内群体建构（1945—1968）</w:t>
      </w:r>
    </w:p>
    <w:p>
      <w:r>
        <w:rPr>
          <w:rFonts w:ascii="Times New Roman" w:hAnsi="Times New Roman" w:eastAsia="宋体"/>
          <w:b w:val="0"/>
          <w:i/>
          <w:color w:val="404040"/>
          <w:sz w:val="20"/>
        </w:rPr>
        <w:t>Diversity, solidarity and the construction of the ingroup among (post)colonial migrants in The Netherlands, 1945–1968</w:t>
      </w:r>
    </w:p>
    <w:p>
      <w:r>
        <w:rPr>
          <w:rFonts w:ascii="Times New Roman" w:hAnsi="Times New Roman" w:eastAsia="宋体"/>
          <w:b w:val="0"/>
          <w:i w:val="0"/>
          <w:color w:val="595959"/>
          <w:sz w:val="18"/>
        </w:rPr>
        <w:t>Emily Anne Wolff（Institute of Public Administration, Leiden University, The Hague, The Netherlands）</w:t>
      </w:r>
    </w:p>
    <w:p>
      <w:r>
        <w:rPr>
          <w:rFonts w:ascii="Times New Roman" w:hAnsi="Times New Roman" w:eastAsia="宋体"/>
          <w:b w:val="0"/>
          <w:i w:val="0"/>
          <w:sz w:val="22"/>
        </w:rPr>
        <w:t>摘要：【摘译】作者认为多样性与团结并非此消彼长，二者均源于“内群体”建构；以1945—1968年荷兰（后）殖民移民为例进行档案研究。</w:t>
      </w:r>
    </w:p>
    <w:p>
      <w:r>
        <w:rPr>
          <w:rFonts w:ascii="Times New Roman" w:hAnsi="Times New Roman" w:eastAsia="宋体"/>
          <w:b w:val="0"/>
          <w:i w:val="0"/>
          <w:sz w:val="20"/>
        </w:rPr>
        <w:t>Concerns about the impact of immigration (‘diversity’) on welfare states (‘solidarity’) are widespread among political economists. This article presents an alternative theoretical framework for understanding their relationship. Using social and cultural theory, I argue that it is tautological to suggest that diversity and solidarity covary; both emerge out of the same ideological and material efforts to construct an ‘ingroup.’ I probe this theory with a historical case study of the inclusion of (post)colonial migrants in the Netherlands from 1945 to 1968. Complementing secondary literature with original archival research, I show key state and non-state agents of the emergent Dutch welfare state constructing racial categories by fixing ‘Westernness’ or ‘rootedness’ as a salient determinant of ingroup membership, locating (post)colonial migrants in relation to it, and distributing entry, citizenship and social rights accordingly. An elusive metric of cultural proximity, ‘Westernness’ was under construction at the same time as it was in use, as state officials, social workers, and private charities negotiated its meaning with the public. The article not only compels European welfare scholarship to acknowledge race and racism in its recent past, but also builds theory regarding the influence of identity on redistributive outcomes.</w:t>
      </w:r>
    </w:p>
    <w:p/>
    <w:p>
      <w:r>
        <w:rPr>
          <w:rFonts w:ascii="Times New Roman" w:hAnsi="Times New Roman" w:eastAsia="黑体"/>
          <w:b/>
          <w:i w:val="0"/>
          <w:sz w:val="24"/>
        </w:rPr>
        <w:t>数字人：数字转型与转变的新政治经济学叙事</w:t>
      </w:r>
    </w:p>
    <w:p>
      <w:r>
        <w:rPr>
          <w:rFonts w:ascii="Times New Roman" w:hAnsi="Times New Roman" w:eastAsia="宋体"/>
          <w:b w:val="0"/>
          <w:i/>
          <w:color w:val="404040"/>
          <w:sz w:val="20"/>
        </w:rPr>
        <w:t>Homo digitalis : narrative for a new political economy of digital transformation and transition</w:t>
      </w:r>
    </w:p>
    <w:p>
      <w:r>
        <w:rPr>
          <w:rFonts w:ascii="Times New Roman" w:hAnsi="Times New Roman" w:eastAsia="宋体"/>
          <w:b w:val="0"/>
          <w:i w:val="0"/>
          <w:color w:val="595959"/>
          <w:sz w:val="18"/>
        </w:rPr>
        <w:t>Joan Torrent-Sellens（Faculty of Economics and Business Studies and ICT Interdisciplinary Research Group, Universitat Oberta de Catalunya, Barcelona, Spain）</w:t>
      </w:r>
    </w:p>
    <w:p>
      <w:r>
        <w:rPr>
          <w:rFonts w:ascii="Times New Roman" w:hAnsi="Times New Roman" w:eastAsia="宋体"/>
          <w:b w:val="0"/>
          <w:i w:val="0"/>
          <w:sz w:val="22"/>
        </w:rPr>
        <w:t>摘要：【摘译】作者提出“数字人”叙事，主张以新政治经济学取代新古典范式来治理数字转型。</w:t>
      </w:r>
    </w:p>
    <w:p>
      <w:r>
        <w:rPr>
          <w:rFonts w:ascii="Times New Roman" w:hAnsi="Times New Roman" w:eastAsia="宋体"/>
          <w:b w:val="0"/>
          <w:i w:val="0"/>
          <w:sz w:val="20"/>
        </w:rPr>
        <w:t>The second digital wave has positioned artificial intelligence and digital platforms as new general purpose technologies, has driven the emergence of new value sources: prediction and circulation values, and has created a new explanatory phase into the relationship between digitalisation and economy: the digital transition. The governance of the digital transition, fully inserted in globalised capitalism, are not being able to reduce polarisation, economic inequalities, or the worsening environment. The article argues that failure in economic policy is closely linked to failure in political economy. The prevailing neoclassical approach is not being able to comprehensively explain the foundations, behaviour and results of digital economic life. To overcome this limitation, the article proposes a new narrative, the emergence of a new explanatory figure of economic behaviour and exchange. Homo digitalis extends the egotistical, isolated, and rational precepts of Homo economicus, and incorporates the scope of social welfare and environmental sustainability as enabling goals. The main components of Homo digitalis are the emergence of multiple biological, social and virtual identities and worlds; the integration of new forms of artificial and intelligent life into our bodies and minds (transhumanism); and the consolidation of a new egalitarian rule based on the access-platform-collaboration identity.</w:t>
      </w:r>
    </w:p>
    <w:p/>
    <w:p>
      <w:r>
        <w:rPr>
          <w:rFonts w:ascii="Times New Roman" w:hAnsi="Times New Roman" w:eastAsia="黑体"/>
          <w:b/>
          <w:i w:val="0"/>
          <w:sz w:val="24"/>
        </w:rPr>
        <w:t>欧洲为何没有更多证券化？担保债券作为高效金融化工具的制度化</w:t>
      </w:r>
    </w:p>
    <w:p>
      <w:r>
        <w:rPr>
          <w:rFonts w:ascii="Times New Roman" w:hAnsi="Times New Roman" w:eastAsia="宋体"/>
          <w:b w:val="0"/>
          <w:i/>
          <w:color w:val="404040"/>
          <w:sz w:val="20"/>
        </w:rPr>
        <w:t>Why didn’t Europe securitise more? The institutionalisation of covered bonds as an efficient instrument for financialisation</w:t>
      </w:r>
    </w:p>
    <w:p>
      <w:r>
        <w:rPr>
          <w:rFonts w:ascii="Times New Roman" w:hAnsi="Times New Roman" w:eastAsia="宋体"/>
          <w:b w:val="0"/>
          <w:i w:val="0"/>
          <w:color w:val="595959"/>
          <w:sz w:val="18"/>
        </w:rPr>
        <w:t>Viktor Skyrman（Department of Management and Organization, Stockholm School of Economics, Stockholm, Sweden）</w:t>
      </w:r>
    </w:p>
    <w:p>
      <w:r>
        <w:rPr>
          <w:rFonts w:ascii="Times New Roman" w:hAnsi="Times New Roman" w:eastAsia="宋体"/>
          <w:b w:val="0"/>
          <w:i w:val="0"/>
          <w:sz w:val="22"/>
        </w:rPr>
        <w:t>摘要：【摘译】在德国抵押银行主导的跨国游说下，担保债券成为数万亿美元的市场。作者认为它既稳定又推进了欧洲的金融化，并解释欧洲为何较少采用证券化。</w:t>
      </w:r>
    </w:p>
    <w:p>
      <w:r>
        <w:rPr>
          <w:rFonts w:ascii="Times New Roman" w:hAnsi="Times New Roman" w:eastAsia="宋体"/>
          <w:b w:val="0"/>
          <w:i w:val="0"/>
          <w:sz w:val="20"/>
        </w:rPr>
        <w:t>This article analyses an overlooked financial instrument in political economy, despite its institutionalisation having immense ramifications for European financial markets: the covered bond. Following decades of cross-continental bank lobbying led by German mortgage banks, covered bonds transformed from a ‘little-understood corner of the German bond market’ in the mid-1990s into a global multi-trillion dollar market in the years prior to the Global Financial Crisis. This article highlights that covered bonds, on the one hand, stabilise and de-risk financialised capitalism by providing credit institutions with a stable means of bank financing and collateral while providing investors with safe investment opportunities, including during periods of crisis. In addition, the expansion of covered bond markets has marginalised mortgage securitisation in much of Europe. On the other hand, covered bonds fuel household indebtedness by increasing the credit supply available for mortgage lending, which is the primary activity of contemporary banking in general and covered bond issuers in particular. The instrument can therefore be perceived as a more simple, stable and efficient instrument for household financialisation compared to the more crisis-prone residential mortgage-backed derivative.</w:t>
      </w:r>
    </w:p>
    <w:p/>
    <w:p>
      <w:r>
        <w:rPr>
          <w:rFonts w:ascii="Times New Roman" w:hAnsi="Times New Roman" w:eastAsia="黑体"/>
          <w:b/>
          <w:i w:val="0"/>
          <w:sz w:val="24"/>
        </w:rPr>
        <w:t>回报朋友：世界银行是否将非商业风险保险导向支持美国外交政策的国家？</w:t>
      </w:r>
    </w:p>
    <w:p>
      <w:r>
        <w:rPr>
          <w:rFonts w:ascii="Times New Roman" w:hAnsi="Times New Roman" w:eastAsia="宋体"/>
          <w:b w:val="0"/>
          <w:i/>
          <w:color w:val="404040"/>
          <w:sz w:val="20"/>
        </w:rPr>
        <w:t>Rewarding a friend: Does the World Bank direct non-commercial risk insurance to countries that support US foreign policy interests?</w:t>
      </w:r>
    </w:p>
    <w:p>
      <w:r>
        <w:rPr>
          <w:rFonts w:ascii="Times New Roman" w:hAnsi="Times New Roman" w:eastAsia="宋体"/>
          <w:b w:val="0"/>
          <w:i w:val="0"/>
          <w:color w:val="595959"/>
          <w:sz w:val="18"/>
        </w:rPr>
        <w:t>Jonas Gamso（Thunderbird School of Global Management, Arizona State University, Phoenix, AZ, USA）；Anna Dimitrova（ESSCA School of Management, Paris, France）</w:t>
      </w:r>
    </w:p>
    <w:p>
      <w:r>
        <w:rPr>
          <w:rFonts w:ascii="Times New Roman" w:hAnsi="Times New Roman" w:eastAsia="宋体"/>
          <w:b w:val="0"/>
          <w:i w:val="0"/>
          <w:sz w:val="22"/>
        </w:rPr>
        <w:t>摘要：【摘译】作者研究世界银行多边投资担保机构（MIGA）的非商业风险保险是否偏向支持美国外交政策的国家，发现存在“奖励朋友”效应。</w:t>
      </w:r>
    </w:p>
    <w:p>
      <w:r>
        <w:rPr>
          <w:rFonts w:ascii="Times New Roman" w:hAnsi="Times New Roman" w:eastAsia="宋体"/>
          <w:b w:val="0"/>
          <w:i w:val="0"/>
          <w:sz w:val="20"/>
        </w:rPr>
        <w:t>Many scholars have investigated the politics of World Bank Group (WBG) lending, often finding that WBG loans are distributed in ways that advance US policy interests. However, the organisation’s other major activity, promoting foreign direct investment (FDI), has received little attention. This study fills this void in the literature, with attention to the Multilateral Investment Guarantee Agency (MIGA), the youngest of the five agencies that collectively make up the WBG. MIGA provides multinational companies with insurance to protect their investments from non-commercial risks in host countries, such as the outbreak of civil war or government expropriation. Given considerable evidence that WBG loans support US interests, MIGA’s risk insurance may be similarly politicised. However, since MIGA is financially independent and prohibits political activity, we theorise that US influence operates informally through MIGA staff, who reward US-aligned countries to ‘please the principal,’ and hence ensure that the US continues to support the Agency. Empirical analysis based on over 1500 MIGA-insured investments covering 121 member countries over the 1990–2020 period shows that MIGA insurance is disproportionately rewarded to investments in host countries that support US policy interests. Our findings suggest that this politicisation is primarily staff-led.</w:t>
      </w:r>
    </w:p>
    <w:p/>
    <w:p>
      <w:r>
        <w:rPr>
          <w:rFonts w:ascii="Times New Roman" w:hAnsi="Times New Roman" w:eastAsia="黑体"/>
          <w:b/>
          <w:i w:val="0"/>
          <w:sz w:val="24"/>
        </w:rPr>
        <w:t>《世界政治》</w:t>
      </w:r>
    </w:p>
    <w:p>
      <w:r>
        <w:rPr>
          <w:rFonts w:ascii="Times New Roman" w:hAnsi="Times New Roman" w:eastAsia="宋体"/>
          <w:b/>
          <w:i w:val="0"/>
          <w:sz w:val="22"/>
        </w:rPr>
        <w:t>WP： Vol. 78, No. 3, 2026</w:t>
      </w:r>
    </w:p>
    <w:p/>
    <w:p>
      <w:r>
        <w:rPr>
          <w:rFonts w:ascii="Times New Roman" w:hAnsi="Times New Roman" w:eastAsia="黑体"/>
          <w:b/>
          <w:i w:val="0"/>
          <w:sz w:val="24"/>
        </w:rPr>
        <w:t>谁设定议程？外交经验与小国在联合国的影响力</w:t>
      </w:r>
    </w:p>
    <w:p>
      <w:r>
        <w:rPr>
          <w:rFonts w:ascii="Times New Roman" w:hAnsi="Times New Roman" w:eastAsia="宋体"/>
          <w:b w:val="0"/>
          <w:i/>
          <w:color w:val="404040"/>
          <w:sz w:val="20"/>
        </w:rPr>
        <w:t>Who Sets the Agenda? Diplomatic Experience and Small Power Influence in the United Nations</w:t>
      </w:r>
    </w:p>
    <w:p>
      <w:r>
        <w:rPr>
          <w:rFonts w:ascii="Times New Roman" w:hAnsi="Times New Roman" w:eastAsia="宋体"/>
          <w:b w:val="0"/>
          <w:i w:val="0"/>
          <w:color w:val="595959"/>
          <w:sz w:val="18"/>
        </w:rPr>
        <w:t>Sabrina B. Arias</w:t>
      </w:r>
    </w:p>
    <w:p>
      <w:r>
        <w:rPr>
          <w:rFonts w:ascii="Times New Roman" w:hAnsi="Times New Roman" w:eastAsia="宋体"/>
          <w:b w:val="0"/>
          <w:i w:val="0"/>
          <w:sz w:val="22"/>
        </w:rPr>
        <w:t>摘要：为何有些小国即便面对大国反对也能有效设定联合国议程？作者认为小国更可能由经验丰富的外交官代表，后者随时间积累影响力并用以塑造国际组织议程。为检验这一主张，作者构建了1946—2018年拟议议程项目与各国大使任期数据集，并访谈了49国外交官，发现：小国外交经验多于大国；即使考虑物质实力，外交经验更丰富的个人在议程设定上更成功；大使任期的随机冲击（如大使去世）对外交经验与效能有负面影响。研究深化了对个人与外交在国际关系中作用以及小国如何影响国际政治的理解。</w:t>
      </w:r>
    </w:p>
    <w:p>
      <w:r>
        <w:rPr>
          <w:rFonts w:ascii="Times New Roman" w:hAnsi="Times New Roman" w:eastAsia="宋体"/>
          <w:b w:val="0"/>
          <w:i w:val="0"/>
          <w:sz w:val="20"/>
        </w:rPr>
        <w:t>abstract: Why are some small powers effective in setting the UN agenda, even in the face of large power opposition? The author argues that small states are more likely to be represented by experienced diplomats, who, over time, accumulate influence that can be deployed to shape the international organization’s agenda. To test these claims, the author assembled a data set of proposed agenda items and the tenure of all states’ ambassadors from 1946 to 2018 and conducted interviews with diplomats from forty-nine states. The author finds that smaller powers have more diplomatic experience than larger powers; that individuals with more diplomatic experience are more successful at agenda setting even when accounting for material power; and that random shocks to ambassadorial tenure, such as the death of an ambassador, have negative effects on diplomatic experience and effectiveness. These insights contribute to understanding the role of individuals and diplomacy in international relations and the ways in which small powers influence international politics.</w:t>
      </w:r>
    </w:p>
    <w:p/>
    <w:p>
      <w:r>
        <w:rPr>
          <w:rFonts w:ascii="Times New Roman" w:hAnsi="Times New Roman" w:eastAsia="黑体"/>
          <w:b/>
          <w:i w:val="0"/>
          <w:sz w:val="24"/>
        </w:rPr>
        <w:t>传统性别差距是神话吗？来自天主教国家的证据</w:t>
      </w:r>
    </w:p>
    <w:p>
      <w:r>
        <w:rPr>
          <w:rFonts w:ascii="Times New Roman" w:hAnsi="Times New Roman" w:eastAsia="宋体"/>
          <w:b w:val="0"/>
          <w:i/>
          <w:color w:val="404040"/>
          <w:sz w:val="20"/>
        </w:rPr>
        <w:t>The Myth of the Traditional Gender Gap? Evidence from Catholic Countries</w:t>
      </w:r>
    </w:p>
    <w:p>
      <w:r>
        <w:rPr>
          <w:rFonts w:ascii="Times New Roman" w:hAnsi="Times New Roman" w:eastAsia="宋体"/>
          <w:b w:val="0"/>
          <w:i w:val="0"/>
          <w:color w:val="595959"/>
          <w:sz w:val="18"/>
        </w:rPr>
        <w:t>Evelyne Brie；Dawn Langan Teele</w:t>
      </w:r>
    </w:p>
    <w:p>
      <w:r>
        <w:rPr>
          <w:rFonts w:ascii="Times New Roman" w:hAnsi="Times New Roman" w:eastAsia="宋体"/>
          <w:b w:val="0"/>
          <w:i w:val="0"/>
          <w:sz w:val="22"/>
        </w:rPr>
        <w:t>摘要：【摘译】利用盖洛普民调与生态推断，作者考察选举权扩大后向右转的魁北克这一困难案例，发现政治地理驱动性别偏好差距（农村女性更保守、城市女性更自由）；奥地利与阿根廷亦不支持“女性普遍更保守”的传统假说。</w:t>
      </w:r>
    </w:p>
    <w:p>
      <w:r>
        <w:rPr>
          <w:rFonts w:ascii="Times New Roman" w:hAnsi="Times New Roman" w:eastAsia="宋体"/>
          <w:b w:val="0"/>
          <w:i w:val="0"/>
          <w:sz w:val="20"/>
        </w:rPr>
        <w:t>abstract: In rich democracies today, women are less conservative than men. Yet for most of the twentieth century, politicians, pundits, and scholars believed that family life and religiosity tied women to conservative causes and parties. Recent scholarship has reexamined this traditional gender gap hypothesis but has done so in cases in which electorate-wide shifts to the left make it least likely that a conservative gender gap would emerge. This article scrutinizes a hard case, Quebec, a Catholic province in Canada that experienced a dramatic shift to the right after suffrage. Using Gallup polls and ecological inference techniques, the authors show that political geography drove gender preference gaps, with rural women voting more conservatively, and urban women more liberally, than men. In two other Catholic contexts, Austria and Argentina, they show that after suffrage women were not more conservative than men in general, undermining the traditional gender gap thesis in several crucial cases.</w:t>
      </w:r>
    </w:p>
    <w:p/>
    <w:p>
      <w:r>
        <w:rPr>
          <w:rFonts w:ascii="Times New Roman" w:hAnsi="Times New Roman" w:eastAsia="黑体"/>
          <w:b/>
          <w:i w:val="0"/>
          <w:sz w:val="24"/>
        </w:rPr>
        <w:t>农民与议会：十八世纪东欧农业改革的制度基础</w:t>
      </w:r>
    </w:p>
    <w:p>
      <w:r>
        <w:rPr>
          <w:rFonts w:ascii="Times New Roman" w:hAnsi="Times New Roman" w:eastAsia="宋体"/>
          <w:b w:val="0"/>
          <w:i/>
          <w:color w:val="404040"/>
          <w:sz w:val="20"/>
        </w:rPr>
        <w:t>Peasants and Parliaments: Institutional Foundations of Agrarian Reform in Eighteenth-Century Eastern Europe</w:t>
      </w:r>
    </w:p>
    <w:p>
      <w:r>
        <w:rPr>
          <w:rFonts w:ascii="Times New Roman" w:hAnsi="Times New Roman" w:eastAsia="宋体"/>
          <w:b w:val="0"/>
          <w:i w:val="0"/>
          <w:color w:val="595959"/>
          <w:sz w:val="18"/>
        </w:rPr>
        <w:t>Brendan McElroy</w:t>
      </w:r>
    </w:p>
    <w:p>
      <w:r>
        <w:rPr>
          <w:rFonts w:ascii="Times New Roman" w:hAnsi="Times New Roman" w:eastAsia="宋体"/>
          <w:b w:val="0"/>
          <w:i w:val="0"/>
          <w:sz w:val="22"/>
        </w:rPr>
        <w:t>摘要：【摘译】作者认为早期代议机构促进增长不仅靠保护产权，也在于能否废除农奴制等“坏”产权；其能力取决于多数决与集中议程控制带来的决策效率。比较利沃尼亚与石勒苏益格—荷尔斯泰因（1795—1805）发现，利沃尼亚议会的高效组织是农奴制成功转型的关键。</w:t>
      </w:r>
    </w:p>
    <w:p>
      <w:r>
        <w:rPr>
          <w:rFonts w:ascii="Times New Roman" w:hAnsi="Times New Roman" w:eastAsia="宋体"/>
          <w:b w:val="0"/>
          <w:i w:val="0"/>
          <w:sz w:val="20"/>
        </w:rPr>
        <w:t>abstract: An influential literature attributes Europe’s economic precocity to what might be termed “good” institutions, such as representative assemblies, which shielded property from governmental predation. This account fails to contend with the diversity of property rights in preindustrial Europe, many of which, like serfdom, were obstacles to growth. The author proposes a role for some—but not all—early representative assemblies in fostering growth by eliminating these “bad” property rights. An assembly’s capacity to extinguish property rights is a product of its decision-making efficiency, which in turn is associated with majority voting and centralized agenda control. The author tests these claims through a controlled comparison of progrowth agrarian reforms in the Russian Baltic province of Livonia and the Danish-ruled duchies of Schleswig and Holstein between 1795 and 1805, finding that the Livonian diet’s efficient organization was key to the successful transformation of serfdom. This analysis suggests that we must evaluate preindustrial representative institutions on the basis of their capacity to orchestrate complex exchanges of property rights and rents.</w:t>
      </w:r>
    </w:p>
    <w:p/>
    <w:p>
      <w:r>
        <w:rPr>
          <w:rFonts w:ascii="Times New Roman" w:hAnsi="Times New Roman" w:eastAsia="黑体"/>
          <w:b/>
          <w:i w:val="0"/>
          <w:sz w:val="24"/>
        </w:rPr>
        <w:t>自内而外的民主化：英国精英与选举权扩大</w:t>
      </w:r>
    </w:p>
    <w:p>
      <w:r>
        <w:rPr>
          <w:rFonts w:ascii="Times New Roman" w:hAnsi="Times New Roman" w:eastAsia="宋体"/>
          <w:b w:val="0"/>
          <w:i/>
          <w:color w:val="404040"/>
          <w:sz w:val="20"/>
        </w:rPr>
        <w:t>Democratizing from Within: British Elites and the Expansion of the Franchise</w:t>
      </w:r>
    </w:p>
    <w:p>
      <w:r>
        <w:rPr>
          <w:rFonts w:ascii="Times New Roman" w:hAnsi="Times New Roman" w:eastAsia="宋体"/>
          <w:b w:val="0"/>
          <w:i w:val="0"/>
          <w:color w:val="595959"/>
          <w:sz w:val="18"/>
        </w:rPr>
        <w:t>Chitralekha Basu；Carles Boix；Sonia Giurumescu；Paulo Serôdio</w:t>
      </w:r>
    </w:p>
    <w:p>
      <w:r>
        <w:rPr>
          <w:rFonts w:ascii="Times New Roman" w:hAnsi="Times New Roman" w:eastAsia="宋体"/>
          <w:b w:val="0"/>
          <w:i w:val="0"/>
          <w:sz w:val="22"/>
        </w:rPr>
        <w:t>摘要：【摘译】作者估计1830—1918年英国议员对选举权议题的偏好，发现党派、不平等下降与一战是英国民主化的关键：自由派议员更支持扩权，但当选民利益更异质时会犹豫。</w:t>
      </w:r>
    </w:p>
    <w:p>
      <w:r>
        <w:rPr>
          <w:rFonts w:ascii="Times New Roman" w:hAnsi="Times New Roman" w:eastAsia="宋体"/>
          <w:b w:val="0"/>
          <w:i w:val="0"/>
          <w:sz w:val="20"/>
        </w:rPr>
        <w:t>abstract: The authors develop a theory of democratization that relies on political and electoral calculations to explain the franchise choices of political actors in Great Britain. Given their location in the policy space, left-leaning (liberal) politicians are more likely to be supported by newly enfranchised voters, so they favor a broader franchise than conservative politicians do. The preferences of liberal politicians are conditional on the interests of both enfranchised and disenfranchised electors. As those interests become more heterogeneous, policymakers are more reluctant to expand the franchise because they may find it harder to attract new voters while keeping their current supporters. To evaluate this theory, the authors estimate the franchise preferences of British members of parliament (mps) based on their votes on franchise-related issues between 1830 and 1918. The authors then link these preferences to the mps’ personal and constituency characteristics. In line with their theory, the authors find that partisanship, declining inequality, and World War I were crucial factors in democratizing Britain.</w:t>
      </w:r>
    </w:p>
    <w:p/>
    <w:p>
      <w:r>
        <w:rPr>
          <w:rFonts w:ascii="Times New Roman" w:hAnsi="Times New Roman" w:eastAsia="黑体"/>
          <w:b/>
          <w:i w:val="0"/>
          <w:sz w:val="24"/>
        </w:rPr>
        <w:t>南南移民与再分配偏好：来自哥伦比亚的证据</w:t>
      </w:r>
    </w:p>
    <w:p>
      <w:r>
        <w:rPr>
          <w:rFonts w:ascii="Times New Roman" w:hAnsi="Times New Roman" w:eastAsia="宋体"/>
          <w:b w:val="0"/>
          <w:i/>
          <w:color w:val="404040"/>
          <w:sz w:val="20"/>
        </w:rPr>
        <w:t>South-South Immigration and Redistribution Preferences: Evidence from Colombia</w:t>
      </w:r>
    </w:p>
    <w:p>
      <w:r>
        <w:rPr>
          <w:rFonts w:ascii="Times New Roman" w:hAnsi="Times New Roman" w:eastAsia="宋体"/>
          <w:b w:val="0"/>
          <w:i w:val="0"/>
          <w:color w:val="595959"/>
          <w:sz w:val="18"/>
        </w:rPr>
        <w:t>Josep Serrano-Serrat；Ignacio Jurado</w:t>
      </w:r>
    </w:p>
    <w:p>
      <w:r>
        <w:rPr>
          <w:rFonts w:ascii="Times New Roman" w:hAnsi="Times New Roman" w:eastAsia="宋体"/>
          <w:b w:val="0"/>
          <w:i w:val="0"/>
          <w:sz w:val="22"/>
        </w:rPr>
        <w:t>摘要：关于移民对再分配偏好影响的研究多聚焦西方国家而忽视全球南方。作者认为南南移民的影响可能不同于南北移民：一方面因文化差异小、福利国家欠发达而更弱；另一方面因经济不平等高、资源稀缺而更强。作者利用2015年委内瑞拉移民涌入哥伦比亚的冲击，采用双重差分并辅以工具变量，发现零到正向效应；调查实验显示启动移民议题会提高公民的社会支出偏好，作者归因于“应得性”考量。结果挑战了主流理论，表明在南南情境中移民增加不一定降低再分配偏好。</w:t>
      </w:r>
    </w:p>
    <w:p>
      <w:r>
        <w:rPr>
          <w:rFonts w:ascii="Times New Roman" w:hAnsi="Times New Roman" w:eastAsia="宋体"/>
          <w:b w:val="0"/>
          <w:i w:val="0"/>
          <w:sz w:val="20"/>
        </w:rPr>
        <w:t>abstract: Research on the effects of immigration on redistribution preferences mostly focuses on Western countries and neglects the Global South. The authors argue that immigration shocks may have different effects in South-South migration than they do in South-North contexts. On one hand, the effects should be more muted in the former due to minimal cultural differences and limited development of the welfare state. On the other hand, the impact might be larger due to high economic inequality and scarce resources. To investigate these differences, the authors follow a two-fold strategy. First, they exploit the 2015 Venezuelan immigration shock in Colombia using a difference-in-differences strategy, complemented by an instrumental variable. The authors find null-to-positive effects. Second, a survey experiment reveals that priming citizens on immigration has positive effects on citizens’ social spending preferences. The authors attribute this effect to deservingness considerations. These results challenge some prevailing theories and sug-gest that increased immigration does not necessarily reduce redistribution preferences in South-South contexts.</w:t>
      </w:r>
    </w:p>
    <w:p/>
    <w:p>
      <w:r>
        <w:rPr>
          <w:rFonts w:ascii="Times New Roman" w:hAnsi="Times New Roman" w:eastAsia="宋体"/>
          <w:b/>
          <w:i w:val="0"/>
          <w:sz w:val="22"/>
        </w:rPr>
        <w:t>WP： Vol. 78, No. 2, 2026</w:t>
      </w:r>
    </w:p>
    <w:p/>
    <w:p>
      <w:r>
        <w:rPr>
          <w:rFonts w:ascii="Times New Roman" w:hAnsi="Times New Roman" w:eastAsia="黑体"/>
          <w:b/>
          <w:i w:val="0"/>
          <w:sz w:val="24"/>
        </w:rPr>
        <w:t>改组还是免职？精英管理逻辑与威权存续</w:t>
      </w:r>
    </w:p>
    <w:p>
      <w:r>
        <w:rPr>
          <w:rFonts w:ascii="Times New Roman" w:hAnsi="Times New Roman" w:eastAsia="宋体"/>
          <w:b w:val="0"/>
          <w:i/>
          <w:color w:val="404040"/>
          <w:sz w:val="20"/>
        </w:rPr>
        <w:t>Reshuffles or Dismissals? The Logic of Elite Management and Autocratic Survival</w:t>
      </w:r>
    </w:p>
    <w:p>
      <w:r>
        <w:rPr>
          <w:rFonts w:ascii="Times New Roman" w:hAnsi="Times New Roman" w:eastAsia="宋体"/>
          <w:b w:val="0"/>
          <w:i w:val="0"/>
          <w:color w:val="595959"/>
          <w:sz w:val="18"/>
        </w:rPr>
        <w:t>Alexander Baturo；Roman-Gabriel Olar</w:t>
      </w:r>
    </w:p>
    <w:p>
      <w:r>
        <w:rPr>
          <w:rFonts w:ascii="Times New Roman" w:hAnsi="Times New Roman" w:eastAsia="宋体"/>
          <w:b w:val="0"/>
          <w:i w:val="0"/>
          <w:sz w:val="22"/>
        </w:rPr>
        <w:t>摘要：【摘译】作者将独裁者视为执政联盟的管理者，区分免职与改组两种精英管理策略：免职削弱精英但增加内斗与不确定性、不利于存续；改组防止精英协调又使其利益与政权绑定。基于新测量与共产党政治局数据检验。</w:t>
      </w:r>
    </w:p>
    <w:p>
      <w:r>
        <w:rPr>
          <w:rFonts w:ascii="Times New Roman" w:hAnsi="Times New Roman" w:eastAsia="宋体"/>
          <w:b w:val="0"/>
          <w:i w:val="0"/>
          <w:sz w:val="20"/>
        </w:rPr>
        <w:t>abstract: Co-optation and repression are central to understanding authoritarian power sharing, but how autocrats implement these strategies with individual elites remains underexplored. The article proposes a theoretical framework conceptualizing dictators as managers of their ruling coalitions who routinely appoint, dismiss, promote, demote, shuffle, or reappoint elites for a mixture of strategic, nonstrategic, or even mundane reasons. The authors argue that autocrats have agency in choosing between dismissals and reshuffles as general elite management strategies. In the process, they alter the information environment and elite incentives with consequences for their own survival. Although dismissals as a general policy reduce elites' power, they also increase intraregime conflict and uncertainty and tend to have adverse effects on ruler survival. In contrast, reshuffles prevent elite coordination but ensure that elites have a stake in regime continuity. These arguments are tested using novel measures of dismissals and reshuffles in autocratic regimes and communist politburos while also considering the mechanisms and alternative explanations driving the results. The findings suggest that autocratic survival relies more on mundane and nonviolent elite management than seen in the predominantly conflictual accounts of authoritarian politics.</w:t>
      </w:r>
    </w:p>
    <w:p/>
    <w:p>
      <w:r>
        <w:rPr>
          <w:rFonts w:ascii="Times New Roman" w:hAnsi="Times New Roman" w:eastAsia="黑体"/>
          <w:b/>
          <w:i w:val="0"/>
          <w:sz w:val="24"/>
        </w:rPr>
        <w:t>塑造还是破坏公民？犯罪组织与国家—社会关系</w:t>
      </w:r>
    </w:p>
    <w:p>
      <w:r>
        <w:rPr>
          <w:rFonts w:ascii="Times New Roman" w:hAnsi="Times New Roman" w:eastAsia="宋体"/>
          <w:b w:val="0"/>
          <w:i/>
          <w:color w:val="404040"/>
          <w:sz w:val="20"/>
        </w:rPr>
        <w:t>Making or Breaking Citizens? Criminal Organizations and State-Society Relations</w:t>
      </w:r>
    </w:p>
    <w:p>
      <w:r>
        <w:rPr>
          <w:rFonts w:ascii="Times New Roman" w:hAnsi="Times New Roman" w:eastAsia="宋体"/>
          <w:b w:val="0"/>
          <w:i w:val="0"/>
          <w:color w:val="595959"/>
          <w:sz w:val="18"/>
        </w:rPr>
        <w:t>Kaitlyn Chriswell</w:t>
      </w:r>
    </w:p>
    <w:p>
      <w:r>
        <w:rPr>
          <w:rFonts w:ascii="Times New Roman" w:hAnsi="Times New Roman" w:eastAsia="宋体"/>
          <w:b w:val="0"/>
          <w:i w:val="0"/>
          <w:sz w:val="22"/>
        </w:rPr>
        <w:t>摘要：【摘译】比较墨西哥三个市镇，作者发现犯罪竞争程度与既有公民社会强度决定公民是否抗争，地方国家相对犯罪集团的自主性决定抗争是否以国家为中心；有组织犯罪有时反而推动公民组织并与国家互动。</w:t>
      </w:r>
    </w:p>
    <w:p>
      <w:r>
        <w:rPr>
          <w:rFonts w:ascii="Times New Roman" w:hAnsi="Times New Roman" w:eastAsia="宋体"/>
          <w:b w:val="0"/>
          <w:i w:val="0"/>
          <w:sz w:val="20"/>
        </w:rPr>
        <w:t>abstract: When do groups of citizens organize to resist criminal group presence, and what form does their resistance take? Criminal groups operate across the globe, imposing a variety of costs on local communities. Confronted with these conditions, citizens can either accommodate or contest; when they contest, they choose either to engage or to avoid the state. This article leverages variation in three municipalities across Mexico to illustrate how and why communities react differently to the presence of criminal organizations. While the degree of criminal competition and the strength of preexisting civil society drive whether groups of citizens contest, the degree of local state autonomy from criminal groups shapes the form—state centered or nonstate—that contestation takes. Organized crime is broadly considered an impediment to functioning democracy, but this article demonstrates that its presence can also push citizens in some cases to organize and engage with the state in ways that bolster democracy.</w:t>
      </w:r>
    </w:p>
    <w:p/>
    <w:p>
      <w:r>
        <w:rPr>
          <w:rFonts w:ascii="Times New Roman" w:hAnsi="Times New Roman" w:eastAsia="黑体"/>
          <w:b/>
          <w:i w:val="0"/>
          <w:sz w:val="24"/>
        </w:rPr>
        <w:t>万变不离其宗：南非土地改革中的种族与隔离遗产</w:t>
      </w:r>
    </w:p>
    <w:p>
      <w:r>
        <w:rPr>
          <w:rFonts w:ascii="Times New Roman" w:hAnsi="Times New Roman" w:eastAsia="宋体"/>
          <w:b w:val="0"/>
          <w:i/>
          <w:color w:val="404040"/>
          <w:sz w:val="20"/>
        </w:rPr>
        <w:t>The More Things Change: Legacies of Race and Segregation in South Africa's Land Reform</w:t>
      </w:r>
    </w:p>
    <w:p>
      <w:r>
        <w:rPr>
          <w:rFonts w:ascii="Times New Roman" w:hAnsi="Times New Roman" w:eastAsia="宋体"/>
          <w:b w:val="0"/>
          <w:i w:val="0"/>
          <w:color w:val="595959"/>
          <w:sz w:val="18"/>
        </w:rPr>
        <w:t>Alex Dyzenhaus</w:t>
      </w:r>
    </w:p>
    <w:p>
      <w:r>
        <w:rPr>
          <w:rFonts w:ascii="Times New Roman" w:hAnsi="Times New Roman" w:eastAsia="宋体"/>
          <w:b w:val="0"/>
          <w:i w:val="0"/>
          <w:sz w:val="22"/>
        </w:rPr>
        <w:t>摘要：【摘译】访谈与地理空间数据显示，南非市场驱动的土地改革中，白人土地所有者依据地方种族隔离历史遗产调整策略，使土地再分配强化了过去的空间与经济隔离。</w:t>
      </w:r>
    </w:p>
    <w:p>
      <w:r>
        <w:rPr>
          <w:rFonts w:ascii="Times New Roman" w:hAnsi="Times New Roman" w:eastAsia="宋体"/>
          <w:b w:val="0"/>
          <w:i w:val="0"/>
          <w:sz w:val="20"/>
        </w:rPr>
        <w:t>abstract: How does land reform occur and under what conditions do land transfers take place? The author argues that to understand contemporary market-driven land reform outcomes, one must examine the supply-side incentives of existing landholders in addition to demand-side explanations. Interviews and descriptive geospatial data from two provinces in South Africa show that landholders made land reform work for them and in doing so the redistribution of land reinforced past forms of segregation. These landholders' strategies were shaped by place-specific historical legacies of racial segregation: Some white farmers—in places in which spatial segregation fell on a rural-urban axis and economic segregation excluded black people from agriculture—used land redistribution to buffer their farms against predominantly black settlements. Other white farmers—in rural areas with dispersed spatial segregation and a large, but different, black farming sector—incorporated black farmers into the commercial value chain via land redistribution. The author's findings have implications for studies of redistribution in highly unequal contexts—that is, market-based redistribution can reinforce historical spatial and economic segregation.</w:t>
      </w:r>
    </w:p>
    <w:p/>
    <w:p>
      <w:r>
        <w:rPr>
          <w:rFonts w:ascii="Times New Roman" w:hAnsi="Times New Roman" w:eastAsia="黑体"/>
          <w:b/>
          <w:i w:val="0"/>
          <w:sz w:val="24"/>
        </w:rPr>
        <w:t>国家触达与性别规范：平等土地权利的落实</w:t>
      </w:r>
    </w:p>
    <w:p>
      <w:r>
        <w:rPr>
          <w:rFonts w:ascii="Times New Roman" w:hAnsi="Times New Roman" w:eastAsia="宋体"/>
          <w:b w:val="0"/>
          <w:i/>
          <w:color w:val="404040"/>
          <w:sz w:val="20"/>
        </w:rPr>
        <w:t>State Reach and Gender Norms: Examining the Uptake of Equitable Land Rights</w:t>
      </w:r>
    </w:p>
    <w:p>
      <w:r>
        <w:rPr>
          <w:rFonts w:ascii="Times New Roman" w:hAnsi="Times New Roman" w:eastAsia="宋体"/>
          <w:b w:val="0"/>
          <w:i w:val="0"/>
          <w:color w:val="595959"/>
          <w:sz w:val="18"/>
        </w:rPr>
        <w:t>Lauren Honig；Adam S. Harris；Ellen Lust</w:t>
      </w:r>
    </w:p>
    <w:p>
      <w:r>
        <w:rPr>
          <w:rFonts w:ascii="Times New Roman" w:hAnsi="Times New Roman" w:eastAsia="宋体"/>
          <w:b w:val="0"/>
          <w:i w:val="0"/>
          <w:sz w:val="22"/>
        </w:rPr>
        <w:t>摘要：【摘译】马拉维原创调查显示，国家触达与社区和家庭层面性别平等产权实践正相关，机制是国家信息传播与可进入的国家论坛。</w:t>
      </w:r>
    </w:p>
    <w:p>
      <w:r>
        <w:rPr>
          <w:rFonts w:ascii="Times New Roman" w:hAnsi="Times New Roman" w:eastAsia="宋体"/>
          <w:b w:val="0"/>
          <w:i w:val="0"/>
          <w:sz w:val="20"/>
        </w:rPr>
        <w:t>abstract: State reach has been linked to civil conflict, democracy, and the power of local authorities. The authors find evidence that state reach may also influence social institutions governing gender and property rights. Many governments implement laws that promise equal land rights to both men and women, thus attempting to change the social institutions governing land management. However, success varies. This article draws on original survey evidence from Malawi to show that state reach is positively associated with the practice of gender-equitable property rights at the community level and household level, even when considering community differences in such factors as land values, proximity to urban areas, migration, market access, ethnic heterogeneity, education, wealth, the nature of customary authorities, and lineage systems. Evidence from thirty-two focus groups reveals the importance of two key state reach mechanisms: state information dissemination and access to state forums. This research has implications for the study of the state, modernization, and social institutions, as well as for property rights and gender equality in Africa.</w:t>
      </w:r>
    </w:p>
    <w:p/>
    <w:p>
      <w:r>
        <w:rPr>
          <w:rFonts w:ascii="Times New Roman" w:hAnsi="Times New Roman" w:eastAsia="黑体"/>
          <w:b/>
          <w:i w:val="0"/>
          <w:sz w:val="24"/>
        </w:rPr>
        <w:t>正当的挑战者：中国刑辩律师如何促成法官与检察官的分歧</w:t>
      </w:r>
    </w:p>
    <w:p>
      <w:r>
        <w:rPr>
          <w:rFonts w:ascii="Times New Roman" w:hAnsi="Times New Roman" w:eastAsia="宋体"/>
          <w:b w:val="0"/>
          <w:i/>
          <w:color w:val="404040"/>
          <w:sz w:val="20"/>
        </w:rPr>
        <w:t>Rightful Challengers: How Chinese Criminal Defense Lawyers Encourage Judge-Prosecutor Disagreement</w:t>
      </w:r>
    </w:p>
    <w:p>
      <w:r>
        <w:rPr>
          <w:rFonts w:ascii="Times New Roman" w:hAnsi="Times New Roman" w:eastAsia="宋体"/>
          <w:b w:val="0"/>
          <w:i w:val="0"/>
          <w:color w:val="595959"/>
          <w:sz w:val="18"/>
        </w:rPr>
        <w:t>Yue Hou；Jieun Kim</w:t>
      </w:r>
    </w:p>
    <w:p>
      <w:r>
        <w:rPr>
          <w:rFonts w:ascii="Times New Roman" w:hAnsi="Times New Roman" w:eastAsia="宋体"/>
          <w:b w:val="0"/>
          <w:i w:val="0"/>
          <w:sz w:val="22"/>
        </w:rPr>
        <w:t>摘要：【摘译】基于2014—2018年中国毒品案件原创数据，有律师时法官驳回检方意见的可能性高三倍、偏离量刑建议的可能性高两倍，平均刑期更短；辩护质量是关键，在政治敏感度低的案件中尤为明显。</w:t>
      </w:r>
    </w:p>
    <w:p>
      <w:r>
        <w:rPr>
          <w:rFonts w:ascii="Times New Roman" w:hAnsi="Times New Roman" w:eastAsia="宋体"/>
          <w:b w:val="0"/>
          <w:i w:val="0"/>
          <w:sz w:val="20"/>
        </w:rPr>
        <w:t>abstract: In autocracies, courts are often perceived as tools of the autocrats, with lawyers viewed as lacking influence. The authors reassess these assumptions by examining criminal defense lawyers as "rightful challengers" within China's legal system. Analyzing an original data set of drug cases in Chinese criminal courts from 2014 through 2018, the authors find that when a lawyer is present, judges are three times more likely to reject prosecutors' arguments and twice as likely to deviate from prosecutors' sentencing recommendations. The deviation on average results in sentences that are shorter than the prosecutor's recommendation—shorter by more than two months in addition to the already shorter sentences judges give compared to prosecutors' recommendations. These findings suggest that lawyers can exert a substantial impact on judicial decisions by encouraging judge-prosecutor disagreement, particularly in cases that are less politically sensitive. Original interviews and close examination of lawyers' arguments reveal that the quality of defense is crucial for understanding lawyers' effectiveness in influencing court decisions. These results highlight how seemingly powerless societal actors, such as lawyers, can act as rightful challengers to powerful state actors within authoritarian regimes.</w:t>
      </w:r>
    </w:p>
    <w:p/>
    <w:p>
      <w:r>
        <w:rPr>
          <w:rFonts w:ascii="Times New Roman" w:hAnsi="Times New Roman" w:eastAsia="宋体"/>
          <w:b/>
          <w:i w:val="0"/>
          <w:sz w:val="22"/>
        </w:rPr>
        <w:t>WP： Vol. 78, No. 1, 2026</w:t>
      </w:r>
    </w:p>
    <w:p/>
    <w:p>
      <w:r>
        <w:rPr>
          <w:rFonts w:ascii="Times New Roman" w:hAnsi="Times New Roman" w:eastAsia="黑体"/>
          <w:b/>
          <w:i w:val="0"/>
          <w:sz w:val="24"/>
        </w:rPr>
        <w:t>把专制带回家？移民到威权国家如何影响移民的民主支持</w:t>
      </w:r>
    </w:p>
    <w:p>
      <w:r>
        <w:rPr>
          <w:rFonts w:ascii="Times New Roman" w:hAnsi="Times New Roman" w:eastAsia="宋体"/>
          <w:b w:val="0"/>
          <w:i/>
          <w:color w:val="404040"/>
          <w:sz w:val="20"/>
        </w:rPr>
        <w:t>Bringing Autocracy Home? How Migration to Autocracies Shapes Migrants’ Support for Democracy</w:t>
      </w:r>
    </w:p>
    <w:p>
      <w:r>
        <w:rPr>
          <w:rFonts w:ascii="Times New Roman" w:hAnsi="Times New Roman" w:eastAsia="宋体"/>
          <w:b w:val="0"/>
          <w:i w:val="0"/>
          <w:color w:val="595959"/>
          <w:sz w:val="18"/>
        </w:rPr>
        <w:t>Nikhar Gaikwad；Kolby Hanson；Aliz Tóth</w:t>
      </w:r>
    </w:p>
    <w:p>
      <w:r>
        <w:rPr>
          <w:rFonts w:ascii="Times New Roman" w:hAnsi="Times New Roman" w:eastAsia="宋体"/>
          <w:b w:val="0"/>
          <w:i w:val="0"/>
          <w:sz w:val="22"/>
        </w:rPr>
        <w:t>摘要：【摘译】利用促进印度向海湾移民的田野实验，作者发现移民后受试者对印度民主制度的信任和政治参与显著提高，且不更愿以民主换增长，源于对两种体制经历的比较。</w:t>
      </w:r>
    </w:p>
    <w:p>
      <w:r>
        <w:rPr>
          <w:rFonts w:ascii="Times New Roman" w:hAnsi="Times New Roman" w:eastAsia="宋体"/>
          <w:b w:val="0"/>
          <w:i w:val="0"/>
          <w:sz w:val="20"/>
        </w:rPr>
        <w:t>abstract: Prior scholarship finds that migrants embrace democratic ideals and promote democracy back home, but this work focuses on migration to high-income Western democracies. How does moving to autocracies shape migrants’ democratic attitudes and behavior? Leveraging a field experiment facilitating migration from India to the Persian Gulf, the authors isolate the causal impact of migration on migrants’ political preferences. After migrating, treated individuals exhibited significantly higher trust in Indian democratic institutions and greater political participation—except for voting, which is difficult to do from abroad. Additionally, they were no more willing to trade democracy for economic growth than control group subjects. The treatment group’s political preferences stem from comparing their experiences under democratic and, as migrants, autocratic governments. The findings suggest that migrants value democracy for its political benefits, which outweigh preferences for higher economic development. This article clarifies the mechanisms by which migration shapes preferences for democracy and sheds light on how migration to autocracies shapes politics in sending regions more generally.</w:t>
      </w:r>
    </w:p>
    <w:p/>
    <w:p>
      <w:r>
        <w:rPr>
          <w:rFonts w:ascii="Times New Roman" w:hAnsi="Times New Roman" w:eastAsia="黑体"/>
          <w:b/>
          <w:i w:val="0"/>
          <w:sz w:val="24"/>
        </w:rPr>
        <w:t>老龄化的发达资本主义民主国家：经济停滞的新选举政治</w:t>
      </w:r>
    </w:p>
    <w:p>
      <w:r>
        <w:rPr>
          <w:rFonts w:ascii="Times New Roman" w:hAnsi="Times New Roman" w:eastAsia="宋体"/>
          <w:b w:val="0"/>
          <w:i/>
          <w:color w:val="404040"/>
          <w:sz w:val="20"/>
        </w:rPr>
        <w:t>Aging Advanced Capitalist Democracies: The New Electoral Politics of Economic Stagnation</w:t>
      </w:r>
    </w:p>
    <w:p>
      <w:r>
        <w:rPr>
          <w:rFonts w:ascii="Times New Roman" w:hAnsi="Times New Roman" w:eastAsia="宋体"/>
          <w:b w:val="0"/>
          <w:i w:val="0"/>
          <w:color w:val="595959"/>
          <w:sz w:val="18"/>
        </w:rPr>
        <w:t>Tim Vlandas</w:t>
      </w:r>
    </w:p>
    <w:p>
      <w:r>
        <w:rPr>
          <w:rFonts w:ascii="Times New Roman" w:hAnsi="Times New Roman" w:eastAsia="宋体"/>
          <w:b w:val="0"/>
          <w:i w:val="0"/>
          <w:sz w:val="22"/>
        </w:rPr>
        <w:t>摘要：【摘译】作者认为老年选民更关心养老金、较少因低增长惩罚政府，“银发力量”使政府保护养老金预算而挤出增长性投资，从而削弱增长；基于21国1960年代以来数据检验。</w:t>
      </w:r>
    </w:p>
    <w:p>
      <w:r>
        <w:rPr>
          <w:rFonts w:ascii="Times New Roman" w:hAnsi="Times New Roman" w:eastAsia="宋体"/>
          <w:b w:val="0"/>
          <w:i w:val="0"/>
          <w:sz w:val="20"/>
        </w:rPr>
        <w:t>abstract: The population of advanced capitalist democracies (acds) has aged substantially in the last decades. Yet we know little about the consequences of aging for the electoral politics of economic performance. This article develops a novel theoretical framework linking aging to lower economic growth in four interrelated steps. First, elderly voters care more about pensions than other voters do, but less about policies related to child care, family, and education. Second, elderly voters are less likely to penalize governments for low growth and unemployment. Third, gray power pushes governments to protect the growing share of budgets allocated to pensions at the expense of more growth-enhancing policies, most notably social and public investments, while also weakening policy responsiveness during recessions. Fourth, this policy reallocation undermines economic growth. The author tests this theory using multilevel and fixed-effects regressions, an instrumental variable approach, and causal mediation analysis on micro- and macrolevel data across twenty-one acds from the 1960s onward. The results show that aging fundamentally alters the electoral politics of economic stagnation in acds.</w:t>
      </w:r>
    </w:p>
    <w:p/>
    <w:p>
      <w:r>
        <w:rPr>
          <w:rFonts w:ascii="Times New Roman" w:hAnsi="Times New Roman" w:eastAsia="黑体"/>
          <w:b/>
          <w:i w:val="0"/>
          <w:sz w:val="24"/>
        </w:rPr>
        <w:t>选择挑战者：艰难时期反对党的成功</w:t>
      </w:r>
    </w:p>
    <w:p>
      <w:r>
        <w:rPr>
          <w:rFonts w:ascii="Times New Roman" w:hAnsi="Times New Roman" w:eastAsia="宋体"/>
          <w:b w:val="0"/>
          <w:i/>
          <w:color w:val="404040"/>
          <w:sz w:val="20"/>
        </w:rPr>
        <w:t>Choosing Challengers: Opposition Party Success in Hard Times</w:t>
      </w:r>
    </w:p>
    <w:p>
      <w:r>
        <w:rPr>
          <w:rFonts w:ascii="Times New Roman" w:hAnsi="Times New Roman" w:eastAsia="宋体"/>
          <w:b w:val="0"/>
          <w:i w:val="0"/>
          <w:color w:val="595959"/>
          <w:sz w:val="18"/>
        </w:rPr>
        <w:t>Timothy Hellwig；Tonya K. Dodez</w:t>
      </w:r>
    </w:p>
    <w:p>
      <w:r>
        <w:rPr>
          <w:rFonts w:ascii="Times New Roman" w:hAnsi="Times New Roman" w:eastAsia="宋体"/>
          <w:b w:val="0"/>
          <w:i w:val="0"/>
          <w:sz w:val="22"/>
        </w:rPr>
        <w:t>摘要：【摘译】作者认为能力认知决定选民在经济不景气时选择执政党、主要反对党还是缺乏执政经验的挑战者；经济低迷持续时间长且政府任期短时，选民更愿冒险选择挑战者。</w:t>
      </w:r>
    </w:p>
    <w:p>
      <w:r>
        <w:rPr>
          <w:rFonts w:ascii="Times New Roman" w:hAnsi="Times New Roman" w:eastAsia="宋体"/>
          <w:b w:val="0"/>
          <w:i w:val="0"/>
          <w:sz w:val="20"/>
        </w:rPr>
        <w:t>abstract: Voters commonly respond to economic downturns by punishing incumbents. But what about the fate of the opposition? When assessing policymaker performance in tough times, do voters choose an established party with experience as head of government, or an inexperienced challenger? Research on the rise of challengers emphasizes issue opinions and elite strategies. The authors argue instead that perceptions of competence shape voter choices for incumbents, for main opposition options, and for challengers alike. Although selecting unproven challengers is risky, the authors predict that voters are more likely to take a chance when the duration of economic underperformance is long and the government’s tenure is short. Depressing the competence of dominant parties opens a window for parties that lack executive experience. A series of analyses provides evidence to support this argument. By showing that parties in opposition can be distinguished on competence grounds, the study’s findings widen the lens on how electoral accountability works.</w:t>
      </w:r>
    </w:p>
    <w:p/>
    <w:p>
      <w:r>
        <w:rPr>
          <w:rFonts w:ascii="Times New Roman" w:hAnsi="Times New Roman" w:eastAsia="黑体"/>
          <w:b/>
          <w:i w:val="0"/>
          <w:sz w:val="24"/>
        </w:rPr>
        <w:t>公民如何看待决策者角色：十五国联合分析实验</w:t>
      </w:r>
    </w:p>
    <w:p>
      <w:r>
        <w:rPr>
          <w:rFonts w:ascii="Times New Roman" w:hAnsi="Times New Roman" w:eastAsia="宋体"/>
          <w:b w:val="0"/>
          <w:i/>
          <w:color w:val="404040"/>
          <w:sz w:val="20"/>
        </w:rPr>
        <w:t>Citizens’ Views of Decision-Makers’ Roles: A Conjoint Experiment in Fifteen Countries</w:t>
      </w:r>
    </w:p>
    <w:p>
      <w:r>
        <w:rPr>
          <w:rFonts w:ascii="Times New Roman" w:hAnsi="Times New Roman" w:eastAsia="宋体"/>
          <w:b w:val="0"/>
          <w:i w:val="0"/>
          <w:color w:val="595959"/>
          <w:sz w:val="18"/>
        </w:rPr>
        <w:t>Davide Vittori；Sebastien Rojon；Jean-Benoit Pilet</w:t>
      </w:r>
    </w:p>
    <w:p>
      <w:r>
        <w:rPr>
          <w:rFonts w:ascii="Times New Roman" w:hAnsi="Times New Roman" w:eastAsia="宋体"/>
          <w:b w:val="0"/>
          <w:i w:val="0"/>
          <w:sz w:val="22"/>
        </w:rPr>
        <w:t>摘要：【摘译】十五个欧洲国家的联合分析显示，公民偏好代表人民意志且无党派归属的候选部长；信任度高者偏好负责任政党模式，民粹态度者偏好受托代表与技术官僚模式。</w:t>
      </w:r>
    </w:p>
    <w:p>
      <w:r>
        <w:rPr>
          <w:rFonts w:ascii="Times New Roman" w:hAnsi="Times New Roman" w:eastAsia="宋体"/>
          <w:b w:val="0"/>
          <w:i w:val="0"/>
          <w:sz w:val="20"/>
        </w:rPr>
        <w:t>abstract: This article investigates whether citizens meaningfully distinguish between profiles of politicians—government ministers in particular—based on the paradigms of democracy that the ministers embody. Although previous research shows that sociodemographic characteristics and political beliefs influence voters’ candidate choices, research has paid little attention to whether candidates’ representational paradigms influence voters. Using a con-joint experiment conducted across fifteen Western and Eastern European countries, this study examines respondents’ preferences for candidates who embody six representational paradigms, which the authors derive from the literature. The findings reveal that citizens value candidates who represent the will of the people and do not belong to a particular political party, compared to those who are affiliated with political parties and are primarily accountable to a parliament. Moreover, the study demonstrates that trustful citizens prioritize candidates who embody a paradigm resembling the well-known responsible party model more than do distrustful citizens, and those with populist attitudes favor candidates with an instructed delegate paradigm and to a lesser extent, a technocratic paradigm.</w:t>
      </w:r>
    </w:p>
    <w:p/>
    <w:p>
      <w:r>
        <w:rPr>
          <w:rFonts w:ascii="Times New Roman" w:hAnsi="Times New Roman" w:eastAsia="黑体"/>
          <w:b/>
          <w:i w:val="0"/>
          <w:sz w:val="24"/>
        </w:rPr>
        <w:t>为威权稳定服务的透明：中国政府信息公开与制度化抗争</w:t>
      </w:r>
    </w:p>
    <w:p>
      <w:r>
        <w:rPr>
          <w:rFonts w:ascii="Times New Roman" w:hAnsi="Times New Roman" w:eastAsia="宋体"/>
          <w:b w:val="0"/>
          <w:i/>
          <w:color w:val="404040"/>
          <w:sz w:val="20"/>
        </w:rPr>
        <w:t>Transparency for Authoritarian Stability: Open Government Information and Contention with Institutions in China</w:t>
      </w:r>
    </w:p>
    <w:p>
      <w:r>
        <w:rPr>
          <w:rFonts w:ascii="Times New Roman" w:hAnsi="Times New Roman" w:eastAsia="宋体"/>
          <w:b w:val="0"/>
          <w:i w:val="0"/>
          <w:color w:val="595959"/>
          <w:sz w:val="18"/>
        </w:rPr>
        <w:t>Handi Li</w:t>
      </w:r>
    </w:p>
    <w:p>
      <w:r>
        <w:rPr>
          <w:rFonts w:ascii="Times New Roman" w:hAnsi="Times New Roman" w:eastAsia="宋体"/>
          <w:b w:val="0"/>
          <w:i w:val="0"/>
          <w:sz w:val="22"/>
        </w:rPr>
        <w:t>摘要：【摘译】作者以中国征地补偿信息公开为例，在线与实地调查实验显示政策透明提高公民对法律与政治制度的偏好，使其在有不满时优先选择制度渠道而非抗议，因为信息提升了制度处理个案的感知公平。</w:t>
      </w:r>
    </w:p>
    <w:p>
      <w:r>
        <w:rPr>
          <w:rFonts w:ascii="Times New Roman" w:hAnsi="Times New Roman" w:eastAsia="宋体"/>
          <w:b w:val="0"/>
          <w:i w:val="0"/>
          <w:sz w:val="20"/>
        </w:rPr>
        <w:t>abstract: Conventional wisdom holds that authoritarian states bear a cost to social stability for disclosing information. This study investigates the effect of an increasingly common transparency initiative in authoritarian countries: open government information (ogi). By publishing policy information, ogi allows citizens to identify illegal government behavior. Drawing from the Chinese case, the author theorizes that although such policy transparency reveals whether governments violate laws, it encourages the use of institutional channels for resolving disputes. By redirecting popular discontent from the streets to institutions, such transparency initiatives foster social stability in autocracies rather than threatening it. Using online and in-the-field survey experiments about ogi on land-taking compensation, the author shows that policy transparency improves citizens’ preference for legal and political institutions and causes them to prioritize institutions over protest when they have grievances against the government. Multiple findings about the mechanisms suggest that policy information increases citizens’ perceived fairness of institutions in resolving their specific cases.</w:t>
      </w:r>
    </w:p>
    <w:p/>
    <w:p>
      <w:r>
        <w:rPr>
          <w:rFonts w:ascii="Times New Roman" w:hAnsi="Times New Roman" w:eastAsia="宋体"/>
          <w:b/>
          <w:i w:val="0"/>
          <w:sz w:val="22"/>
        </w:rPr>
        <w:t>WP： Vol. 77, No. 4, 2025</w:t>
      </w:r>
    </w:p>
    <w:p/>
    <w:p>
      <w:r>
        <w:rPr>
          <w:rFonts w:ascii="Times New Roman" w:hAnsi="Times New Roman" w:eastAsia="黑体"/>
          <w:b/>
          <w:i w:val="0"/>
          <w:sz w:val="24"/>
        </w:rPr>
        <w:t>WTO裁决有偏见吗？制度设计在保护司法自主中的作用</w:t>
      </w:r>
    </w:p>
    <w:p>
      <w:r>
        <w:rPr>
          <w:rFonts w:ascii="Times New Roman" w:hAnsi="Times New Roman" w:eastAsia="宋体"/>
          <w:b w:val="0"/>
          <w:i/>
          <w:color w:val="404040"/>
          <w:sz w:val="20"/>
        </w:rPr>
        <w:t>Are WTO Rulings Biased? The Role of Institutional Design in Protecting Judicial Autonomy</w:t>
      </w:r>
    </w:p>
    <w:p>
      <w:r>
        <w:rPr>
          <w:rFonts w:ascii="Times New Roman" w:hAnsi="Times New Roman" w:eastAsia="宋体"/>
          <w:b w:val="0"/>
          <w:i w:val="0"/>
          <w:color w:val="595959"/>
          <w:sz w:val="18"/>
        </w:rPr>
        <w:t>Joost Pauwelyna；Krzysztof Pelc</w:t>
      </w:r>
    </w:p>
    <w:p>
      <w:r>
        <w:rPr>
          <w:rFonts w:ascii="Times New Roman" w:hAnsi="Times New Roman" w:eastAsia="宋体"/>
          <w:b w:val="0"/>
          <w:i w:val="0"/>
          <w:sz w:val="22"/>
        </w:rPr>
        <w:t>摘要：世界贸易组织争端解决机制以其高度司法独立和裁判者公正自豪，但与其他国际法庭相比，成员对WTO裁判者有相当大的政治控制，围绕裁判者任命的争夺也反映出各国意识到国籍可能影响结果。作者对上诉机构25年运作进行实证分析，利用裁判者随机分配至合议庭的设计，未发现全面系统的国籍偏见证据；但存在合议庭主席偏见的证据，表明裁判者被单独突出时更易受政治压力；个人反对意见亦然：合议庭中有诉讼方本国籍成员时，出现反对意见的几率显著提高。研究表明对WTO司法独立的信任大体成立，但即使小的制度设计调整也会增加对裁判者的政治压力、威胁公正性，这对WTO改革有重要含义。</w:t>
      </w:r>
    </w:p>
    <w:p>
      <w:r>
        <w:rPr>
          <w:rFonts w:ascii="Times New Roman" w:hAnsi="Times New Roman" w:eastAsia="宋体"/>
          <w:b w:val="0"/>
          <w:i w:val="0"/>
          <w:sz w:val="20"/>
        </w:rPr>
        <w:t>abstract: The dispute settlement system of the World Trade Organization (wto) prides itself on its high degree of judicial independence and the impartiality of its adjudicators. Yet compared to other international tribunals, wto member states exert considerable political control over wto adjudicators. Contestation over the appointment of those adjudicators also reflects governments’ awareness that nationality may matter for outcomes. The authors ask whether that is the case. An empirical analysis of twenty-five years of wto Appellate Body (ab) activity offers a nuanced answer. Exploiting the random allocation of adjudicators to ab divisions, the authors find no evidence of systematic national bias across the board. Yet evidence does exist of bias on the part of ab division chairs, suggesting that when adjudicators are singled out, they become more prone to political pressure. A similar effect pertains to individual dissenting opinions. The presence of a conational from a litigant country on an ab division is associated with significantly increased odds of dissent. Judicial independence at the wto has long been taken for granted. These findings suggest that such trust is largely warranted, but even small tweaks in institutional design increase political pressure on adjudicators in ways that threaten impartiality, which holds significant implications for wto reforms going forward.</w:t>
      </w:r>
    </w:p>
    <w:p/>
    <w:p>
      <w:r>
        <w:rPr>
          <w:rFonts w:ascii="Times New Roman" w:hAnsi="Times New Roman" w:eastAsia="黑体"/>
          <w:b/>
          <w:i w:val="0"/>
          <w:sz w:val="24"/>
        </w:rPr>
        <w:t>解释城市秩序：非洲城市街道网络的专制起源</w:t>
      </w:r>
    </w:p>
    <w:p>
      <w:r>
        <w:rPr>
          <w:rFonts w:ascii="Times New Roman" w:hAnsi="Times New Roman" w:eastAsia="宋体"/>
          <w:b w:val="0"/>
          <w:i/>
          <w:color w:val="404040"/>
          <w:sz w:val="20"/>
        </w:rPr>
        <w:t>Explaining Urban Order: The Autocratic Origins of Africa’s City Street Networks</w:t>
      </w:r>
    </w:p>
    <w:p>
      <w:r>
        <w:rPr>
          <w:rFonts w:ascii="Times New Roman" w:hAnsi="Times New Roman" w:eastAsia="宋体"/>
          <w:b w:val="0"/>
          <w:i w:val="0"/>
          <w:color w:val="595959"/>
          <w:sz w:val="18"/>
        </w:rPr>
        <w:t>Noah L. Nathan</w:t>
      </w:r>
    </w:p>
    <w:p>
      <w:r>
        <w:rPr>
          <w:rFonts w:ascii="Times New Roman" w:hAnsi="Times New Roman" w:eastAsia="宋体"/>
          <w:b w:val="0"/>
          <w:i w:val="0"/>
          <w:sz w:val="22"/>
        </w:rPr>
        <w:t>摘要：【摘译】结合街道网络数据、档案地图与卫星图像回溯150万条街道建设时间，作者发现非洲更专制的后殖民政权下更多出现网格化街区，但机制更像是安抚关键城市人群的庇护策略的副产品而非提升社会可读性。</w:t>
      </w:r>
    </w:p>
    <w:p>
      <w:r>
        <w:rPr>
          <w:rFonts w:ascii="Times New Roman" w:hAnsi="Times New Roman" w:eastAsia="宋体"/>
          <w:b w:val="0"/>
          <w:i w:val="0"/>
          <w:sz w:val="20"/>
        </w:rPr>
        <w:t>abstract: This article connects the political incentives of state leaders to the physical geometry of urban built environments. Drawing on a novel combination of street network data, archival maps, and satellite imagery, the author builds on classic claims that autocratic regimes order urban space, rendering society more legible through the production of gridded streets. Backdating the construction of 1.5 million streets across a sample of African cities, the author shows that ordered, gridded urban neighborhoods emerge more often under relatively more autocratic postcolonial regimes than under less autocratic regimes. But rather than a conscious effort to increase society’s legibility, evidence on mechanisms is more consistent with ordered urban designs emerging as a side-effect of patronage strategies that autocrats use to placate critical subsets of the urban population. Ultimately, efforts to intervene in the built environment represent an underexplored element of both autocratic and urban politics in the developing world.</w:t>
      </w:r>
    </w:p>
    <w:p/>
    <w:p>
      <w:r>
        <w:rPr>
          <w:rFonts w:ascii="Times New Roman" w:hAnsi="Times New Roman" w:eastAsia="黑体"/>
          <w:b/>
          <w:i w:val="0"/>
          <w:sz w:val="24"/>
        </w:rPr>
        <w:t>种族、贸易与美国南方对多边主义支持的消退（1945—1962）</w:t>
      </w:r>
    </w:p>
    <w:p>
      <w:r>
        <w:rPr>
          <w:rFonts w:ascii="Times New Roman" w:hAnsi="Times New Roman" w:eastAsia="宋体"/>
          <w:b w:val="0"/>
          <w:i/>
          <w:color w:val="404040"/>
          <w:sz w:val="20"/>
        </w:rPr>
        <w:t>Race, Trade, and the Demise of Southern Support for Multilateralism, 1945–62</w:t>
      </w:r>
    </w:p>
    <w:p>
      <w:r>
        <w:rPr>
          <w:rFonts w:ascii="Times New Roman" w:hAnsi="Times New Roman" w:eastAsia="宋体"/>
          <w:b w:val="0"/>
          <w:i w:val="0"/>
          <w:color w:val="595959"/>
          <w:sz w:val="18"/>
        </w:rPr>
        <w:t>Benjamin O. Fordham</w:t>
      </w:r>
    </w:p>
    <w:p>
      <w:r>
        <w:rPr>
          <w:rFonts w:ascii="Times New Roman" w:hAnsi="Times New Roman" w:eastAsia="宋体"/>
          <w:b w:val="0"/>
          <w:i w:val="0"/>
          <w:sz w:val="22"/>
        </w:rPr>
        <w:t>摘要：整个1940年代，美国南方国会议员强烈支持美国外交政策中的多边主义，几乎一致支持联合国及其他多边倡议；但到1950年代末，许多人转而反对这种制度形式，强化了国内对多边主义的反对，对美国外交政策与世界秩序产生持久影响。本文评估两种互补解释：第一，南方经济变化降低了多边合作的价值——出口导向农业（尤其棉花）重要性下降，纺织服装等劳动密集产业对国际竞争更敏感；第二，多边人权规则日益威胁南方的种族等级，而白人至上通过压制选民、法律豁免和劳动压迫型农业为白人精英带来物质利益。整合两种解释可增强二者。</w:t>
      </w:r>
    </w:p>
    <w:p>
      <w:r>
        <w:rPr>
          <w:rFonts w:ascii="Times New Roman" w:hAnsi="Times New Roman" w:eastAsia="宋体"/>
          <w:b w:val="0"/>
          <w:i w:val="0"/>
          <w:sz w:val="20"/>
        </w:rPr>
        <w:t>abstract: Through the 1940s, Southern members of Congress strongly supported multilateralism in US foreign policy, backing the United Nations and other multilateral initiatives almost unanimously. But by the end of the 1950s, many of these members had turned against this institutional form. That shift bolstered domestic opposition to multilateralism, with lasting consequences for both US foreign policy and world order. This article assesses two complementary explanations for the change. First, changes in the Southern economy reduced the value of multilateral cooperation. Export-oriented agriculture, particularly cotton, became less important. Labor-intensive industries, especially textiles and apparel, became more sensitive to international competition. Second, multilateral rules on human rights increasingly threatened the South’s racial hierarchy. White supremacy provided material benefits to white elites through voter suppression, legal impunity, and labor-repressive agriculture—benefits similar to those they derived from trade protection or access to foreign markets. Integrating these two explanations strengthens them both.</w:t>
      </w:r>
    </w:p>
    <w:p/>
    <w:p>
      <w:r>
        <w:rPr>
          <w:rFonts w:ascii="Times New Roman" w:hAnsi="Times New Roman" w:eastAsia="黑体"/>
          <w:b/>
          <w:i w:val="0"/>
          <w:sz w:val="24"/>
        </w:rPr>
        <w:t>党派逆转：封闭与开放经济中的党派与汇率政策</w:t>
      </w:r>
    </w:p>
    <w:p>
      <w:r>
        <w:rPr>
          <w:rFonts w:ascii="Times New Roman" w:hAnsi="Times New Roman" w:eastAsia="宋体"/>
          <w:b w:val="0"/>
          <w:i/>
          <w:color w:val="404040"/>
          <w:sz w:val="20"/>
        </w:rPr>
        <w:t>The Partisan Reversal: Partisanship and Exchange Rate Policy in Closed and Open Economies</w:t>
      </w:r>
    </w:p>
    <w:p>
      <w:r>
        <w:rPr>
          <w:rFonts w:ascii="Times New Roman" w:hAnsi="Times New Roman" w:eastAsia="宋体"/>
          <w:b w:val="0"/>
          <w:i w:val="0"/>
          <w:color w:val="595959"/>
          <w:sz w:val="18"/>
        </w:rPr>
        <w:t>Andrew Rys；David A. Steinberg</w:t>
      </w:r>
    </w:p>
    <w:p>
      <w:r>
        <w:rPr>
          <w:rFonts w:ascii="Times New Roman" w:hAnsi="Times New Roman" w:eastAsia="宋体"/>
          <w:b w:val="0"/>
          <w:i w:val="0"/>
          <w:sz w:val="22"/>
        </w:rPr>
        <w:t>摘要：【摘译】作者认为金融全球化不只使左右党派政策趋同，还会使其完全逆转：资本流动低时左翼更倾向高估汇率以将收入从资本转向劳动；资本流动高时高估汇率对工人代价更大、对企业更有利，右翼反而维持更高估的汇率。</w:t>
      </w:r>
    </w:p>
    <w:p>
      <w:r>
        <w:rPr>
          <w:rFonts w:ascii="Times New Roman" w:hAnsi="Times New Roman" w:eastAsia="宋体"/>
          <w:b w:val="0"/>
          <w:i w:val="0"/>
          <w:sz w:val="20"/>
        </w:rPr>
        <w:t>abstract: Economic globalization is widely believed to cause the policies of left-and right-wing parties to converge. The authors argue that globalization can have an even more profound impact on partisan politics, fully reversing the positions of left and right parties. This article demonstrates that financial globalization transforms party positions in one important policy area: the degree of exchange rate overvaluation or undervaluation. At low levels of capital mobility, left-wing parties are more likely to overvalue the exchange rate than are right-wing parties because doing so redistributes income from capital to labor. As capital mobility rises, overvalued exchange rates become costlier for workers but more attractive to firms. Accordingly, right-wing parties maintain more overvalued exchange rates than do left parties at high levels of capital mobility. Analyses of time-series cross-sectional data support these hypotheses. The results indicate that globalization can have transformative effects on the relationship between partisanship and economic policy.</w:t>
      </w:r>
    </w:p>
    <w:p/>
    <w:p>
      <w:r>
        <w:rPr>
          <w:rFonts w:ascii="Times New Roman" w:hAnsi="Times New Roman" w:eastAsia="黑体"/>
          <w:b/>
          <w:i w:val="0"/>
          <w:sz w:val="24"/>
        </w:rPr>
        <w:t>土地确权、种族与政治暴力：来自哥伦比亚的理论与证据</w:t>
      </w:r>
    </w:p>
    <w:p>
      <w:r>
        <w:rPr>
          <w:rFonts w:ascii="Times New Roman" w:hAnsi="Times New Roman" w:eastAsia="宋体"/>
          <w:b w:val="0"/>
          <w:i/>
          <w:color w:val="404040"/>
          <w:sz w:val="20"/>
        </w:rPr>
        <w:t>Land Titling, Race, and Political Violence: Theory and Evidence from Colombia</w:t>
      </w:r>
    </w:p>
    <w:p>
      <w:r>
        <w:rPr>
          <w:rFonts w:ascii="Times New Roman" w:hAnsi="Times New Roman" w:eastAsia="宋体"/>
          <w:b w:val="0"/>
          <w:i w:val="0"/>
          <w:color w:val="595959"/>
          <w:sz w:val="18"/>
        </w:rPr>
        <w:t>Ali T. Ahmed；Marcus Johnson；Mateo Vásquez-Cortés</w:t>
      </w:r>
    </w:p>
    <w:p>
      <w:r>
        <w:rPr>
          <w:rFonts w:ascii="Times New Roman" w:hAnsi="Times New Roman" w:eastAsia="宋体"/>
          <w:b w:val="0"/>
          <w:i w:val="0"/>
          <w:sz w:val="22"/>
        </w:rPr>
        <w:t>摘要：【摘译】基于哥伦比亚《黑人社区法》集体土地确权原创数据，作者发现对黑人集体产权的法律承认增加了右翼准军事组织在相关市镇的袭击，而农民与原住民社区确权后遭袭更少，借批判种族理论解释反改革暴力的种族化。</w:t>
      </w:r>
    </w:p>
    <w:p>
      <w:r>
        <w:rPr>
          <w:rFonts w:ascii="Times New Roman" w:hAnsi="Times New Roman" w:eastAsia="宋体"/>
          <w:b w:val="0"/>
          <w:i w:val="0"/>
          <w:sz w:val="20"/>
        </w:rPr>
        <w:t>abstract: Under what conditions do reforms prompt violent counterreform? Reform threatens elite interests in structurally unequal societies, prompting elites to use their power to counter reform. Although the existing literature demonstrates the material logic of counterreform, the authors build on critical race theory to argue that elites are more likely to target reforms meant for racially marginalized beneficiaries. The authors test this argument using original data on the largest communal land reform program undertaken in Latin America, the titling of collective lands belonging to Black communities in Colombia, through Law 70: the Law of Black Communities. The article shows that the legal recognition of Black collective property rights increased right-wing paramilitary attacks in municipalities in which Black communities requisitioned formal land titles. In addition, the authors demonstrate that titling reforms for peasant and Indigenous communities faced fewer attacks after legal recognition, relative to Black communities. These findings together offer new insights into the puzzling racialization of Colombian civil conflict since the 1990s.</w:t>
      </w:r>
    </w:p>
    <w:p/>
    <w:p>
      <w:r>
        <w:rPr>
          <w:rFonts w:ascii="Times New Roman" w:hAnsi="Times New Roman" w:eastAsia="宋体"/>
          <w:b/>
          <w:i w:val="0"/>
          <w:sz w:val="22"/>
        </w:rPr>
        <w:t>WP： Vol. 77, No. 3, 2025</w:t>
      </w:r>
    </w:p>
    <w:p/>
    <w:p>
      <w:r>
        <w:rPr>
          <w:rFonts w:ascii="Times New Roman" w:hAnsi="Times New Roman" w:eastAsia="黑体"/>
          <w:b/>
          <w:i w:val="0"/>
          <w:sz w:val="24"/>
        </w:rPr>
        <w:t>多元议题空间中社会民主党策略的权衡：联合分析</w:t>
      </w:r>
    </w:p>
    <w:p>
      <w:r>
        <w:rPr>
          <w:rFonts w:ascii="Times New Roman" w:hAnsi="Times New Roman" w:eastAsia="宋体"/>
          <w:b w:val="0"/>
          <w:i/>
          <w:color w:val="404040"/>
          <w:sz w:val="20"/>
        </w:rPr>
        <w:t>Trade-Offs of Social Democratic Party Strategies in a Pluralized Issue Space: A Conjoint Analysis</w:t>
      </w:r>
    </w:p>
    <w:p>
      <w:r>
        <w:rPr>
          <w:rFonts w:ascii="Times New Roman" w:hAnsi="Times New Roman" w:eastAsia="宋体"/>
          <w:b w:val="0"/>
          <w:i w:val="0"/>
          <w:color w:val="595959"/>
          <w:sz w:val="18"/>
        </w:rPr>
        <w:t>Tarik Abou-Chadi；Silja Häusermann；Reto Mitteregger；Nadja Mosimann；Markus Wagner</w:t>
      </w:r>
    </w:p>
    <w:p>
      <w:r>
        <w:rPr>
          <w:rFonts w:ascii="Times New Roman" w:hAnsi="Times New Roman" w:eastAsia="宋体"/>
          <w:b w:val="0"/>
          <w:i w:val="0"/>
          <w:sz w:val="22"/>
        </w:rPr>
        <w:t>摘要：【摘译】六个西欧国家的联合分析实验显示，社会民主党潜在选民之间的策略权衡（尤其经济政策）没有文献预期的那样严重，但年龄组之间的权衡与议题显著性的长期后果被低估。</w:t>
      </w:r>
    </w:p>
    <w:p>
      <w:r>
        <w:rPr>
          <w:rFonts w:ascii="Times New Roman" w:hAnsi="Times New Roman" w:eastAsia="宋体"/>
          <w:b w:val="0"/>
          <w:i w:val="0"/>
          <w:sz w:val="20"/>
        </w:rPr>
        <w:t>abstract: This article provides a novel framework and empirical test of the strategic trade-offs of political parties’ programmatic appeals. In a pluralized issue space, political positions have the potential to create severe strategic trade-offs for political parties, with gains among one group of voters offset by losses among another. Existing research assumes that these trade-offs are especially prominent for social democratic parties but does not directly test whether specific subelectorates respond differently to particular programmatic appeals. To identify trade-offs for social democratic parties, the authors ran conjoint experiments in six Western European countries. Respondents could choose between programs that varied on several issue dimensions. The authors find that trade-offs among potential social democratic voters are less pronounced than the literature expects, especially regarding economic policies. The findings also establish two underrated challenges for social democratic parties: the existence of stronger trade-offs between age groups and the potential longer-term consequences of salience trade-offs.</w:t>
      </w:r>
    </w:p>
    <w:p/>
    <w:p>
      <w:r>
        <w:rPr>
          <w:rFonts w:ascii="Times New Roman" w:hAnsi="Times New Roman" w:eastAsia="黑体"/>
          <w:b/>
          <w:i w:val="0"/>
          <w:sz w:val="24"/>
        </w:rPr>
        <w:t>时间中的问责：参与式制度的演化与专业化</w:t>
      </w:r>
    </w:p>
    <w:p>
      <w:r>
        <w:rPr>
          <w:rFonts w:ascii="Times New Roman" w:hAnsi="Times New Roman" w:eastAsia="宋体"/>
          <w:b w:val="0"/>
          <w:i/>
          <w:color w:val="404040"/>
          <w:sz w:val="20"/>
        </w:rPr>
        <w:t>Accountability in Time: Evolution and Expertise in Participatory Institutions</w:t>
      </w:r>
    </w:p>
    <w:p>
      <w:r>
        <w:rPr>
          <w:rFonts w:ascii="Times New Roman" w:hAnsi="Times New Roman" w:eastAsia="宋体"/>
          <w:b w:val="0"/>
          <w:i w:val="0"/>
          <w:color w:val="595959"/>
          <w:sz w:val="18"/>
        </w:rPr>
        <w:t>Brian Palmer-Rubin；Jésica E. Tapia Reyes；Daniel Berliner；Aaron Erlich；Benjamin E. Bagozzi</w:t>
      </w:r>
    </w:p>
    <w:p>
      <w:r>
        <w:rPr>
          <w:rFonts w:ascii="Times New Roman" w:hAnsi="Times New Roman" w:eastAsia="宋体"/>
          <w:b w:val="0"/>
          <w:i w:val="0"/>
          <w:sz w:val="22"/>
        </w:rPr>
        <w:t>摘要：【摘译】作者用机器学习分析墨西哥2003—2019年近200万份信息公开申请与答复，发现申请者日益专业化、官员对专业申请者更具回应性，符合“中介式问责”模型，揭示参与式制度的内生演化。</w:t>
      </w:r>
    </w:p>
    <w:p>
      <w:r>
        <w:rPr>
          <w:rFonts w:ascii="Times New Roman" w:hAnsi="Times New Roman" w:eastAsia="宋体"/>
          <w:b w:val="0"/>
          <w:i w:val="0"/>
          <w:sz w:val="20"/>
        </w:rPr>
        <w:t>abstract: How do participatory institutions change over time? Previous research has focused on exogenous changes, such as legal reform or leadership replacement. But institutions also evolve endogenously, through processes of behavioral and compositional change on the part of citizen claimants and government officials. These processes can gradually reshape institutions to become more responsive to either expert or nonexpert claimants. The authors refer to such processes as brokered and grassroots models of social accountability. In the context of Mexico’s access-to-information system, the authors employ new machine-learning-generated measures to analyze nearly two million information requests and responses filed between 2003 and 2019. They find evidence that shows claimants becoming more sophisticated over time, and officials becoming more responsive to these expert claimants—both findings consistent with a brokered accountability model. Quantitative and qualitative evidence reveals mechanisms of behavioral and compositional change by citizen claimants and government agents.</w:t>
      </w:r>
    </w:p>
    <w:p/>
    <w:p>
      <w:r>
        <w:rPr>
          <w:rFonts w:ascii="Times New Roman" w:hAnsi="Times New Roman" w:eastAsia="黑体"/>
          <w:b/>
          <w:i w:val="0"/>
          <w:sz w:val="24"/>
        </w:rPr>
        <w:t>为何难以应对财富不平等？来自英国的证据</w:t>
      </w:r>
    </w:p>
    <w:p>
      <w:r>
        <w:rPr>
          <w:rFonts w:ascii="Times New Roman" w:hAnsi="Times New Roman" w:eastAsia="宋体"/>
          <w:b w:val="0"/>
          <w:i/>
          <w:color w:val="404040"/>
          <w:sz w:val="20"/>
        </w:rPr>
        <w:t>Why is it so Hard to Counteract Wealth Inequality? Evidence from the United Kingdom</w:t>
      </w:r>
    </w:p>
    <w:p>
      <w:r>
        <w:rPr>
          <w:rFonts w:ascii="Times New Roman" w:hAnsi="Times New Roman" w:eastAsia="宋体"/>
          <w:b w:val="0"/>
          <w:i w:val="0"/>
          <w:color w:val="595959"/>
          <w:sz w:val="18"/>
        </w:rPr>
        <w:t>Mads Andreas Elkjær；Ben Ansell；Laure Bokobza；Asli Cansunar；Matthias Haslberger；Jacob Nyrup</w:t>
      </w:r>
    </w:p>
    <w:p>
      <w:r>
        <w:rPr>
          <w:rFonts w:ascii="Times New Roman" w:hAnsi="Times New Roman" w:eastAsia="宋体"/>
          <w:b w:val="0"/>
          <w:i w:val="0"/>
          <w:sz w:val="22"/>
        </w:rPr>
        <w:t>摘要：【摘译】作者认为遗产税难以提高，因为最有物质利益支持加税的低财富租房者最少表达明确意见，政治地形由房主及其子女的偏好塑造；解释性信息能影响偏好，统计信息则不能。</w:t>
      </w:r>
    </w:p>
    <w:p>
      <w:r>
        <w:rPr>
          <w:rFonts w:ascii="Times New Roman" w:hAnsi="Times New Roman" w:eastAsia="宋体"/>
          <w:b w:val="0"/>
          <w:i w:val="0"/>
          <w:sz w:val="20"/>
        </w:rPr>
        <w:t>abstract: Despite high and rising levels of wealth inequality, many advanced democracies have cut taxes on inherited wealth in recent decades. To explain this puzzle, the authors argue that taxing inherited wealth is politically difficult because, paradoxically, the people who have the strongest material interest in higher taxes—low-wealth renters—are those least likely to express a clear opinion about inheritance taxation. Instead, the political terrain is shaped by the preferences of homeowners and their children, who have a strong material interest in lower inheritance taxes. Empirically, the authors first evaluate this argument using original survey data from the United Kingdom. In two survey experiments, they next examine how exposure to information influences views on inheritance taxation. While the authors find no effect of providing statistical information about the distribution of housing wealth, preferences are influenced by explanatory information that explicitly outlines the potential effects of inheritance taxation.</w:t>
      </w:r>
    </w:p>
    <w:p/>
    <w:p>
      <w:r>
        <w:rPr>
          <w:rFonts w:ascii="Times New Roman" w:hAnsi="Times New Roman" w:eastAsia="黑体"/>
          <w:b/>
          <w:i w:val="0"/>
          <w:sz w:val="24"/>
        </w:rPr>
        <w:t>弥合移民社会保障缺口：理解国际社会保障协调的未竟革命</w:t>
      </w:r>
    </w:p>
    <w:p>
      <w:r>
        <w:rPr>
          <w:rFonts w:ascii="Times New Roman" w:hAnsi="Times New Roman" w:eastAsia="宋体"/>
          <w:b w:val="0"/>
          <w:i/>
          <w:color w:val="404040"/>
          <w:sz w:val="20"/>
        </w:rPr>
        <w:t>Bridging Migrants’ Social Protection Gap: Understanding The Incomplete Revolution Of International Social Security Coordination</w:t>
      </w:r>
    </w:p>
    <w:p>
      <w:r>
        <w:rPr>
          <w:rFonts w:ascii="Times New Roman" w:hAnsi="Times New Roman" w:eastAsia="宋体"/>
          <w:b w:val="0"/>
          <w:i w:val="0"/>
          <w:color w:val="595959"/>
          <w:sz w:val="18"/>
        </w:rPr>
        <w:t>Axel Cronert；Joakim Palme</w:t>
      </w:r>
    </w:p>
    <w:p>
      <w:r>
        <w:rPr>
          <w:rFonts w:ascii="Times New Roman" w:hAnsi="Times New Roman" w:eastAsia="宋体"/>
          <w:b w:val="0"/>
          <w:i w:val="0"/>
          <w:sz w:val="22"/>
        </w:rPr>
        <w:t>摘要：近几十年来，双边与多边社会保障协定急剧但区域不均衡地扩张，通过促进社会权利与福利的国际可携性弥合移民工人的社会保护缺口，但我们对塑造这一显著而令人困惑的发展的因素知之甚少。本研究整合国际合作与移民—福利国家关系文献，提出移民模式如何与民主、经济发展和社会保障设计相互作用塑造各国社保协定轨迹的理论预期，并分析涵盖二战后近1300项社保协定的新全球二元数据集，发现国家对的发展水平以及在上述三个因素上的相似性有助于解释其建立社保协定的可能性，移民则是需求驱动因素。研究有助于解释全球移民与本地居民之间的社会保护缺口及其弥合方式。</w:t>
      </w:r>
    </w:p>
    <w:p>
      <w:r>
        <w:rPr>
          <w:rFonts w:ascii="Times New Roman" w:hAnsi="Times New Roman" w:eastAsia="宋体"/>
          <w:b w:val="0"/>
          <w:i w:val="0"/>
          <w:sz w:val="20"/>
        </w:rPr>
        <w:t>abstract: Recent decades have seen a sharp but regionally imbalanced expansion of bilateral and multilateral social security agreements (ssas), which serve to bridge gaps in migrant workers’ social protection by facilitating international portability of social rights and benefits. However, our knowledge about the factors shaping this remarkable, yet puzzling, development remains scarce. This study integrates literatures on international cooperation and the migration–welfare state nexus to formulate theoretical expectations about how migration patterns interact with democracy, economic development, and social security design to shape countries’ ssa trajectories. The authors analyze a new global dyadic data set that covers almost 1,300 ssa adoptions throughout the post–World War II period. They find that a country-pair’s level of development and similarity with regard to these three factors help to account for the countries’ likelihood of establishing an ssa, with migration working as a demand driver. These findings help to explain gaps in social protection between migrants and native residents worldwide and suggest how those gaps may be bridged.</w:t>
      </w:r>
    </w:p>
    <w:p/>
    <w:p>
      <w:r>
        <w:rPr>
          <w:rFonts w:ascii="Times New Roman" w:hAnsi="Times New Roman" w:eastAsia="黑体"/>
          <w:b/>
          <w:i w:val="0"/>
          <w:sz w:val="24"/>
        </w:rPr>
        <w:t>谁会成为软实力的目标？来自基辛格国际研讨班的证据</w:t>
      </w:r>
    </w:p>
    <w:p>
      <w:r>
        <w:rPr>
          <w:rFonts w:ascii="Times New Roman" w:hAnsi="Times New Roman" w:eastAsia="宋体"/>
          <w:b w:val="0"/>
          <w:i/>
          <w:color w:val="404040"/>
          <w:sz w:val="20"/>
        </w:rPr>
        <w:t>Who Gets Targeted with Soft Power? Evidence from Henry Kissinger’s International Seminar</w:t>
      </w:r>
    </w:p>
    <w:p>
      <w:r>
        <w:rPr>
          <w:rFonts w:ascii="Times New Roman" w:hAnsi="Times New Roman" w:eastAsia="宋体"/>
          <w:b w:val="0"/>
          <w:i w:val="0"/>
          <w:color w:val="595959"/>
          <w:sz w:val="18"/>
        </w:rPr>
        <w:t>Adam Scharpf</w:t>
      </w:r>
    </w:p>
    <w:p>
      <w:r>
        <w:rPr>
          <w:rFonts w:ascii="Times New Roman" w:hAnsi="Times New Roman" w:eastAsia="宋体"/>
          <w:b w:val="0"/>
          <w:i w:val="0"/>
          <w:sz w:val="22"/>
        </w:rPr>
        <w:t>摘要：【摘译】基于1952—1968年基辛格哈佛国际研讨班的手工编码学员数据，作者发现软实力项目策略性地更多针对自由民主国家，因为思想自由交流更易产生预期的钦慕与吸引。</w:t>
      </w:r>
    </w:p>
    <w:p>
      <w:r>
        <w:rPr>
          <w:rFonts w:ascii="Times New Roman" w:hAnsi="Times New Roman" w:eastAsia="宋体"/>
          <w:b w:val="0"/>
          <w:i w:val="0"/>
          <w:sz w:val="20"/>
        </w:rPr>
        <w:t>abstract: Many states, nongovernmental organizations, and philanthropists use soft power to achieve their political goals. However, we know little about which countries these actors target. The author argues that given the large number of potential targets and the high costs of conducting influence campaigns abroad, soft power entrepreneurs strategically direct their efforts toward those countries in which their campaigns have the best chance of making a difference. The author expects that campaigns predominantly target liberal democracies, since the free exchange of ideas and opinions is likely to generate the intended admiration and attraction. To test this argument, the author draws on hand-coded attendance data from one of the most prestigious exchange programs during the Cold War: Henry Kissinger’s International Seminar (1952–1968). Results from numerous tests reveal that liberal democratic countries were more heavily targeted by Kissinger’s program than were nonliberal countries. Together, the article shows how (non)state actors strategically influence foreign intellectuals to forge international alliances.</w:t>
      </w:r>
    </w:p>
    <w:p/>
    <w:p>
      <w:r>
        <w:rPr>
          <w:rFonts w:ascii="Times New Roman" w:hAnsi="Times New Roman" w:eastAsia="宋体"/>
          <w:b/>
          <w:i w:val="0"/>
          <w:sz w:val="22"/>
        </w:rPr>
        <w:t>WP： Vol. 77, No. 2, 2025</w:t>
      </w:r>
    </w:p>
    <w:p/>
    <w:p>
      <w:r>
        <w:rPr>
          <w:rFonts w:ascii="Times New Roman" w:hAnsi="Times New Roman" w:eastAsia="黑体"/>
          <w:b/>
          <w:i w:val="0"/>
          <w:sz w:val="24"/>
        </w:rPr>
        <w:t>教育与感知歧视悖论</w:t>
      </w:r>
    </w:p>
    <w:p>
      <w:r>
        <w:rPr>
          <w:rFonts w:ascii="Times New Roman" w:hAnsi="Times New Roman" w:eastAsia="宋体"/>
          <w:b w:val="0"/>
          <w:i/>
          <w:color w:val="404040"/>
          <w:sz w:val="20"/>
        </w:rPr>
        <w:t>Education and the Paradox of Perceived Discrimination</w:t>
      </w:r>
    </w:p>
    <w:p>
      <w:r>
        <w:rPr>
          <w:rFonts w:ascii="Times New Roman" w:hAnsi="Times New Roman" w:eastAsia="宋体"/>
          <w:b w:val="0"/>
          <w:i w:val="0"/>
          <w:color w:val="595959"/>
          <w:sz w:val="18"/>
        </w:rPr>
        <w:t>Margarita Gelepithis；Marco Giani</w:t>
      </w:r>
    </w:p>
    <w:p>
      <w:r>
        <w:rPr>
          <w:rFonts w:ascii="Times New Roman" w:hAnsi="Times New Roman" w:eastAsia="宋体"/>
          <w:b w:val="0"/>
          <w:i w:val="0"/>
          <w:sz w:val="22"/>
        </w:rPr>
        <w:t>摘要：【摘译】欧洲个体与学校层面数据显示，教育降低优势群体的歧视态度、却提高弱势群体的感知歧视，导致“主导群体歧视越多、弱势群体感知越少”的悖论。</w:t>
      </w:r>
    </w:p>
    <w:p>
      <w:r>
        <w:rPr>
          <w:rFonts w:ascii="Times New Roman" w:hAnsi="Times New Roman" w:eastAsia="宋体"/>
          <w:b w:val="0"/>
          <w:i w:val="0"/>
          <w:sz w:val="20"/>
        </w:rPr>
        <w:t>abstract: The authors identify a paradox of perceived discrimination whereby perceptions of discrimination among disadvantaged groups are lower when dominant group attitudes are more discriminatory. This article forwards an explanation for this phenomenon based on the asymmetric effects of education on dominant and disadvantaged groups. Using individual- and school-level European data, the authors argue that education decreases discriminatory attitudes while increasing perceived discrimination through the interplay of cognitive sophistication, liberal instruction, and intergroup contact. At the country level, as education levels have increased over time, discriminatory attitudes have become less prevalent but perceptions of discrimination among disadvantaged groups have increased. The findings suggest that education increases awareness of discrimination among victims more than it decreases prejudice among perpetrators, challenging existing social hierarchies while simultaneously contributing to intergroup tensions.</w:t>
      </w:r>
    </w:p>
    <w:p/>
    <w:p>
      <w:r>
        <w:rPr>
          <w:rFonts w:ascii="Times New Roman" w:hAnsi="Times New Roman" w:eastAsia="黑体"/>
          <w:b/>
          <w:i w:val="0"/>
          <w:sz w:val="24"/>
        </w:rPr>
        <w:t>投票率、家庭与性别规范：瑞典女性的政治融入（1921—1960）</w:t>
      </w:r>
    </w:p>
    <w:p>
      <w:r>
        <w:rPr>
          <w:rFonts w:ascii="Times New Roman" w:hAnsi="Times New Roman" w:eastAsia="宋体"/>
          <w:b w:val="0"/>
          <w:i/>
          <w:color w:val="404040"/>
          <w:sz w:val="20"/>
        </w:rPr>
        <w:t>Turnout, Family, and Gender Norms: The Political Incorporation of Women in Sweden, 1921–1960</w:t>
      </w:r>
    </w:p>
    <w:p>
      <w:r>
        <w:rPr>
          <w:rFonts w:ascii="Times New Roman" w:hAnsi="Times New Roman" w:eastAsia="宋体"/>
          <w:b w:val="0"/>
          <w:i w:val="0"/>
          <w:color w:val="595959"/>
          <w:sz w:val="18"/>
        </w:rPr>
        <w:t>Carles Boix；Zsuzsanna Magyar；Jordi Muñoz</w:t>
      </w:r>
    </w:p>
    <w:p>
      <w:r>
        <w:rPr>
          <w:rFonts w:ascii="Times New Roman" w:hAnsi="Times New Roman" w:eastAsia="宋体"/>
          <w:b w:val="0"/>
          <w:i w:val="0"/>
          <w:sz w:val="22"/>
        </w:rPr>
        <w:t>摘要：【摘译】瑞典1921—1960年按性别、职业与婚姻状况记录的选举数据显示，传统规范下已婚女性投票率接近男性而未婚女性低；随着强调女性自主的规范扩散（城市上层先、农村后），差距缩小。</w:t>
      </w:r>
    </w:p>
    <w:p>
      <w:r>
        <w:rPr>
          <w:rFonts w:ascii="Times New Roman" w:hAnsi="Times New Roman" w:eastAsia="宋体"/>
          <w:b w:val="0"/>
          <w:i w:val="0"/>
          <w:sz w:val="20"/>
        </w:rPr>
        <w:t>abstract: This article investigates the historical process through which women mobilized at the ballot box and caught up with men's high voting turnout. The authors employ a unique set of official electoral data in Sweden collected between 1921 and 1960, recording all eligible voters' participation by gender, occupational group, and marital status. Although, in line with standard models of turnout, women's individual resources mattered, the authors show how the changing nature of gender norms and institutions played a crucial role in mobilizing women. Under traditional gender norms, female participation was strongly related to marital status: married women, arguably following their husbands' lead, voted at levels similar to men's, whereas unmarried women participated much less. As gender norms evolved, emphasizing women's personal and professional autonomy, the gap in turnout between married and unmarried women narrowed. That process happened asynchronically across social strata, paralleling the diffusion of modern gender norms and practices: from urban upper classes first, to rural areas last.</w:t>
      </w:r>
    </w:p>
    <w:p/>
    <w:p>
      <w:r>
        <w:rPr>
          <w:rFonts w:ascii="Times New Roman" w:hAnsi="Times New Roman" w:eastAsia="黑体"/>
          <w:b/>
          <w:i w:val="0"/>
          <w:sz w:val="24"/>
        </w:rPr>
        <w:t>外国培训、课程内容与政治军事化：来自美国美洲学校的证据</w:t>
      </w:r>
    </w:p>
    <w:p>
      <w:r>
        <w:rPr>
          <w:rFonts w:ascii="Times New Roman" w:hAnsi="Times New Roman" w:eastAsia="宋体"/>
          <w:b w:val="0"/>
          <w:i/>
          <w:color w:val="404040"/>
          <w:sz w:val="20"/>
        </w:rPr>
        <w:t>Foreign Training, Course Content, and Political Militarization: Evidence from the US School of the Americas</w:t>
      </w:r>
    </w:p>
    <w:p>
      <w:r>
        <w:rPr>
          <w:rFonts w:ascii="Times New Roman" w:hAnsi="Times New Roman" w:eastAsia="宋体"/>
          <w:b w:val="0"/>
          <w:i w:val="0"/>
          <w:color w:val="595959"/>
          <w:sz w:val="18"/>
        </w:rPr>
        <w:t>Adam Scharpf；Jesse Dillon Savage</w:t>
      </w:r>
    </w:p>
    <w:p>
      <w:r>
        <w:rPr>
          <w:rFonts w:ascii="Times New Roman" w:hAnsi="Times New Roman" w:eastAsia="宋体"/>
          <w:b w:val="0"/>
          <w:i w:val="0"/>
          <w:sz w:val="22"/>
        </w:rPr>
        <w:t>摘要：【摘译】基于美洲学校2.2万人次课程数据，作者发现反叛乱等面向国内的课程提高了军人对政治的影响，而常规作战训练稳定了文官控制。</w:t>
      </w:r>
    </w:p>
    <w:p>
      <w:r>
        <w:rPr>
          <w:rFonts w:ascii="Times New Roman" w:hAnsi="Times New Roman" w:eastAsia="宋体"/>
          <w:b w:val="0"/>
          <w:i w:val="0"/>
          <w:sz w:val="20"/>
        </w:rPr>
        <w:t>abstract: How does foreign military training shape civil-military relations in recipient states? Existing works have mostly analyzed aggregate indicators of foreign training but paid little attention to the content to which soldiers are exposed. Also, studies have often fallen prey to coupism, thereby ignoring the more subtle ways by which soldiers can influence politics. In this article, the authors disaggregate foreign military training to assess how different course types influence military involvement in politics. They argue that soldiers exert higher levels of political influence when they receive domestically oriented training. Empirically, the authors leverage the wide-ranging dissemination of counterinsurgency training after the Cuban Revolution. They analyze original data on 22,000 course attendances at the School of the Americas to show that counterinsurgency courses increased soldiers' influence over politics, whereas training in conventional warfare stabilized civilian control. Their findings have implications for understanding why and when soldiers capture political institutions and dictate policies.</w:t>
      </w:r>
    </w:p>
    <w:p/>
    <w:p>
      <w:r>
        <w:rPr>
          <w:rFonts w:ascii="Times New Roman" w:hAnsi="Times New Roman" w:eastAsia="黑体"/>
          <w:b/>
          <w:i w:val="0"/>
          <w:sz w:val="24"/>
        </w:rPr>
        <w:t>来自上面的警告：威权反抗议宣传如何起作用</w:t>
      </w:r>
    </w:p>
    <w:p>
      <w:r>
        <w:rPr>
          <w:rFonts w:ascii="Times New Roman" w:hAnsi="Times New Roman" w:eastAsia="宋体"/>
          <w:b w:val="0"/>
          <w:i/>
          <w:color w:val="404040"/>
          <w:sz w:val="20"/>
        </w:rPr>
        <w:t>A Warning from Above: How Authoritarian Anti-Protest Propaganda Works</w:t>
      </w:r>
    </w:p>
    <w:p>
      <w:r>
        <w:rPr>
          <w:rFonts w:ascii="Times New Roman" w:hAnsi="Times New Roman" w:eastAsia="宋体"/>
          <w:b w:val="0"/>
          <w:i w:val="0"/>
          <w:color w:val="595959"/>
          <w:sz w:val="18"/>
        </w:rPr>
        <w:t>Minh D. Trinh；Mai T. Truong</w:t>
      </w:r>
    </w:p>
    <w:p>
      <w:r>
        <w:rPr>
          <w:rFonts w:ascii="Times New Roman" w:hAnsi="Times New Roman" w:eastAsia="宋体"/>
          <w:b w:val="0"/>
          <w:i w:val="0"/>
          <w:sz w:val="22"/>
        </w:rPr>
        <w:t>摘要：【摘译】对950名越南受访者的中介实验显示，反抗议宣传主要通过影响民众对政府镇压意图与能力的信念而非抹黑抗议者合法性来降低对抗议的支持。</w:t>
      </w:r>
    </w:p>
    <w:p>
      <w:r>
        <w:rPr>
          <w:rFonts w:ascii="Times New Roman" w:hAnsi="Times New Roman" w:eastAsia="宋体"/>
          <w:b w:val="0"/>
          <w:i w:val="0"/>
          <w:sz w:val="20"/>
        </w:rPr>
        <w:t>abstract: When faced with unfolding protests, autocrats frequently respond with anti-protest propaganda loaded with negative narratives about protesters. Although a substantial body of literature has suggested that anti-protest propaganda can effectively alter the way the public views protests, few researchers have examined the mechanism through which propaganda negatively affects public support for protests. In this article, the authors explain the role that anti-protest propaganda plays in weakening public support for protests. Using an innovative experiment involving mediation analysis, the authors administered a survey to 950 Vietnamese respondents. The experimental results showed that anti-protest propaganda may deter support for protests more by influencing the audience's beliefs about the intention and capacity of the government than by shaping perceptions of the protesters' legitimacy. This evidence suggests that even when it fails at discrediting protesters, anti-protest propaganda still serves as an effective warning, credibly signaling the commitment and ability of the government to punish protesters and their supporters.</w:t>
      </w:r>
    </w:p>
    <w:p/>
    <w:p>
      <w:r>
        <w:rPr>
          <w:rFonts w:ascii="Times New Roman" w:hAnsi="Times New Roman" w:eastAsia="黑体"/>
          <w:b/>
          <w:i w:val="0"/>
          <w:sz w:val="24"/>
        </w:rPr>
        <w:t>把好处带回家：政客大使与家乡州贸易</w:t>
      </w:r>
    </w:p>
    <w:p>
      <w:r>
        <w:rPr>
          <w:rFonts w:ascii="Times New Roman" w:hAnsi="Times New Roman" w:eastAsia="宋体"/>
          <w:b w:val="0"/>
          <w:i/>
          <w:color w:val="404040"/>
          <w:sz w:val="20"/>
        </w:rPr>
        <w:t>Bringing Home The Bacon: Politician Ambassadors and Home State Trade</w:t>
      </w:r>
    </w:p>
    <w:p>
      <w:r>
        <w:rPr>
          <w:rFonts w:ascii="Times New Roman" w:hAnsi="Times New Roman" w:eastAsia="宋体"/>
          <w:b w:val="0"/>
          <w:i w:val="0"/>
          <w:color w:val="595959"/>
          <w:sz w:val="18"/>
        </w:rPr>
        <w:t>Minju Kim；Shu Fu</w:t>
      </w:r>
    </w:p>
    <w:p>
      <w:r>
        <w:rPr>
          <w:rFonts w:ascii="Times New Roman" w:hAnsi="Times New Roman" w:eastAsia="宋体"/>
          <w:b w:val="0"/>
          <w:i w:val="0"/>
          <w:sz w:val="22"/>
        </w:rPr>
        <w:t>摘要：【摘译】基于164位美国大使与2002—2020年州级出口数据，政客出身大使的家乡州对驻在国出口平均高约10个百分点，在最终品与主要出口目的地更明显。</w:t>
      </w:r>
    </w:p>
    <w:p>
      <w:r>
        <w:rPr>
          <w:rFonts w:ascii="Times New Roman" w:hAnsi="Times New Roman" w:eastAsia="宋体"/>
          <w:b w:val="0"/>
          <w:i w:val="0"/>
          <w:sz w:val="20"/>
        </w:rPr>
        <w:t>abstract: Ambassadors promote domestic exports to a host country and represent the interests of their home country at large. However, are trade benefits equally distributed domestically? In the United States, a substantial number of ambassadors are former governors or legislators—that is, politician ambassadors. The authors argue that these politician ambassadors are particularly equipped with knowledge and incentives to promote exports from their home states to host countries. Leveraging the biographic information of 164 ambassadors and US state–level exports to thirty major export destinations from 2002 to 2020, the authors find that the home states of politician ambassadors, compared to other states, on average enjoy a ten percentage point increase in exports to host countries. The home-state effect is particularly apparent in countries in which the United States exports the most in dollar value, and in industries that export final goods, such as beverages and electrical equipment. The past career paths and future career aspirations of ambassadors can shape how the benefits of diplomacy are distributed domestically.</w:t>
      </w:r>
    </w:p>
    <w:p/>
    <w:p>
      <w:r>
        <w:rPr>
          <w:rFonts w:ascii="Times New Roman" w:hAnsi="Times New Roman" w:eastAsia="宋体"/>
          <w:b/>
          <w:i w:val="0"/>
          <w:sz w:val="22"/>
        </w:rPr>
        <w:t>WP： Vol. 77, No. 1S, 2025</w:t>
      </w:r>
    </w:p>
    <w:p/>
    <w:p>
      <w:r>
        <w:rPr>
          <w:rFonts w:ascii="Times New Roman" w:hAnsi="Times New Roman" w:eastAsia="黑体"/>
          <w:b/>
          <w:i w:val="0"/>
          <w:sz w:val="24"/>
        </w:rPr>
        <w:t>回顾过去、展望未来：《世界政治》75周年特刊导言</w:t>
      </w:r>
    </w:p>
    <w:p>
      <w:r>
        <w:rPr>
          <w:rFonts w:ascii="Times New Roman" w:hAnsi="Times New Roman" w:eastAsia="宋体"/>
          <w:b w:val="0"/>
          <w:i/>
          <w:color w:val="404040"/>
          <w:sz w:val="20"/>
        </w:rPr>
        <w:t>Reflecting on the Past and Looking toward the Future: An Introduction to the 75th Anniversary Special Issue</w:t>
      </w:r>
    </w:p>
    <w:p>
      <w:r>
        <w:rPr>
          <w:rFonts w:ascii="Times New Roman" w:hAnsi="Times New Roman" w:eastAsia="宋体"/>
          <w:b w:val="0"/>
          <w:i w:val="0"/>
          <w:color w:val="595959"/>
          <w:sz w:val="18"/>
        </w:rPr>
        <w:t>Grigore Pop-Eleches</w:t>
      </w:r>
    </w:p>
    <w:p>
      <w:r>
        <w:rPr>
          <w:rFonts w:ascii="Times New Roman" w:hAnsi="Times New Roman" w:eastAsia="宋体"/>
          <w:b w:val="0"/>
          <w:i w:val="0"/>
          <w:sz w:val="22"/>
        </w:rPr>
        <w:t>摘要：【摘译】导言回顾期刊七十五年的学术轨迹，强调以多元方法回答国内与国际政治重要理论问题，并概述特刊十八篇文章的主题与论点。</w:t>
      </w:r>
    </w:p>
    <w:p>
      <w:r>
        <w:rPr>
          <w:rFonts w:ascii="Times New Roman" w:hAnsi="Times New Roman" w:eastAsia="宋体"/>
          <w:b w:val="0"/>
          <w:i w:val="0"/>
          <w:sz w:val="20"/>
        </w:rPr>
        <w:t>abstract: This introductory essay to the 75th anniversary special issue of World Politics reflects on the intellectual trajectory of the journal in the context of the changes and continuities in the international political context over the last three quarters of a century. The essay highlights the journal's continued emphasis on asking important theoretical questions about domestic and international politics and on answering those questions with diverse methods. The last part of the essay provides a brief overview of the themes and arguments covered by the eighteen contributions to the special issue.</w:t>
      </w:r>
    </w:p>
    <w:p/>
    <w:p>
      <w:r>
        <w:rPr>
          <w:rFonts w:ascii="Times New Roman" w:hAnsi="Times New Roman" w:eastAsia="宋体"/>
          <w:b/>
          <w:i w:val="0"/>
          <w:sz w:val="22"/>
        </w:rPr>
        <w:t>WP： Vol. 77, No. 1, 2025</w:t>
      </w:r>
    </w:p>
    <w:p/>
    <w:p>
      <w:r>
        <w:rPr>
          <w:rFonts w:ascii="Times New Roman" w:hAnsi="Times New Roman" w:eastAsia="黑体"/>
          <w:b/>
          <w:i w:val="0"/>
          <w:sz w:val="24"/>
        </w:rPr>
        <w:t>设计政治秩序</w:t>
      </w:r>
    </w:p>
    <w:p>
      <w:r>
        <w:rPr>
          <w:rFonts w:ascii="Times New Roman" w:hAnsi="Times New Roman" w:eastAsia="宋体"/>
          <w:b w:val="0"/>
          <w:i/>
          <w:color w:val="404040"/>
          <w:sz w:val="20"/>
        </w:rPr>
        <w:t>Designing Political Order</w:t>
      </w:r>
    </w:p>
    <w:p>
      <w:r>
        <w:rPr>
          <w:rFonts w:ascii="Times New Roman" w:hAnsi="Times New Roman" w:eastAsia="宋体"/>
          <w:b w:val="0"/>
          <w:i w:val="0"/>
          <w:color w:val="595959"/>
          <w:sz w:val="18"/>
        </w:rPr>
        <w:t>Scott F Abramson；Emiel Awad；Brenton Kenkel</w:t>
      </w:r>
    </w:p>
    <w:p>
      <w:r>
        <w:rPr>
          <w:rFonts w:ascii="Times New Roman" w:hAnsi="Times New Roman" w:eastAsia="宋体"/>
          <w:b w:val="0"/>
          <w:i w:val="0"/>
          <w:sz w:val="22"/>
        </w:rPr>
        <w:t>摘要：【摘译】形式模型表明，凡能以暴力垄断建立和平秩序之处，也能建立多个行为体保留强制能力的和平秩序，且后者通常需要更少的强制投资，这削弱了“垄断性国内政治天然比竞争性国际体系更有效率”的观念；低效的暴力垄断之所以持续，是因为个体作为垄断者时收益最大。</w:t>
      </w:r>
    </w:p>
    <w:p>
      <w:r>
        <w:rPr>
          <w:rFonts w:ascii="Times New Roman" w:hAnsi="Times New Roman" w:eastAsia="宋体"/>
          <w:b w:val="0"/>
          <w:i w:val="0"/>
          <w:sz w:val="20"/>
        </w:rPr>
        <w:t>abstract: Social scientists and political philosophers believe that the existence of a sovereign agent endowed with a monopoly of coercive force is the foundation of political order. In this article, the authors develop a formal model of anarchic competition and show that whenever it is possible to construct a peaceful political order based on a monopoly of force, it is also possible to construct one in which multiple agents maintain coercive abilities. What is more, the authors show that peaceful orders with multiple violence specialists generally require lower coercive investments than do peaceful orders with a single violence specialist. This result undercuts the notion that monopolistic domestic politics is inherently more efficient than the competitive international system. Nevertheless, the authors identify why inefficient monopolies of violence might persist—any individual agent's payoff is maximized when she serves as a monopolist who invests more in coercion than is strictly necessary to maintain peace.</w:t>
      </w:r>
    </w:p>
    <w:p/>
    <w:p>
      <w:r>
        <w:rPr>
          <w:rFonts w:ascii="Times New Roman" w:hAnsi="Times New Roman" w:eastAsia="宋体"/>
          <w:b/>
          <w:i w:val="0"/>
          <w:sz w:val="22"/>
        </w:rPr>
        <w:t>WP： Vol. 77, No. 1S, 2025</w:t>
      </w:r>
    </w:p>
    <w:p/>
    <w:p>
      <w:r>
        <w:rPr>
          <w:rFonts w:ascii="Times New Roman" w:hAnsi="Times New Roman" w:eastAsia="黑体"/>
          <w:b/>
          <w:i w:val="0"/>
          <w:sz w:val="24"/>
        </w:rPr>
        <w:t>富裕民主国家的福利国家</w:t>
      </w:r>
    </w:p>
    <w:p>
      <w:r>
        <w:rPr>
          <w:rFonts w:ascii="Times New Roman" w:hAnsi="Times New Roman" w:eastAsia="宋体"/>
          <w:b w:val="0"/>
          <w:i/>
          <w:color w:val="404040"/>
          <w:sz w:val="20"/>
        </w:rPr>
        <w:t>Welfare States in Wealthy Democracies</w:t>
      </w:r>
    </w:p>
    <w:p>
      <w:r>
        <w:rPr>
          <w:rFonts w:ascii="Times New Roman" w:hAnsi="Times New Roman" w:eastAsia="宋体"/>
          <w:b w:val="0"/>
          <w:i w:val="0"/>
          <w:color w:val="595959"/>
          <w:sz w:val="18"/>
        </w:rPr>
        <w:t>Jane Gingrich</w:t>
      </w:r>
    </w:p>
    <w:p>
      <w:r>
        <w:rPr>
          <w:rFonts w:ascii="Times New Roman" w:hAnsi="Times New Roman" w:eastAsia="宋体"/>
          <w:b w:val="0"/>
          <w:i w:val="0"/>
          <w:sz w:val="22"/>
        </w:rPr>
        <w:t>摘要：【摘译】文章回顾战后福利国家研究，认为在民主韧性不确定的新时代需回到福利国家的强制功能、维护民主能力及维持政治支持弱点等老问题。</w:t>
      </w:r>
    </w:p>
    <w:p>
      <w:r>
        <w:rPr>
          <w:rFonts w:ascii="Times New Roman" w:hAnsi="Times New Roman" w:eastAsia="宋体"/>
          <w:b w:val="0"/>
          <w:i w:val="0"/>
          <w:sz w:val="20"/>
        </w:rPr>
        <w:t>abstract: The contemporary study of the welfare state began, along with World Politics , in the immediate postwar era, inspired by the near-collapse of democracy and the crucial role envisaged for public spending in stabilizing it after war. Over the following decades key scholarly questions focused on the normal welfare politics of the era—distributive politics, the effects of government policy on growth, and the capacity of social policies to create their own political constituencies. In a new era of more uncertain democratic resilience, we may need to return to older questions: of the coercive function of the welfare state, of its ability/inability to conserve democracy, and of the weaknesses of welfare policies to maintain political support.</w:t>
      </w:r>
    </w:p>
    <w:p/>
    <w:p>
      <w:r>
        <w:rPr>
          <w:rFonts w:ascii="Times New Roman" w:hAnsi="Times New Roman" w:eastAsia="黑体"/>
          <w:b/>
          <w:i w:val="0"/>
          <w:sz w:val="24"/>
        </w:rPr>
        <w:t>自由民主国家不平等与再分配的比较政治</w:t>
      </w:r>
    </w:p>
    <w:p>
      <w:r>
        <w:rPr>
          <w:rFonts w:ascii="Times New Roman" w:hAnsi="Times New Roman" w:eastAsia="宋体"/>
          <w:b w:val="0"/>
          <w:i/>
          <w:color w:val="404040"/>
          <w:sz w:val="20"/>
        </w:rPr>
        <w:t>The Comparative Politics of Inequality and Redistribution in Liberal Democracies</w:t>
      </w:r>
    </w:p>
    <w:p>
      <w:r>
        <w:rPr>
          <w:rFonts w:ascii="Times New Roman" w:hAnsi="Times New Roman" w:eastAsia="宋体"/>
          <w:b w:val="0"/>
          <w:i w:val="0"/>
          <w:color w:val="595959"/>
          <w:sz w:val="18"/>
        </w:rPr>
        <w:t>Jonas Pontusson</w:t>
      </w:r>
    </w:p>
    <w:p>
      <w:r>
        <w:rPr>
          <w:rFonts w:ascii="Times New Roman" w:hAnsi="Times New Roman" w:eastAsia="宋体"/>
          <w:b w:val="0"/>
          <w:i w:val="0"/>
          <w:sz w:val="22"/>
        </w:rPr>
        <w:t>摘要：【摘译】综述认为解释政府未能补偿不平等上升，需整合需求侧与供给侧，并把政策回应中的收入偏向视为随国家与时间变化的变量。</w:t>
      </w:r>
    </w:p>
    <w:p>
      <w:r>
        <w:rPr>
          <w:rFonts w:ascii="Times New Roman" w:hAnsi="Times New Roman" w:eastAsia="宋体"/>
          <w:b w:val="0"/>
          <w:i w:val="0"/>
          <w:sz w:val="20"/>
        </w:rPr>
        <w:t>abstract: Reviewing the debate on why governments have failed to compensate low- and middle-income citizens for rising income inequality, this essay argues for a perspective that integrates demand-side and supply-side considerations and treats income bias in policy responsiveness as variable across countries and over time.</w:t>
      </w:r>
    </w:p>
    <w:p/>
    <w:p>
      <w:r>
        <w:rPr>
          <w:rFonts w:ascii="Times New Roman" w:hAnsi="Times New Roman" w:eastAsia="宋体"/>
          <w:b/>
          <w:i w:val="0"/>
          <w:sz w:val="22"/>
        </w:rPr>
        <w:t>WP： Vol. 77, No. 1, 2025</w:t>
      </w:r>
    </w:p>
    <w:p/>
    <w:p>
      <w:r>
        <w:rPr>
          <w:rFonts w:ascii="Times New Roman" w:hAnsi="Times New Roman" w:eastAsia="黑体"/>
          <w:b/>
          <w:i w:val="0"/>
          <w:sz w:val="24"/>
        </w:rPr>
        <w:t>国家为何私有化或不私有化：公共部门的跨阶级联盟</w:t>
      </w:r>
    </w:p>
    <w:p>
      <w:r>
        <w:rPr>
          <w:rFonts w:ascii="Times New Roman" w:hAnsi="Times New Roman" w:eastAsia="宋体"/>
          <w:b w:val="0"/>
          <w:i/>
          <w:color w:val="404040"/>
          <w:sz w:val="20"/>
        </w:rPr>
        <w:t>Why States Do or Do Not Privatize: Cross-Class Coalitions in the Public Sector</w:t>
      </w:r>
    </w:p>
    <w:p>
      <w:r>
        <w:rPr>
          <w:rFonts w:ascii="Times New Roman" w:hAnsi="Times New Roman" w:eastAsia="宋体"/>
          <w:b w:val="0"/>
          <w:i w:val="0"/>
          <w:color w:val="595959"/>
          <w:sz w:val="18"/>
        </w:rPr>
        <w:t>Isabel M. Perera；Trevor E. Brown</w:t>
      </w:r>
    </w:p>
    <w:p>
      <w:r>
        <w:rPr>
          <w:rFonts w:ascii="Times New Roman" w:hAnsi="Times New Roman" w:eastAsia="宋体"/>
          <w:b w:val="0"/>
          <w:i w:val="0"/>
          <w:sz w:val="22"/>
        </w:rPr>
        <w:t>摘要：【摘译】作者认为公共部门劳资利益一致时公共服务较少私有化；比较1980—90年代美、英、新西兰客运铁路私有化，揭示劳资跨阶级联盟的作用。</w:t>
      </w:r>
    </w:p>
    <w:p>
      <w:r>
        <w:rPr>
          <w:rFonts w:ascii="Times New Roman" w:hAnsi="Times New Roman" w:eastAsia="宋体"/>
          <w:b w:val="0"/>
          <w:i w:val="0"/>
          <w:sz w:val="20"/>
        </w:rPr>
        <w:t>abstract: When do public services privatize, and when do they remain in the public's hands? The authors argue that one explanation lies in a counterintuitive coalition: labor and management. Unlike industrial relations in the private sector, those in the public sector are not necessarily antagonistic. When the interests of public sector workers and managers—the latter defined as those with supervisory responsibilities—are aligned, public services are less likely to privatize. Conversely, when the interests of workers and managers are not aligned, privatization is more likely. To test and substantiate this theory, the authors deploy a most-similar systems comparison of three case studies, focusing on efforts to privatize public passenger rail in the United States, United Kingdom, and New Zealand at the onset of the privatization era in the 1980s and 1990s. This article hence contributes to the study of state privatization, cross-class coalitions, and public sector reform in affluent economies.</w:t>
      </w:r>
    </w:p>
    <w:p/>
    <w:p>
      <w:r>
        <w:rPr>
          <w:rFonts w:ascii="Times New Roman" w:hAnsi="Times New Roman" w:eastAsia="宋体"/>
          <w:b/>
          <w:i w:val="0"/>
          <w:sz w:val="22"/>
        </w:rPr>
        <w:t>WP： Vol. 77, No. 1S, 2025</w:t>
      </w:r>
    </w:p>
    <w:p/>
    <w:p>
      <w:r>
        <w:rPr>
          <w:rFonts w:ascii="Times New Roman" w:hAnsi="Times New Roman" w:eastAsia="黑体"/>
          <w:b/>
          <w:i w:val="0"/>
          <w:sz w:val="24"/>
        </w:rPr>
        <w:t>放出了怪物？发达资本主义民主国家知识经济的原因与后果</w:t>
      </w:r>
    </w:p>
    <w:p>
      <w:r>
        <w:rPr>
          <w:rFonts w:ascii="Times New Roman" w:hAnsi="Times New Roman" w:eastAsia="宋体"/>
          <w:b w:val="0"/>
          <w:i/>
          <w:color w:val="404040"/>
          <w:sz w:val="20"/>
        </w:rPr>
        <w:t>Unleashing a Monster? Causes and Consequences of the Knowledge Economy in Advanced Capitalist Democracies</w:t>
      </w:r>
    </w:p>
    <w:p>
      <w:r>
        <w:rPr>
          <w:rFonts w:ascii="Times New Roman" w:hAnsi="Times New Roman" w:eastAsia="宋体"/>
          <w:b w:val="0"/>
          <w:i w:val="0"/>
          <w:color w:val="595959"/>
          <w:sz w:val="18"/>
        </w:rPr>
        <w:t>Torben Iversen</w:t>
      </w:r>
    </w:p>
    <w:p>
      <w:r>
        <w:rPr>
          <w:rFonts w:ascii="Times New Roman" w:hAnsi="Times New Roman" w:eastAsia="宋体"/>
          <w:b w:val="0"/>
          <w:i w:val="0"/>
          <w:sz w:val="22"/>
        </w:rPr>
        <w:t>摘要：【摘译】作者反对“资本主义颠覆民主”的叙事，认为是民主改造了资本主义并奠定空前繁荣的知识经济，但也释放了难以逆转的不平等经济与政治动态。</w:t>
      </w:r>
    </w:p>
    <w:p>
      <w:r>
        <w:rPr>
          <w:rFonts w:ascii="Times New Roman" w:hAnsi="Times New Roman" w:eastAsia="宋体"/>
          <w:b w:val="0"/>
          <w:i w:val="0"/>
          <w:sz w:val="20"/>
        </w:rPr>
        <w:t>abstract: The rise of economic inequality and right-wing populism in the last three decades has produced a lively debate about the relationship between democracy and advanced capitalism. A prominent view is that the troubles are rooted in the growing power of global capital and the rich, first reflected in the broad sweep of neoliberal reforms in the 1980s and '90s. This view is a story about capitalism subverting democracy. This piece instead argues that it was democracy that transformed capitalism, and that this transformation laid the foundation for unprecedented prosperity. Yet it also unleashed inequalizing economic and political dynamics that are now proving difficult to reverse.</w:t>
      </w:r>
    </w:p>
    <w:p/>
    <w:p>
      <w:r>
        <w:rPr>
          <w:rFonts w:ascii="Times New Roman" w:hAnsi="Times New Roman" w:eastAsia="黑体"/>
          <w:b/>
          <w:i w:val="0"/>
          <w:sz w:val="24"/>
        </w:rPr>
        <w:t>适应性政治经济学：迈向新范式</w:t>
      </w:r>
    </w:p>
    <w:p>
      <w:r>
        <w:rPr>
          <w:rFonts w:ascii="Times New Roman" w:hAnsi="Times New Roman" w:eastAsia="宋体"/>
          <w:b w:val="0"/>
          <w:i/>
          <w:color w:val="404040"/>
          <w:sz w:val="20"/>
        </w:rPr>
        <w:t>Adaptive Political Economy: Toward a New Paradigm</w:t>
      </w:r>
    </w:p>
    <w:p>
      <w:r>
        <w:rPr>
          <w:rFonts w:ascii="Times New Roman" w:hAnsi="Times New Roman" w:eastAsia="宋体"/>
          <w:b w:val="0"/>
          <w:i w:val="0"/>
          <w:color w:val="595959"/>
          <w:sz w:val="18"/>
        </w:rPr>
        <w:t>Yuen Yuen Ang</w:t>
      </w:r>
    </w:p>
    <w:p>
      <w:r>
        <w:rPr>
          <w:rFonts w:ascii="Times New Roman" w:hAnsi="Times New Roman" w:eastAsia="宋体"/>
          <w:b w:val="0"/>
          <w:i w:val="0"/>
          <w:sz w:val="22"/>
        </w:rPr>
        <w:t>摘要：传统政治经济学范式常将有生命的、复杂的适应性社会系统视为机器式对象，导致政治经济学家以机械模型过度简化宏大复杂的社会过程或干脆忽略，在发展研究中造成理论死胡同、琐碎议程或失败的公共政策。本文提出替代范式“适应性政治经济学”：承认社会系统是复杂而非繁杂的；复杂性可以是有序的；社会科学家应发展概念、方法与理论来阐明复杂性的秩序而非过度简化。作者以描绘经济与制度变迁的共同演化为例说明其应用，得出机械线性发展模型所遗漏的重要结论，包括“市场建设型制度”与“市场维持型制度”在形态与功能上不同。</w:t>
      </w:r>
    </w:p>
    <w:p>
      <w:r>
        <w:rPr>
          <w:rFonts w:ascii="Times New Roman" w:hAnsi="Times New Roman" w:eastAsia="宋体"/>
          <w:b w:val="0"/>
          <w:i w:val="0"/>
          <w:sz w:val="20"/>
        </w:rPr>
        <w:t>abstract: The conventional paradigm in political economy routinely treats living, complex, adaptive social systems as machine-like objects. This treatment has driven political economists to oversimplify big, complex social processes using mechanical models, or to ignore them altogether. In development, this has led to theoretical dead ends, trivial agendas, or failed public policies. This article proposes an alternative paradigm: adaptive political economy. It recognizes that social systems are complex, not complicated; complexity can be ordered, not messy; and social scientists should be developing the concepts, methods, and theories to illuminate the order of complexity, rather than oversimplifying it. The author illustrates one application of adaptive political economy by mapping the coevolution of economic and institutional change. This approach yields fresh, important conclusions that mechanical, linear models of development have missed, including that market-building institutions look and function differently from market-sustaining ones.</w:t>
      </w:r>
    </w:p>
    <w:p/>
    <w:p>
      <w:r>
        <w:rPr>
          <w:rFonts w:ascii="Times New Roman" w:hAnsi="Times New Roman" w:eastAsia="黑体"/>
          <w:b/>
          <w:i w:val="0"/>
          <w:sz w:val="24"/>
        </w:rPr>
        <w:t>民主与经济增长：理论争论与实证贡献</w:t>
      </w:r>
    </w:p>
    <w:p>
      <w:r>
        <w:rPr>
          <w:rFonts w:ascii="Times New Roman" w:hAnsi="Times New Roman" w:eastAsia="宋体"/>
          <w:b w:val="0"/>
          <w:i/>
          <w:color w:val="404040"/>
          <w:sz w:val="20"/>
        </w:rPr>
        <w:t>Democracy and Economic Growth: Theoretical Debates and Empirical Contributions</w:t>
      </w:r>
    </w:p>
    <w:p>
      <w:r>
        <w:rPr>
          <w:rFonts w:ascii="Times New Roman" w:hAnsi="Times New Roman" w:eastAsia="宋体"/>
          <w:b w:val="0"/>
          <w:i w:val="0"/>
          <w:color w:val="595959"/>
          <w:sz w:val="18"/>
        </w:rPr>
        <w:t>Joel W. Simmons</w:t>
      </w:r>
    </w:p>
    <w:p>
      <w:r>
        <w:rPr>
          <w:rFonts w:ascii="Times New Roman" w:hAnsi="Times New Roman" w:eastAsia="宋体"/>
          <w:b w:val="0"/>
          <w:i w:val="0"/>
          <w:sz w:val="22"/>
        </w:rPr>
        <w:t>摘要：【摘译】简要回顾民主促进还是阻碍增长的理论与实证文献，并提出未来可能富有成果的研究方向。</w:t>
      </w:r>
    </w:p>
    <w:p>
      <w:r>
        <w:rPr>
          <w:rFonts w:ascii="Times New Roman" w:hAnsi="Times New Roman" w:eastAsia="宋体"/>
          <w:b w:val="0"/>
          <w:i w:val="0"/>
          <w:sz w:val="20"/>
        </w:rPr>
        <w:t>abstract: Is democracy a boon for economic growth or a hindrance? This brief essay reviews the theoretical and empirical contributions to this age-old question and highlights some potentially fruitful avenues for future research.</w:t>
      </w:r>
    </w:p>
    <w:p/>
    <w:p>
      <w:r>
        <w:rPr>
          <w:rFonts w:ascii="Times New Roman" w:hAnsi="Times New Roman" w:eastAsia="宋体"/>
          <w:b/>
          <w:i w:val="0"/>
          <w:sz w:val="22"/>
        </w:rPr>
        <w:t>WP： Vol. 77, No. 1, 2025</w:t>
      </w:r>
    </w:p>
    <w:p/>
    <w:p>
      <w:r>
        <w:rPr>
          <w:rFonts w:ascii="Times New Roman" w:hAnsi="Times New Roman" w:eastAsia="黑体"/>
          <w:b/>
          <w:i w:val="0"/>
          <w:sz w:val="24"/>
        </w:rPr>
        <w:t>后共产主义民主国家的总理与政党体系稳定</w:t>
      </w:r>
    </w:p>
    <w:p>
      <w:r>
        <w:rPr>
          <w:rFonts w:ascii="Times New Roman" w:hAnsi="Times New Roman" w:eastAsia="宋体"/>
          <w:b w:val="0"/>
          <w:i/>
          <w:color w:val="404040"/>
          <w:sz w:val="20"/>
        </w:rPr>
        <w:t>Prime Ministers and Party System Stability in Postcommunist Democracies</w:t>
      </w:r>
    </w:p>
    <w:p>
      <w:r>
        <w:rPr>
          <w:rFonts w:ascii="Times New Roman" w:hAnsi="Times New Roman" w:eastAsia="宋体"/>
          <w:b w:val="0"/>
          <w:i w:val="0"/>
          <w:color w:val="595959"/>
          <w:sz w:val="18"/>
        </w:rPr>
        <w:t>Florian Grotz；Till Weber</w:t>
      </w:r>
    </w:p>
    <w:p>
      <w:r>
        <w:rPr>
          <w:rFonts w:ascii="Times New Roman" w:hAnsi="Times New Roman" w:eastAsia="宋体"/>
          <w:b w:val="0"/>
          <w:i w:val="0"/>
          <w:sz w:val="22"/>
        </w:rPr>
        <w:t>摘要：【摘译】基于11国129届内阁总理表现数据，作者发现首席行政官的能动性影响执政党连任与新政党崛起，对体系内波动的影响即时、对体系外波动的影响随时间显现。</w:t>
      </w:r>
    </w:p>
    <w:p>
      <w:r>
        <w:rPr>
          <w:rFonts w:ascii="Times New Roman" w:hAnsi="Times New Roman" w:eastAsia="宋体"/>
          <w:b w:val="0"/>
          <w:i w:val="0"/>
          <w:sz w:val="20"/>
        </w:rPr>
        <w:t>abstract: A stable party system is central to making democratic accountability work. Challenges arise from high electoral volatility, reflecting large vote shifts among established parties (within-system) or equally large shifts to new parties (extra-system). Though intriguing patterns of volatility often defy structural and institutional explanations, political agency may be critical for stabilizing party systems, especially in new democracies—or for undermining their consolidation. The authors explore this new theoretical perspective by investigating how prime ministers affect volatility in the paradigmatic case of postcommunist Central and Eastern Europe. Building on a unique data set of prime-ministerial performance in 129 cabinets in eleven countries, quantitative and qualitative analyses demonstrate how agency in the chief executive office shapes the reelection of government parties and the rise of new contenders. Whereas the effect on within-system volatility is immediate, effects on extra-system volatility unfold over time. Hence, executive leadership is key to understanding the dynamics of party-system stability and democratic accountability.</w:t>
      </w:r>
    </w:p>
    <w:p/>
    <w:p>
      <w:r>
        <w:rPr>
          <w:rFonts w:ascii="Times New Roman" w:hAnsi="Times New Roman" w:eastAsia="宋体"/>
          <w:b/>
          <w:i w:val="0"/>
          <w:sz w:val="22"/>
        </w:rPr>
        <w:t>WP： Vol. 77, No. 1S, 2025</w:t>
      </w:r>
    </w:p>
    <w:p/>
    <w:p>
      <w:r>
        <w:rPr>
          <w:rFonts w:ascii="Times New Roman" w:hAnsi="Times New Roman" w:eastAsia="黑体"/>
          <w:b/>
          <w:i w:val="0"/>
          <w:sz w:val="24"/>
        </w:rPr>
        <w:t>土地/劳动比、公民身份与移民：移民体制政治经济学中的隐秘联系</w:t>
      </w:r>
    </w:p>
    <w:p>
      <w:r>
        <w:rPr>
          <w:rFonts w:ascii="Times New Roman" w:hAnsi="Times New Roman" w:eastAsia="宋体"/>
          <w:b w:val="0"/>
          <w:i/>
          <w:color w:val="404040"/>
          <w:sz w:val="20"/>
        </w:rPr>
        <w:t>Land/Labor Ratios, Citizenship, and Migrants: Exploring the Hidden Links in the Political Economy of Immigration Regimes</w:t>
      </w:r>
    </w:p>
    <w:p>
      <w:r>
        <w:rPr>
          <w:rFonts w:ascii="Times New Roman" w:hAnsi="Times New Roman" w:eastAsia="宋体"/>
          <w:b w:val="0"/>
          <w:i w:val="0"/>
          <w:color w:val="595959"/>
          <w:sz w:val="18"/>
        </w:rPr>
        <w:t>Melle Scholten；David Leblang</w:t>
      </w:r>
    </w:p>
    <w:p>
      <w:r>
        <w:rPr>
          <w:rFonts w:ascii="Times New Roman" w:hAnsi="Times New Roman" w:eastAsia="宋体"/>
          <w:b w:val="0"/>
          <w:i w:val="0"/>
          <w:sz w:val="22"/>
        </w:rPr>
        <w:t>摘要：【摘译】作者将移民视为流动劳动力，认为土地/劳动比高、精英受益于劳动供给增加的国家更可能采用吸引移民的政策，如宽松入籍与出生地公民权，并给出统计证据。</w:t>
      </w:r>
    </w:p>
    <w:p>
      <w:r>
        <w:rPr>
          <w:rFonts w:ascii="Times New Roman" w:hAnsi="Times New Roman" w:eastAsia="宋体"/>
          <w:b w:val="0"/>
          <w:i w:val="0"/>
          <w:sz w:val="20"/>
        </w:rPr>
        <w:t>abstract: Within sovereign states citizenship is arguably the most important political marker of in- and outsiders. As a result, questions about who gets to reap the benefits of citizenship often result in distributional conflict. This conflict becomes inflamed when a country goes through a period of significant inward migration. Given that citizenship is so important and so contentious, from where do the rules governing its acquisition come? Our starting point is the acknowledgment that migrants are mobile labor. From this perspective, countries in which elites benefit from an increased supply of productive labor—that is, those with high land/labor ratios—will be more likely to adopt policies that attract migrants, such as easier naturalization rules, including birthright citizenship. We illustrate the plausibility of our argument with some statistical evidence and suggest some avenues to further explore this crucial question.</w:t>
      </w:r>
    </w:p>
    <w:p/>
    <w:p>
      <w:r>
        <w:rPr>
          <w:rFonts w:ascii="Times New Roman" w:hAnsi="Times New Roman" w:eastAsia="黑体"/>
          <w:b/>
          <w:i w:val="0"/>
          <w:sz w:val="24"/>
        </w:rPr>
        <w:t>相互确保扰乱：全球化、安全与脱钩的危险</w:t>
      </w:r>
    </w:p>
    <w:p>
      <w:r>
        <w:rPr>
          <w:rFonts w:ascii="Times New Roman" w:hAnsi="Times New Roman" w:eastAsia="宋体"/>
          <w:b w:val="0"/>
          <w:i/>
          <w:color w:val="404040"/>
          <w:sz w:val="20"/>
        </w:rPr>
        <w:t>Mutually Assured Disruption: Globalization, Security, and the Dangers of Decoupling</w:t>
      </w:r>
    </w:p>
    <w:p>
      <w:r>
        <w:rPr>
          <w:rFonts w:ascii="Times New Roman" w:hAnsi="Times New Roman" w:eastAsia="宋体"/>
          <w:b w:val="0"/>
          <w:i w:val="0"/>
          <w:color w:val="595959"/>
          <w:sz w:val="18"/>
        </w:rPr>
        <w:t>Thomas J. Christensen</w:t>
      </w:r>
    </w:p>
    <w:p>
      <w:r>
        <w:rPr>
          <w:rFonts w:ascii="Times New Roman" w:hAnsi="Times New Roman" w:eastAsia="宋体"/>
          <w:b w:val="0"/>
          <w:i w:val="0"/>
          <w:sz w:val="22"/>
        </w:rPr>
        <w:t>摘要：过去几十年亚太跨国生产的演进是一种和平力量。全球化批评者和中美经济脱钩支持者所倡导的政策不仅会损害全球经济，还会增加军事冲突的可能性。本文聚焦中美经济接触与东亚区域经济一体化的国家安全收益，认为保护国家安全、增强供应链韧性的政府干预是必要的，但应限定范围，避免从根本上损害促进增长、有助于威慑战争的复杂经济相互依赖。</w:t>
      </w:r>
    </w:p>
    <w:p>
      <w:r>
        <w:rPr>
          <w:rFonts w:ascii="Times New Roman" w:hAnsi="Times New Roman" w:eastAsia="宋体"/>
          <w:b w:val="0"/>
          <w:i w:val="0"/>
          <w:sz w:val="20"/>
        </w:rPr>
        <w:t>abstract: The evolution of transnational production in the Asia-Pacific over the past few decades has been a force for peace. Critics of globalization and proponents of US-China economic decoupling advocate policies that would not only harm the global economy but would increase the likelihood of military conflict. This article focuses on the national security benefits of US-China economic engagement and the regional economic integration of East Asia. Government interventions to protect national security and build more resilience in supply chains are needed but should be limited in scope so as to avoid fundamental damage to the complex economic interdependence that has fostered growth and helped to deter war.</w:t>
      </w:r>
    </w:p>
    <w:p/>
    <w:p>
      <w:r>
        <w:rPr>
          <w:rFonts w:ascii="Times New Roman" w:hAnsi="Times New Roman" w:eastAsia="黑体"/>
          <w:b/>
          <w:i w:val="0"/>
          <w:sz w:val="24"/>
        </w:rPr>
        <w:t>国际制度的社会情境</w:t>
      </w:r>
    </w:p>
    <w:p>
      <w:r>
        <w:rPr>
          <w:rFonts w:ascii="Times New Roman" w:hAnsi="Times New Roman" w:eastAsia="宋体"/>
          <w:b w:val="0"/>
          <w:i/>
          <w:color w:val="404040"/>
          <w:sz w:val="20"/>
        </w:rPr>
        <w:t>The Social Context of International Institutions</w:t>
      </w:r>
    </w:p>
    <w:p>
      <w:r>
        <w:rPr>
          <w:rFonts w:ascii="Times New Roman" w:hAnsi="Times New Roman" w:eastAsia="宋体"/>
          <w:b w:val="0"/>
          <w:i w:val="0"/>
          <w:color w:val="595959"/>
          <w:sz w:val="18"/>
        </w:rPr>
        <w:t>Christina L. Davis</w:t>
      </w:r>
    </w:p>
    <w:p>
      <w:r>
        <w:rPr>
          <w:rFonts w:ascii="Times New Roman" w:hAnsi="Times New Roman" w:eastAsia="宋体"/>
          <w:b w:val="0"/>
          <w:i w:val="0"/>
          <w:sz w:val="22"/>
        </w:rPr>
        <w:t>摘要：国家间关系的社会情境为国际制度内的合作提供基础。与关注契约理性设计和制度功能需求的理论不同，学者日益强调地缘政治：作为权力的组成部分与社会情境，地缘政治塑造多边合作。本文考察将合作视为嵌入国际社会之过程的新理论视角，突出在实证分析中纳入关系性变量、测量国家间地缘政治一致如何影响国际制度设计与有效性的创新进展。支撑多边合作的关系政治也促成了制度扩散，因为国家会建立新的合作俱乐部。</w:t>
      </w:r>
    </w:p>
    <w:p>
      <w:r>
        <w:rPr>
          <w:rFonts w:ascii="Times New Roman" w:hAnsi="Times New Roman" w:eastAsia="宋体"/>
          <w:b w:val="0"/>
          <w:i w:val="0"/>
          <w:sz w:val="20"/>
        </w:rPr>
        <w:t>abstract: The social context of relations between states provides the foundation for cooperation within international institutions. In a departure from theories that focus on rational design of contracts and functional demand for institutions, increasingly scholars emphasize geopolitics. Both as a component of power and social context, geopolitics shapes multilateral cooperation. This article examines theories that bring new perspectives on cooperation as a process embedded within international society. It highlights innovative developments to include relational variables in empirical analysis to measure how geopolitical alignment between states impacts the design and effectiveness of international institutions. The relational politics that undergird multilateral cooperation also contribute to the proliferation of institutions as states build new clubs for cooperation.</w:t>
      </w:r>
    </w:p>
    <w:p/>
    <w:p>
      <w:r>
        <w:rPr>
          <w:rFonts w:ascii="Times New Roman" w:hAnsi="Times New Roman" w:eastAsia="宋体"/>
          <w:b/>
          <w:i w:val="0"/>
          <w:sz w:val="22"/>
        </w:rPr>
        <w:t>WP： Vol. 77, No. 1, 2025</w:t>
      </w:r>
    </w:p>
    <w:p/>
    <w:p>
      <w:r>
        <w:rPr>
          <w:rFonts w:ascii="Times New Roman" w:hAnsi="Times New Roman" w:eastAsia="黑体"/>
          <w:b/>
          <w:i w:val="0"/>
          <w:sz w:val="24"/>
        </w:rPr>
        <w:t>紧缩与侵略：政府对IMF条件性的回应</w:t>
      </w:r>
    </w:p>
    <w:p>
      <w:r>
        <w:rPr>
          <w:rFonts w:ascii="Times New Roman" w:hAnsi="Times New Roman" w:eastAsia="宋体"/>
          <w:b w:val="0"/>
          <w:i/>
          <w:color w:val="404040"/>
          <w:sz w:val="20"/>
        </w:rPr>
        <w:t>Austerity and Aggression: Government Responses to IMF Conditionality</w:t>
      </w:r>
    </w:p>
    <w:p>
      <w:r>
        <w:rPr>
          <w:rFonts w:ascii="Times New Roman" w:hAnsi="Times New Roman" w:eastAsia="宋体"/>
          <w:b w:val="0"/>
          <w:i w:val="0"/>
          <w:color w:val="595959"/>
          <w:sz w:val="18"/>
        </w:rPr>
        <w:t>Richard Clark；Anna M. Meyerrose</w:t>
      </w:r>
    </w:p>
    <w:p>
      <w:r>
        <w:rPr>
          <w:rFonts w:ascii="Times New Roman" w:hAnsi="Times New Roman" w:eastAsia="宋体"/>
          <w:b w:val="0"/>
          <w:i w:val="0"/>
          <w:sz w:val="22"/>
        </w:rPr>
        <w:t>摘要：【摘译】作者认为接受IMF条件性的借款国领导人会以安全化话语和低成本国际摩擦转移对经济问题的注意力；执政党纲领文本分析与国家间争端回归支持这一观点。</w:t>
      </w:r>
    </w:p>
    <w:p>
      <w:r>
        <w:rPr>
          <w:rFonts w:ascii="Times New Roman" w:hAnsi="Times New Roman" w:eastAsia="宋体"/>
          <w:b w:val="0"/>
          <w:i w:val="0"/>
          <w:sz w:val="20"/>
        </w:rPr>
        <w:t>abstract: The International Monetary Fund (imf) offers countries emergency financial support in exchange for the implementation of stringent policy conditions that often cause political and economic upheaval in target states. How do leaders in borrower countries respond to the backlash from publics and elites that often emerges in these cases? The authors argue that leaders seek to divert attention from economic issues under imf conditionality by employing security-oriented rhetoric and sparking low-cost skirmishes internationally. Such diversionary tactics may help leaders to skirt blame for the short-term economic costs of imf-imposed structural adjustment by driving a rally-around-the-flag effect. The authors pair text analysis of ruling party manifestos with regression analysis of the relationship between imf conditionality and the initiation of interstate disputes and find support for their argument.</w:t>
      </w:r>
    </w:p>
    <w:p/>
    <w:p>
      <w:r>
        <w:rPr>
          <w:rFonts w:ascii="Times New Roman" w:hAnsi="Times New Roman" w:eastAsia="宋体"/>
          <w:b/>
          <w:i w:val="0"/>
          <w:sz w:val="22"/>
        </w:rPr>
        <w:t>WP： Vol. 77, No. 1S, 2025</w:t>
      </w:r>
    </w:p>
    <w:p/>
    <w:p>
      <w:r>
        <w:rPr>
          <w:rFonts w:ascii="Times New Roman" w:hAnsi="Times New Roman" w:eastAsia="黑体"/>
          <w:b/>
          <w:i w:val="0"/>
          <w:sz w:val="24"/>
        </w:rPr>
        <w:t>全球治理：经济不平等与虚假信息的双重挑战</w:t>
      </w:r>
    </w:p>
    <w:p>
      <w:r>
        <w:rPr>
          <w:rFonts w:ascii="Times New Roman" w:hAnsi="Times New Roman" w:eastAsia="宋体"/>
          <w:b w:val="0"/>
          <w:i/>
          <w:color w:val="404040"/>
          <w:sz w:val="20"/>
        </w:rPr>
        <w:t>Global Governance: The Twin Challenges of Economic Inequality and Disinformation</w:t>
      </w:r>
    </w:p>
    <w:p>
      <w:r>
        <w:rPr>
          <w:rFonts w:ascii="Times New Roman" w:hAnsi="Times New Roman" w:eastAsia="宋体"/>
          <w:b w:val="0"/>
          <w:i w:val="0"/>
          <w:color w:val="595959"/>
          <w:sz w:val="18"/>
        </w:rPr>
        <w:t>Lisa L. Martin</w:t>
      </w:r>
    </w:p>
    <w:p>
      <w:r>
        <w:rPr>
          <w:rFonts w:ascii="Times New Roman" w:hAnsi="Times New Roman" w:eastAsia="宋体"/>
          <w:b w:val="0"/>
          <w:i w:val="0"/>
          <w:sz w:val="22"/>
        </w:rPr>
        <w:t>摘要：【摘译】现代国际互动由正式与非正式全球治理制度构建，多数属于自由国际秩序；这些制度受虚假信息挑战，而对虚假信息的需求又源于该秩序对国内经济不平等的忽视。</w:t>
      </w:r>
    </w:p>
    <w:p>
      <w:r>
        <w:rPr>
          <w:rFonts w:ascii="Times New Roman" w:hAnsi="Times New Roman" w:eastAsia="宋体"/>
          <w:b w:val="0"/>
          <w:i w:val="0"/>
          <w:sz w:val="20"/>
        </w:rPr>
        <w:t>abstract: Modern international interactions are structured by institutions of global governance, both formal and informal. Most of these institutions are encompassed by the liberal international order. Like domestic institutions, these international institutions are challenged by the prevalence and depth of disinformation. The demand for disinformation, in turn, has been fed by the order's lack of attention to growing domestic economic inequality. Disinformation and inequality thus present twin challenges to global governance.</w:t>
      </w:r>
    </w:p>
    <w:p/>
    <w:p>
      <w:r>
        <w:rPr>
          <w:rFonts w:ascii="Times New Roman" w:hAnsi="Times New Roman" w:eastAsia="黑体"/>
          <w:b/>
          <w:i w:val="0"/>
          <w:sz w:val="24"/>
        </w:rPr>
        <w:t>民主化的国际维度</w:t>
      </w:r>
    </w:p>
    <w:p>
      <w:r>
        <w:rPr>
          <w:rFonts w:ascii="Times New Roman" w:hAnsi="Times New Roman" w:eastAsia="宋体"/>
          <w:b w:val="0"/>
          <w:i/>
          <w:color w:val="404040"/>
          <w:sz w:val="20"/>
        </w:rPr>
        <w:t>International Dimensions of Democratization</w:t>
      </w:r>
    </w:p>
    <w:p>
      <w:r>
        <w:rPr>
          <w:rFonts w:ascii="Times New Roman" w:hAnsi="Times New Roman" w:eastAsia="宋体"/>
          <w:b w:val="0"/>
          <w:i w:val="0"/>
          <w:color w:val="595959"/>
          <w:sz w:val="18"/>
        </w:rPr>
        <w:t>Jon C.W. Pevehouse；Caileigh Glenn</w:t>
      </w:r>
    </w:p>
    <w:p>
      <w:r>
        <w:rPr>
          <w:rFonts w:ascii="Times New Roman" w:hAnsi="Times New Roman" w:eastAsia="宋体"/>
          <w:b w:val="0"/>
          <w:i w:val="0"/>
          <w:sz w:val="22"/>
        </w:rPr>
        <w:t>摘要：【摘译】综述国际因素影响民主化的机制与研究进展，指出冷战后乐观已转为对威权与民主倒退国际来源的担忧，呼吁整合国际因素与民主研究和威权、倒退研究。</w:t>
      </w:r>
    </w:p>
    <w:p>
      <w:r>
        <w:rPr>
          <w:rFonts w:ascii="Times New Roman" w:hAnsi="Times New Roman" w:eastAsia="宋体"/>
          <w:b w:val="0"/>
          <w:i w:val="0"/>
          <w:sz w:val="20"/>
        </w:rPr>
        <w:t>abstract: Since the 1970s, international influences on democratization have received increasing attention from scholars and policymakers. Scholars pointed to multiple mechanisms by which international factors could influence the transition to and the consolidation of democracy. While the arguments mostly pointed to positive influences, the optimism of the post–Cold War era have given way to concern about international sources of authoritarianism and democratic backsliding. The authors provide a framework for thinking about what we know about international forces and democratization, outlining several unanswered questions. Several research challenges remain, including how to best assess mechanisms linking international processes and actors to democracy (and democratization); while others concern threats to those democratic transitions via democratic backsliding. The article concludes by calling for more integration of existing theoretical frameworks on international factors and democracy with the current wave of research on authoritarianism and democratic backsliding.</w:t>
      </w:r>
    </w:p>
    <w:p/>
    <w:p>
      <w:r>
        <w:rPr>
          <w:rFonts w:ascii="Times New Roman" w:hAnsi="Times New Roman" w:eastAsia="黑体"/>
          <w:b/>
          <w:i w:val="0"/>
          <w:sz w:val="24"/>
        </w:rPr>
        <w:t>民主倒退、韧性与抵抗</w:t>
      </w:r>
    </w:p>
    <w:p>
      <w:r>
        <w:rPr>
          <w:rFonts w:ascii="Times New Roman" w:hAnsi="Times New Roman" w:eastAsia="宋体"/>
          <w:b w:val="0"/>
          <w:i/>
          <w:color w:val="404040"/>
          <w:sz w:val="20"/>
        </w:rPr>
        <w:t>Democratic Backsliding, Resilience, and Resistance</w:t>
      </w:r>
    </w:p>
    <w:p>
      <w:r>
        <w:rPr>
          <w:rFonts w:ascii="Times New Roman" w:hAnsi="Times New Roman" w:eastAsia="宋体"/>
          <w:b w:val="0"/>
          <w:i w:val="0"/>
          <w:color w:val="595959"/>
          <w:sz w:val="18"/>
        </w:rPr>
        <w:t>Rachel Beatty Riedl；Paul Friesen；Jennifer McCoy；Kenneth Roberts</w:t>
      </w:r>
    </w:p>
    <w:p>
      <w:r>
        <w:rPr>
          <w:rFonts w:ascii="Times New Roman" w:hAnsi="Times New Roman" w:eastAsia="宋体"/>
          <w:b w:val="0"/>
          <w:i w:val="0"/>
          <w:sz w:val="22"/>
        </w:rPr>
        <w:t>摘要：【摘译】文章就民主倒退的测量提出方法决策点，并讨论倒退路径、行为体、韧性来源与抵抗策略，强调政治能动性与制度杠杆共同决定政体结果，结果并不由发展水平预先决定。</w:t>
      </w:r>
    </w:p>
    <w:p>
      <w:r>
        <w:rPr>
          <w:rFonts w:ascii="Times New Roman" w:hAnsi="Times New Roman" w:eastAsia="宋体"/>
          <w:b w:val="0"/>
          <w:i w:val="0"/>
          <w:sz w:val="20"/>
        </w:rPr>
        <w:t>abstract: This article assesses two next-level questions in the study of democratic backsliding: democratic resilience and political polarization. It first advances a set of methodological decision points to improve clarity in contemporary debates surrounding democratic backsliding measurement and the possibility of identifying moments of democratic recovery. It then moves to a theoretical and empirical assessment of pathways by which democratic backsliding takes place, under what conditions, which specific actors are involved, and what opportunities exist for democratic recovery given sources of resilience and strategies of resistance. The authors examine the role of political polarization in backsliding and highlight the combined importance of political agency and institutional levers for regime outcomes. The authors argue that regime outcomes are not predetermined by antecedent conditions, and particularly not by the level of development.</w:t>
      </w:r>
    </w:p>
    <w:p/>
    <w:p>
      <w:r>
        <w:rPr>
          <w:rFonts w:ascii="Times New Roman" w:hAnsi="Times New Roman" w:eastAsia="宋体"/>
          <w:b/>
          <w:i w:val="0"/>
          <w:sz w:val="22"/>
        </w:rPr>
        <w:t>WP： Vol. 77, No. 1, 2025</w:t>
      </w:r>
    </w:p>
    <w:p/>
    <w:p>
      <w:r>
        <w:rPr>
          <w:rFonts w:ascii="Times New Roman" w:hAnsi="Times New Roman" w:eastAsia="黑体"/>
          <w:b/>
          <w:i w:val="0"/>
          <w:sz w:val="24"/>
        </w:rPr>
        <w:t>气候变化的新政治经济学</w:t>
      </w:r>
    </w:p>
    <w:p>
      <w:r>
        <w:rPr>
          <w:rFonts w:ascii="Times New Roman" w:hAnsi="Times New Roman" w:eastAsia="宋体"/>
          <w:b w:val="0"/>
          <w:i/>
          <w:color w:val="404040"/>
          <w:sz w:val="20"/>
        </w:rPr>
        <w:t>The New Political Economy of Climate Change</w:t>
      </w:r>
    </w:p>
    <w:p>
      <w:r>
        <w:rPr>
          <w:rFonts w:ascii="Times New Roman" w:hAnsi="Times New Roman" w:eastAsia="宋体"/>
          <w:b w:val="0"/>
          <w:i w:val="0"/>
          <w:sz w:val="22"/>
        </w:rPr>
        <w:t>摘要：【摘译】综述比较经济学（市场失灵、碳定价、综合评估模型）与政治学（集体行动、时间不一致、分配冲突）两种气候研究路径，指出绿色产业政策因能创造新支持群体而政治上更可行，两种路径都面临极化挑战。</w:t>
      </w:r>
    </w:p>
    <w:p>
      <w:r>
        <w:rPr>
          <w:rFonts w:ascii="Times New Roman" w:hAnsi="Times New Roman" w:eastAsia="宋体"/>
          <w:b w:val="0"/>
          <w:i w:val="0"/>
          <w:sz w:val="20"/>
        </w:rPr>
        <w:t>abstract: Many economists argue that climate change is a result of market failure and needs market-based solutions. Political scientists tend to see climate change as a result of political failures and emphasize the roles played by interest groups, social movements, and political institutions. This review article compares the two approaches and discusses their policy implications. It describes how carbon pricing has become central to economists' policy advice, how economists use integrated assessment models to estimate the "correct" carbon price, and why these estimates are both deeply uncertain and heuristically valuable. By contrast, political scientists seek to explain variation in the tepid and halting climate policies of governments, arguing that they are the result of collective action problems, time inconsistencies, and increasingly distributive conflict. Many political scientists also suggest that certain policies, including subsidies for renewable energy and green industrial policies, will have greater political success because they tend to create new constituencies that can protect climate policies against future reversals. Both approaches are challenged by heightened partisan polarization in the United States and Europe. The author discusses three books that offer new insights about the distributional struggles over climate policies. These books, alongside other recent studies, help to explain why the climate policies of most governments have been frail and uneven, and what may be necessary to change this.</w:t>
      </w:r>
    </w:p>
    <w:p/>
    <w:p>
      <w:r>
        <w:rPr>
          <w:rFonts w:ascii="Times New Roman" w:hAnsi="Times New Roman" w:eastAsia="宋体"/>
          <w:b/>
          <w:i w:val="0"/>
          <w:sz w:val="22"/>
        </w:rPr>
        <w:t>WP： Vol. 77, No. 1S, 2025</w:t>
      </w:r>
    </w:p>
    <w:p/>
    <w:p>
      <w:r>
        <w:rPr>
          <w:rFonts w:ascii="Times New Roman" w:hAnsi="Times New Roman" w:eastAsia="黑体"/>
          <w:b/>
          <w:i w:val="0"/>
          <w:sz w:val="24"/>
        </w:rPr>
        <w:t>政府对气候变化的应对</w:t>
      </w:r>
    </w:p>
    <w:p>
      <w:r>
        <w:rPr>
          <w:rFonts w:ascii="Times New Roman" w:hAnsi="Times New Roman" w:eastAsia="宋体"/>
          <w:b w:val="0"/>
          <w:i/>
          <w:color w:val="404040"/>
          <w:sz w:val="20"/>
        </w:rPr>
        <w:t>Government Responses to Climate Change</w:t>
      </w:r>
    </w:p>
    <w:p>
      <w:r>
        <w:rPr>
          <w:rFonts w:ascii="Times New Roman" w:hAnsi="Times New Roman" w:eastAsia="宋体"/>
          <w:b w:val="0"/>
          <w:i w:val="0"/>
          <w:color w:val="595959"/>
          <w:sz w:val="18"/>
        </w:rPr>
        <w:t>Evan Lieberman；Michael Ross</w:t>
      </w:r>
    </w:p>
    <w:p>
      <w:r>
        <w:rPr>
          <w:rFonts w:ascii="Times New Roman" w:hAnsi="Times New Roman" w:eastAsia="宋体"/>
          <w:b w:val="0"/>
          <w:i w:val="0"/>
          <w:sz w:val="22"/>
        </w:rPr>
        <w:t>摘要：【摘译】作者区分气候政策的承诺、行动与结果三个维度，讨论各自测量难题与替代测量策略的权衡及效度。</w:t>
      </w:r>
    </w:p>
    <w:p>
      <w:r>
        <w:rPr>
          <w:rFonts w:ascii="Times New Roman" w:hAnsi="Times New Roman" w:eastAsia="宋体"/>
          <w:b w:val="0"/>
          <w:i w:val="0"/>
          <w:sz w:val="20"/>
        </w:rPr>
        <w:t>abstract: Social scientists should be more deliberate in how they define and measure government efforts to reduce greenhouse gas emissions. The authors highlight key distinctions among three dimensions of climate policy: the commitments made by governments, the actions that governments take, and the outcomes they produce. In turn, the authors detail the challenges of measuring these dimensions, and discuss the tradeoffs of alternative measurement strategies, including how well they meet the accepted standards for measurement validity. The authors also identify promising avenues for further research.</w:t>
      </w:r>
    </w:p>
    <w:p/>
    <w:p>
      <w:r>
        <w:rPr>
          <w:rFonts w:ascii="Times New Roman" w:hAnsi="Times New Roman" w:eastAsia="黑体"/>
          <w:b/>
          <w:i w:val="0"/>
          <w:sz w:val="24"/>
        </w:rPr>
        <w:t>民主、专制与新冠疫情政治</w:t>
      </w:r>
    </w:p>
    <w:p>
      <w:r>
        <w:rPr>
          <w:rFonts w:ascii="Times New Roman" w:hAnsi="Times New Roman" w:eastAsia="宋体"/>
          <w:b w:val="0"/>
          <w:i/>
          <w:color w:val="404040"/>
          <w:sz w:val="20"/>
        </w:rPr>
        <w:t>Democracy, Autocracy, and the Politics of the COVID Pandemic</w:t>
      </w:r>
    </w:p>
    <w:p>
      <w:r>
        <w:rPr>
          <w:rFonts w:ascii="Times New Roman" w:hAnsi="Times New Roman" w:eastAsia="宋体"/>
          <w:b w:val="0"/>
          <w:i w:val="0"/>
          <w:color w:val="595959"/>
          <w:sz w:val="18"/>
        </w:rPr>
        <w:t>Grigore Pop-Eleches</w:t>
      </w:r>
    </w:p>
    <w:p>
      <w:r>
        <w:rPr>
          <w:rFonts w:ascii="Times New Roman" w:hAnsi="Times New Roman" w:eastAsia="宋体"/>
          <w:b w:val="0"/>
          <w:i w:val="0"/>
          <w:sz w:val="22"/>
        </w:rPr>
        <w:t>摘要：【摘译】综述政体类型如何影响政府与公众的疫情应对及其效果，以及应对如何反过来塑造政体政治，强调考虑疫情阶段变化与研究范围条件。</w:t>
      </w:r>
    </w:p>
    <w:p>
      <w:r>
        <w:rPr>
          <w:rFonts w:ascii="Times New Roman" w:hAnsi="Times New Roman" w:eastAsia="宋体"/>
          <w:b w:val="0"/>
          <w:i w:val="0"/>
          <w:sz w:val="20"/>
        </w:rPr>
        <w:t>abstract: This essay discusses the challenges facing research on the politics of the covid pandemic by reviewing studies focusing on how regime type affected the nature and effectiveness of covid responses both by governments and the broader public, and how these responses, in turn, have shaped the politics of both democratic and authoritarian regimes. The essay highlights the importance of accounting for the changing nature of the pandemic over time, and of thinking carefully about the scope conditions of covid-related arguments and findings.</w:t>
      </w:r>
    </w:p>
    <w:p/>
    <w:p>
      <w:r>
        <w:rPr>
          <w:rFonts w:ascii="Times New Roman" w:hAnsi="Times New Roman" w:eastAsia="黑体"/>
          <w:b/>
          <w:i w:val="0"/>
          <w:sz w:val="24"/>
        </w:rPr>
        <w:t>欧洲内外的历史国家形成</w:t>
      </w:r>
    </w:p>
    <w:p>
      <w:r>
        <w:rPr>
          <w:rFonts w:ascii="Times New Roman" w:hAnsi="Times New Roman" w:eastAsia="宋体"/>
          <w:b w:val="0"/>
          <w:i/>
          <w:color w:val="404040"/>
          <w:sz w:val="20"/>
        </w:rPr>
        <w:t>Historical State Formation within and beyond Europe</w:t>
      </w:r>
    </w:p>
    <w:p>
      <w:r>
        <w:rPr>
          <w:rFonts w:ascii="Times New Roman" w:hAnsi="Times New Roman" w:eastAsia="宋体"/>
          <w:b w:val="0"/>
          <w:i w:val="0"/>
          <w:color w:val="595959"/>
          <w:sz w:val="18"/>
        </w:rPr>
        <w:t>Lisa Blaydes；Anna Grzymala-Busse</w:t>
      </w:r>
    </w:p>
    <w:p>
      <w:r>
        <w:rPr>
          <w:rFonts w:ascii="Times New Roman" w:hAnsi="Times New Roman" w:eastAsia="宋体"/>
          <w:b w:val="0"/>
          <w:i w:val="0"/>
          <w:sz w:val="22"/>
        </w:rPr>
        <w:t>摘要：【摘译】综述指出“战争造就国家”的经典路径只是欧洲内外国家巩固的路径之一，竞争、合作、效仿、社会行为体、地理以及区域和全球经济联系同样重要。</w:t>
      </w:r>
    </w:p>
    <w:p>
      <w:r>
        <w:rPr>
          <w:rFonts w:ascii="Times New Roman" w:hAnsi="Times New Roman" w:eastAsia="宋体"/>
          <w:b w:val="0"/>
          <w:i w:val="0"/>
          <w:sz w:val="20"/>
        </w:rPr>
        <w:t>abstract: State formation is a critical concern for comparative politics. Much of the most influential literature has focused on the politically fragmented setting of early modern Europe, where warmaking fostered state consolidation and the development of institutions of representation and taxation. More recently, scholars have expanded this perspective by emphasizing the state-building implications of alternative forms of competition, interstate cooperation, and emulation, as well as the influence of a broader set of societal actors beyond belligerent rulers. The authors review recent scholarship on state formation that suggests that the canonical bellicist path is only one pathway to state consolidation, both in Europe and beyond. This article draws attention to the importance of geography and to new insights regarding the organization of state-society relations and the influence of regional and global economic engagements on state formation.</w:t>
      </w:r>
    </w:p>
    <w:p/>
    <w:p>
      <w:r>
        <w:rPr>
          <w:rFonts w:ascii="Times New Roman" w:hAnsi="Times New Roman" w:eastAsia="黑体"/>
          <w:b/>
          <w:i w:val="0"/>
          <w:sz w:val="24"/>
        </w:rPr>
        <w:t>东南亚与世界政治</w:t>
      </w:r>
    </w:p>
    <w:p>
      <w:r>
        <w:rPr>
          <w:rFonts w:ascii="Times New Roman" w:hAnsi="Times New Roman" w:eastAsia="宋体"/>
          <w:b w:val="0"/>
          <w:i/>
          <w:color w:val="404040"/>
          <w:sz w:val="20"/>
        </w:rPr>
        <w:t>Southeast Asia and World Politics</w:t>
      </w:r>
    </w:p>
    <w:p>
      <w:r>
        <w:rPr>
          <w:rFonts w:ascii="Times New Roman" w:hAnsi="Times New Roman" w:eastAsia="宋体"/>
          <w:b w:val="0"/>
          <w:i w:val="0"/>
          <w:color w:val="595959"/>
          <w:sz w:val="18"/>
        </w:rPr>
        <w:t>Thomas B. Pepinsky</w:t>
      </w:r>
    </w:p>
    <w:p>
      <w:r>
        <w:rPr>
          <w:rFonts w:ascii="Times New Roman" w:hAnsi="Times New Roman" w:eastAsia="宋体"/>
          <w:b w:val="0"/>
          <w:i w:val="0"/>
          <w:sz w:val="22"/>
        </w:rPr>
        <w:t>摘要：本文回顾《世界政治》自1970年代中期以来发表的东南亚研究。借鉴东南亚区域研究领域关于该区域性质的常见争论，作者识别出东南亚政治研究变化的两个轴：强调区域的“联结性”还是“自主性”，以及关注单个国家经验还是共同区域动态。以此方式刻画《世界政治》中的东南亚研究，有助于更一般地理解过去五十年区域研究与政治学之间的关系。</w:t>
      </w:r>
    </w:p>
    <w:p>
      <w:r>
        <w:rPr>
          <w:rFonts w:ascii="Times New Roman" w:hAnsi="Times New Roman" w:eastAsia="宋体"/>
          <w:b w:val="0"/>
          <w:i w:val="0"/>
          <w:sz w:val="20"/>
        </w:rPr>
        <w:t>abstract: This essay reviews research on Southeast Asia that has appeared in World Politics , with a focus on articles published since the mid-1970s. Drawing on debates about the nature of the region that are commonly found within the field of Southeast Asian area studies, the essay identifies two axes along which Southeast Asian politics research varies: in its emphasis on the connectedness versus autonomy of the region, and in its focus on individual country experiences versus common regional dynamics. Characterizing the Southeast Asia–focused research in World Politics in this way helps us to understand more generally the relationship between area studies and political science over the past fifty years.</w:t>
      </w:r>
    </w:p>
    <w:p/>
    <w:p>
      <w:r>
        <w:rPr>
          <w:rFonts w:ascii="Times New Roman" w:hAnsi="Times New Roman" w:eastAsia="黑体"/>
          <w:b/>
          <w:i w:val="0"/>
          <w:sz w:val="24"/>
        </w:rPr>
        <w:t>不断演进的革命研究</w:t>
      </w:r>
    </w:p>
    <w:p>
      <w:r>
        <w:rPr>
          <w:rFonts w:ascii="Times New Roman" w:hAnsi="Times New Roman" w:eastAsia="宋体"/>
          <w:b w:val="0"/>
          <w:i/>
          <w:color w:val="404040"/>
          <w:sz w:val="20"/>
        </w:rPr>
        <w:t>The Evolving Study of Revolution</w:t>
      </w:r>
    </w:p>
    <w:p>
      <w:r>
        <w:rPr>
          <w:rFonts w:ascii="Times New Roman" w:hAnsi="Times New Roman" w:eastAsia="宋体"/>
          <w:b w:val="0"/>
          <w:i w:val="0"/>
          <w:color w:val="595959"/>
          <w:sz w:val="18"/>
        </w:rPr>
        <w:t>Mark R. Beissinger</w:t>
      </w:r>
    </w:p>
    <w:p>
      <w:r>
        <w:rPr>
          <w:rFonts w:ascii="Times New Roman" w:hAnsi="Times New Roman" w:eastAsia="宋体"/>
          <w:b w:val="0"/>
          <w:i w:val="0"/>
          <w:sz w:val="22"/>
        </w:rPr>
        <w:t>摘要：【摘译】文章呼吁以更整体的方式研究革命：纳入历史、跨越文献分野、思考革命前后，并使革命过程与结构因素对话。</w:t>
      </w:r>
    </w:p>
    <w:p>
      <w:r>
        <w:rPr>
          <w:rFonts w:ascii="Times New Roman" w:hAnsi="Times New Roman" w:eastAsia="宋体"/>
          <w:b w:val="0"/>
          <w:i w:val="0"/>
          <w:sz w:val="20"/>
        </w:rPr>
        <w:t>abstract: As the practice of revolution has evolved, so too have theories of revolution. Much of the current literature on revolutions focuses on contentious processes. But a need exists to take a more holistic approach—one that better incorporates history, thinks across divides in the literature, contemplates what precedes and follows revolution, and places revolutionary processes and the structural factors that underpin them into dialogue with one another.</w:t>
      </w:r>
    </w:p>
    <w:p/>
    <w:p>
      <w:r>
        <w:rPr>
          <w:rFonts w:ascii="Times New Roman" w:hAnsi="Times New Roman" w:eastAsia="黑体"/>
          <w:b/>
          <w:i w:val="0"/>
          <w:sz w:val="24"/>
        </w:rPr>
        <w:t>政治冲突与暴力研究已死……政治冲突与暴力研究万岁！重新聚焦政府—挑战者互动</w:t>
      </w:r>
    </w:p>
    <w:p>
      <w:r>
        <w:rPr>
          <w:rFonts w:ascii="Times New Roman" w:hAnsi="Times New Roman" w:eastAsia="宋体"/>
          <w:b w:val="0"/>
          <w:i/>
          <w:color w:val="404040"/>
          <w:sz w:val="20"/>
        </w:rPr>
        <w:t>The Study of Political Conflict and Violence is Dead … Long Live the Study of Political Conflict and Violence! Resurrecting and Centering Government-Challenger Interaction</w:t>
      </w:r>
    </w:p>
    <w:p>
      <w:r>
        <w:rPr>
          <w:rFonts w:ascii="Times New Roman" w:hAnsi="Times New Roman" w:eastAsia="宋体"/>
          <w:b w:val="0"/>
          <w:i w:val="0"/>
          <w:color w:val="595959"/>
          <w:sz w:val="18"/>
        </w:rPr>
        <w:t>Christian Davenport</w:t>
      </w:r>
    </w:p>
    <w:p>
      <w:r>
        <w:rPr>
          <w:rFonts w:ascii="Times New Roman" w:hAnsi="Times New Roman" w:eastAsia="宋体"/>
          <w:b w:val="0"/>
          <w:i w:val="0"/>
          <w:sz w:val="22"/>
        </w:rPr>
        <w:t>摘要：【摘译】文章反思冲突研究的碎片化，主张以政府—挑战者互动为核心重新整合该领域。</w:t>
      </w:r>
    </w:p>
    <w:p>
      <w:r>
        <w:rPr>
          <w:rFonts w:ascii="Times New Roman" w:hAnsi="Times New Roman" w:eastAsia="宋体"/>
          <w:b w:val="0"/>
          <w:i w:val="0"/>
          <w:sz w:val="20"/>
        </w:rPr>
        <w:t>abstract: The study of political conflict and violence has grown immensely over the past fifty years, but it has also fragmented as many now explore only single branches of the ever-larger tree. This article attempts to reflect on the paths that scholars have taken and discusses one particular path that could help to reunify the field. This path would provide key insights into what has transpired in the field as well as into how scholars should approach trying to understand the study of political conflict and violence moving forward.</w:t>
      </w:r>
    </w:p>
    <w:p/>
    <w:p>
      <w:r>
        <w:rPr>
          <w:rFonts w:ascii="Times New Roman" w:hAnsi="Times New Roman" w:eastAsia="黑体"/>
          <w:b/>
          <w:i w:val="0"/>
          <w:sz w:val="24"/>
        </w:rPr>
        <w:t>冲突研究：轨迹与挑战</w:t>
      </w:r>
    </w:p>
    <w:p>
      <w:r>
        <w:rPr>
          <w:rFonts w:ascii="Times New Roman" w:hAnsi="Times New Roman" w:eastAsia="宋体"/>
          <w:b w:val="0"/>
          <w:i/>
          <w:color w:val="404040"/>
          <w:sz w:val="20"/>
        </w:rPr>
        <w:t>Conflict: Trajectories and Challenges</w:t>
      </w:r>
    </w:p>
    <w:p>
      <w:r>
        <w:rPr>
          <w:rFonts w:ascii="Times New Roman" w:hAnsi="Times New Roman" w:eastAsia="宋体"/>
          <w:b w:val="0"/>
          <w:i w:val="0"/>
          <w:color w:val="595959"/>
          <w:sz w:val="18"/>
        </w:rPr>
        <w:t>Stathis N. Kalyvas</w:t>
      </w:r>
    </w:p>
    <w:p>
      <w:r>
        <w:rPr>
          <w:rFonts w:ascii="Times New Roman" w:hAnsi="Times New Roman" w:eastAsia="宋体"/>
          <w:b w:val="0"/>
          <w:i w:val="0"/>
          <w:sz w:val="22"/>
        </w:rPr>
        <w:t>摘要：【摘译】文章从为何研究、研究什么、如何研究冲突三问出发，指出未来挑战：理论驱动地拓宽冲突概念、建立微观—中观—宏观联系、明确研究发现的范围条件。</w:t>
      </w:r>
    </w:p>
    <w:p>
      <w:r>
        <w:rPr>
          <w:rFonts w:ascii="Times New Roman" w:hAnsi="Times New Roman" w:eastAsia="宋体"/>
          <w:b w:val="0"/>
          <w:i w:val="0"/>
          <w:sz w:val="20"/>
        </w:rPr>
        <w:t>abstract: How has the field of conflict studies evolved over the past three decades? This essay suggests an answer by posing three questions: Why do we study conflict? What do we understand as conflict? And how do we study conflict? The article proceeds with critical remarks, illustrated with articles that have appeared in World Politics during the past five years. It concludes by highlighting three key challenges for the future evolution of the field: the theoretically driven broadening of our understanding of conflict; the development of conceptual, theoretical, and empirical links between micro, meso, and macro levels of analysis; and a theoretically informed way of specifying the scope conditions that apply to findings.</w:t>
      </w:r>
    </w:p>
    <w:p/>
    <w:p>
      <w:r>
        <w:rPr>
          <w:rFonts w:ascii="Times New Roman" w:hAnsi="Times New Roman" w:eastAsia="宋体"/>
          <w:b/>
          <w:i w:val="0"/>
          <w:sz w:val="22"/>
        </w:rPr>
        <w:t>WP： Vol. 76, No. 4, 2024</w:t>
      </w:r>
    </w:p>
    <w:p/>
    <w:p>
      <w:r>
        <w:rPr>
          <w:rFonts w:ascii="Times New Roman" w:hAnsi="Times New Roman" w:eastAsia="黑体"/>
          <w:b/>
          <w:i w:val="0"/>
          <w:sz w:val="24"/>
        </w:rPr>
        <w:t>民粹主义下的全球治理：信息压制的挑战</w:t>
      </w:r>
    </w:p>
    <w:p>
      <w:r>
        <w:rPr>
          <w:rFonts w:ascii="Times New Roman" w:hAnsi="Times New Roman" w:eastAsia="宋体"/>
          <w:b w:val="0"/>
          <w:i/>
          <w:color w:val="404040"/>
          <w:sz w:val="20"/>
        </w:rPr>
        <w:t>Global Governance under Populism: The Challenge of Information Suppression</w:t>
      </w:r>
    </w:p>
    <w:p>
      <w:r>
        <w:rPr>
          <w:rFonts w:ascii="Times New Roman" w:hAnsi="Times New Roman" w:eastAsia="宋体"/>
          <w:b w:val="0"/>
          <w:i w:val="0"/>
          <w:color w:val="595959"/>
          <w:sz w:val="18"/>
        </w:rPr>
        <w:t>Allison Carnegie；Richard Clark；Noah Zucker</w:t>
      </w:r>
    </w:p>
    <w:p>
      <w:r>
        <w:rPr>
          <w:rFonts w:ascii="Times New Roman" w:hAnsi="Times New Roman" w:eastAsia="宋体"/>
          <w:b w:val="0"/>
          <w:i w:val="0"/>
          <w:sz w:val="22"/>
        </w:rPr>
        <w:t>摘要：民粹主义者在意识形态上反对全球治理已广为人知，但他们是否以及如何系统性地削弱国际组织尚不清楚。作者认为民粹主义者扭曲全球治理的一个关键手段是扭曲科学信息，而科学信息是全球应对诸多公共卫生与环境问题所必需的；民粹主义者出于反精英、亲主权的观点有动机隐瞒或误报科学信息。利用关于各国向国际组织提供信息的来源与质量的新数据，作者发现民粹领导人向国际组织提供科学信息的可能性显著更低，即使提供，其准确性也低于其他来源。研究表明民粹主义可能阻碍国际制度在紧迫国际关切领域的治理能力。</w:t>
      </w:r>
    </w:p>
    <w:p>
      <w:r>
        <w:rPr>
          <w:rFonts w:ascii="Times New Roman" w:hAnsi="Times New Roman" w:eastAsia="宋体"/>
          <w:b w:val="0"/>
          <w:i w:val="0"/>
          <w:sz w:val="20"/>
        </w:rPr>
        <w:t>abstract: Populists’ ideological opposition to global governance is well recognized, yet whether and how these actors systematically undermine international organizations remain unclear. The authors argue that a key means by which populists warp global governance is by distorting scientific information, which is necessary for global responses to many public health and environmental issues. Populists are motivated to withhold or misreport scientific information due to their anti-elite, prostate sovereignty views. Using new data on the source and quality of information provided to international organizations (ios), the authors find that populist leaders are significantly less likely to provide scientific information to ios than are other types of leaders. When they do offer such data, they are less accurate than the information that other sources supply. The authors’ findings suggest that populism may stymie international institutions’ ability to govern in areas of pressing international concern.</w:t>
      </w:r>
    </w:p>
    <w:p/>
    <w:p>
      <w:r>
        <w:rPr>
          <w:rFonts w:ascii="Times New Roman" w:hAnsi="Times New Roman" w:eastAsia="黑体"/>
          <w:b/>
          <w:i w:val="0"/>
          <w:sz w:val="24"/>
        </w:rPr>
        <w:t>联合国维和任务导向与人员构成对环境保护的重要性</w:t>
      </w:r>
    </w:p>
    <w:p>
      <w:r>
        <w:rPr>
          <w:rFonts w:ascii="Times New Roman" w:hAnsi="Times New Roman" w:eastAsia="宋体"/>
          <w:b w:val="0"/>
          <w:i/>
          <w:color w:val="404040"/>
          <w:sz w:val="20"/>
        </w:rPr>
        <w:t>The Importance of Un Peacekeeping Mission Orientation and Personnel for Environmental Protection</w:t>
      </w:r>
    </w:p>
    <w:p>
      <w:r>
        <w:rPr>
          <w:rFonts w:ascii="Times New Roman" w:hAnsi="Times New Roman" w:eastAsia="宋体"/>
          <w:b w:val="0"/>
          <w:i w:val="0"/>
          <w:color w:val="595959"/>
          <w:sz w:val="18"/>
        </w:rPr>
        <w:t>Tobias Böhmelt</w:t>
      </w:r>
    </w:p>
    <w:p>
      <w:r>
        <w:rPr>
          <w:rFonts w:ascii="Times New Roman" w:hAnsi="Times New Roman" w:eastAsia="宋体"/>
          <w:b w:val="0"/>
          <w:i w:val="0"/>
          <w:sz w:val="22"/>
        </w:rPr>
        <w:t>摘要：【摘译】对冷战后非洲维和部署的固定效应与匹配分析显示，具有环境导向的任务与更多文职人员（而非军警人员）与当地水质改善相关。</w:t>
      </w:r>
    </w:p>
    <w:p>
      <w:r>
        <w:rPr>
          <w:rFonts w:ascii="Times New Roman" w:hAnsi="Times New Roman" w:eastAsia="宋体"/>
          <w:b w:val="0"/>
          <w:i w:val="0"/>
          <w:sz w:val="20"/>
        </w:rPr>
        <w:t>abstract: UN peacekeeping is increasingly linked to social and economic outcomes other than the provision of security or peace. Peacekeepers can also be associated with improvements in environmental protection. The research discussed here advances theoretical arguments on peacekeepers’ orientation and personnel composition to shed light on the underlying mechanisms of the relationship between peacekeepers and the environment. Through mandates or direct action on the ground, peacekeeping missions can have a green orientation that likely strengthens their commitment to environmental protection. Moreover, civilian personnel can help to develop the state capacity that is necessary to implement and enforce environmental regulations. The author analyzes peacekeeping deployments in post–Cold War Africa and uses fixed effects models and matching. The empirical analysis provides evidence that environmental mission orientation and more civilian personnel, than uniformed personnel, correlate with better local water quality. This research contributes to our knowledge on peacekeeping operations, and it adds to the literature on environmental politics and security studies.</w:t>
      </w:r>
    </w:p>
    <w:p/>
    <w:p>
      <w:r>
        <w:rPr>
          <w:rFonts w:ascii="Times New Roman" w:hAnsi="Times New Roman" w:eastAsia="黑体"/>
          <w:b/>
          <w:i w:val="0"/>
          <w:sz w:val="24"/>
        </w:rPr>
        <w:t>非正规、合法还是非法？全球南方手工采矿的多样性</w:t>
      </w:r>
    </w:p>
    <w:p>
      <w:r>
        <w:rPr>
          <w:rFonts w:ascii="Times New Roman" w:hAnsi="Times New Roman" w:eastAsia="宋体"/>
          <w:b w:val="0"/>
          <w:i/>
          <w:color w:val="404040"/>
          <w:sz w:val="20"/>
        </w:rPr>
        <w:t>Informal, Legal, or Illegal? Varieties of Artisanal Mining in the Global South</w:t>
      </w:r>
    </w:p>
    <w:p>
      <w:r>
        <w:rPr>
          <w:rFonts w:ascii="Times New Roman" w:hAnsi="Times New Roman" w:eastAsia="宋体"/>
          <w:b w:val="0"/>
          <w:i w:val="0"/>
          <w:color w:val="595959"/>
          <w:sz w:val="18"/>
        </w:rPr>
        <w:t>Zaraí Toledo Orozco；Moisés Arce</w:t>
      </w:r>
    </w:p>
    <w:p>
      <w:r>
        <w:rPr>
          <w:rFonts w:ascii="Times New Roman" w:hAnsi="Times New Roman" w:eastAsia="宋体"/>
          <w:b w:val="0"/>
          <w:i w:val="0"/>
          <w:sz w:val="22"/>
        </w:rPr>
        <w:t>摘要：【摘译】以秘鲁主要产金区为例的过程追踪显示，手工采矿对地方经济越重要，部门内组织不对称低时矿工走向合法化，不对称高时则走向非法与犯罪。</w:t>
      </w:r>
    </w:p>
    <w:p>
      <w:r>
        <w:rPr>
          <w:rFonts w:ascii="Times New Roman" w:hAnsi="Times New Roman" w:eastAsia="宋体"/>
          <w:b w:val="0"/>
          <w:i w:val="0"/>
          <w:sz w:val="20"/>
        </w:rPr>
        <w:t>abstract: Artisanal mining in the Global South increased during the 2002–14 commodity boom, yet variation in the informal status of miners remains understudied. The authors define the status of artisanal mining based on the degree of rule compliance and the willingness of state actors to enforce such compliance: it is legal when the miners have formal permits to operate and follow state rules to mine, but it is illegal when the mining takes places in restricted natural reserves and noncompliance with state mining rules is extensive. The article explains transitions in the informal status of artisanal miners by examining the importance of mining to the local economy and the organizational asymmetries within the sector—that is, the differences in the associative strength of artisanal mining within a region. Where artisanal mining is central to the local economy, low asymmetries help miners transition to legality while high asymmetries, by contrast, push them toward illegality and criminality. The authors process trace these transitions in Peru’s most important gold-producing regions. The findings have broad implications for other small-scale producers and merchants whose activities are also known for widespread informality.</w:t>
      </w:r>
    </w:p>
    <w:p/>
    <w:p>
      <w:r>
        <w:rPr>
          <w:rFonts w:ascii="Times New Roman" w:hAnsi="Times New Roman" w:eastAsia="黑体"/>
          <w:b/>
          <w:i w:val="0"/>
          <w:sz w:val="24"/>
        </w:rPr>
        <w:t>农业精英、财富不平等与国家能力：来自20世纪初巴西的证据</w:t>
      </w:r>
    </w:p>
    <w:p>
      <w:r>
        <w:rPr>
          <w:rFonts w:ascii="Times New Roman" w:hAnsi="Times New Roman" w:eastAsia="宋体"/>
          <w:b w:val="0"/>
          <w:i/>
          <w:color w:val="404040"/>
          <w:sz w:val="20"/>
        </w:rPr>
        <w:t>Agrarian Elites, Wealth Inequality, and State Capacity: Evidence from Early Twentieth-Century Brazil</w:t>
      </w:r>
    </w:p>
    <w:p>
      <w:r>
        <w:rPr>
          <w:rFonts w:ascii="Times New Roman" w:hAnsi="Times New Roman" w:eastAsia="宋体"/>
          <w:b w:val="0"/>
          <w:i w:val="0"/>
          <w:color w:val="595959"/>
          <w:sz w:val="18"/>
        </w:rPr>
        <w:t>Giuliana Pardelli</w:t>
      </w:r>
    </w:p>
    <w:p>
      <w:r>
        <w:rPr>
          <w:rFonts w:ascii="Times New Roman" w:hAnsi="Times New Roman" w:eastAsia="宋体"/>
          <w:b w:val="0"/>
          <w:i w:val="0"/>
          <w:sz w:val="22"/>
        </w:rPr>
        <w:t>摘要：【摘译】作者认为当有产者政治上居主导并按其资本禀赋从公共支出中获益时，财富不平等反而与更强的精英支持国家能力投资相关；20世纪初巴西数据显示，政治威胁较少的地方土地集中度越高，财政与行政能力越强。</w:t>
      </w:r>
    </w:p>
    <w:p>
      <w:r>
        <w:rPr>
          <w:rFonts w:ascii="Times New Roman" w:hAnsi="Times New Roman" w:eastAsia="宋体"/>
          <w:b w:val="0"/>
          <w:i w:val="0"/>
          <w:sz w:val="20"/>
        </w:rPr>
        <w:t>abstract: Traditional agrarian elites have often been portrayed as obstacles to the expansion of the state. Because landed actors are particularly exposed to taxation, inequality is expected to exacerbate their resistance to the development of fiscal capacity. This article argues that when propertied actors are politically dominant and obtain benefits from public spending that are proportional to their capital endowments, wealth inequality is associated with greater elite support for capacity investments. Using early twentieth-century Brazilian data, the author shows that where landed elites faced fewer political threats, higher levels of landholding concentration were associated with increased fiscal and administrative capacity. Tests of mechanisms corroborate the idea that this relationship results from elite demands for specific types of public spending. These findings contribute to the broader literature on state-building by providing new insights into the interaction between economic interests and political dominance in shaping subnational variation in the reach of the state.</w:t>
      </w:r>
    </w:p>
    <w:p/>
    <w:p>
      <w:r>
        <w:rPr>
          <w:rFonts w:ascii="Times New Roman" w:hAnsi="Times New Roman" w:eastAsia="黑体"/>
          <w:b/>
          <w:i w:val="0"/>
          <w:sz w:val="24"/>
        </w:rPr>
        <w:t>选举制度与独裁者的权衡：来自俄罗斯杜马的证据</w:t>
      </w:r>
    </w:p>
    <w:p>
      <w:r>
        <w:rPr>
          <w:rFonts w:ascii="Times New Roman" w:hAnsi="Times New Roman" w:eastAsia="宋体"/>
          <w:b w:val="0"/>
          <w:i/>
          <w:color w:val="404040"/>
          <w:sz w:val="20"/>
        </w:rPr>
        <w:t>Electoral Systems and the Autocrat’s Trade-Off: Evidence from the Russian Duma</w:t>
      </w:r>
    </w:p>
    <w:p>
      <w:r>
        <w:rPr>
          <w:rFonts w:ascii="Times New Roman" w:hAnsi="Times New Roman" w:eastAsia="宋体"/>
          <w:b w:val="0"/>
          <w:i w:val="0"/>
          <w:color w:val="595959"/>
          <w:sz w:val="18"/>
        </w:rPr>
        <w:t>Anders Woller</w:t>
      </w:r>
    </w:p>
    <w:p>
      <w:r>
        <w:rPr>
          <w:rFonts w:ascii="Times New Roman" w:hAnsi="Times New Roman" w:eastAsia="宋体"/>
          <w:b w:val="0"/>
          <w:i w:val="0"/>
          <w:sz w:val="22"/>
        </w:rPr>
        <w:t>摘要：【摘译】利用俄罗斯同时参选单选区与党派名单候选人的断点设计，作者发现单选区议员在发言中传递更多地方偏好信息，但更常反对法案，证实获取信息与维持立法控制之间的权衡。</w:t>
      </w:r>
    </w:p>
    <w:p>
      <w:r>
        <w:rPr>
          <w:rFonts w:ascii="Times New Roman" w:hAnsi="Times New Roman" w:eastAsia="宋体"/>
          <w:b w:val="0"/>
          <w:i w:val="0"/>
          <w:sz w:val="20"/>
        </w:rPr>
        <w:t>abstract: Legislative elections sustain authoritarian regimes, but distinct electoral systems simultaneously benefit and hurt the political prospects of those regimes. The author theorizes about a trade-off between electoral systems that facilitate information on local elite preferences, and systems that maintain legislative control. An electoral system can achieve either, but not at the same time. The author undertakes an empirical study of Russian federal deputies, half of whom are elected in single-member districts, the other half on a nationwide closed-party list. Candidates can register on both lists (N = 515), and district results determine final list affiliation. Electoral incentives change abruptly for deputies who are barely winning or losing their district, a fact that the author exploits to identify the effects of local representation on pro- and antiregime parliamentary behavior. The results support a trade-off: district-list deputies convey more information on local preferences in their speeches than party-list deputies do, but they oppose law proposals more frequently. How autocrats weigh this trade-off determines the electoral system and illuminates electoral reform in autocracies.</w:t>
      </w:r>
    </w:p>
    <w:p/>
    <w:p>
      <w:r>
        <w:rPr>
          <w:rFonts w:ascii="Times New Roman" w:hAnsi="Times New Roman" w:eastAsia="宋体"/>
          <w:b/>
          <w:i w:val="0"/>
          <w:sz w:val="22"/>
        </w:rPr>
        <w:t>WP： Vol. 76, No. 3, 2024</w:t>
      </w:r>
    </w:p>
    <w:p/>
    <w:p>
      <w:r>
        <w:rPr>
          <w:rFonts w:ascii="Times New Roman" w:hAnsi="Times New Roman" w:eastAsia="黑体"/>
          <w:b/>
          <w:i w:val="0"/>
          <w:sz w:val="24"/>
        </w:rPr>
        <w:t>威权领导人继承前的精英管理：来自朝鲜的证据</w:t>
      </w:r>
    </w:p>
    <w:p>
      <w:r>
        <w:rPr>
          <w:rFonts w:ascii="Times New Roman" w:hAnsi="Times New Roman" w:eastAsia="宋体"/>
          <w:b w:val="0"/>
          <w:i/>
          <w:color w:val="404040"/>
          <w:sz w:val="20"/>
        </w:rPr>
        <w:t>Elite Management before Autocratic Leader Succession: Evidence from North Korea</w:t>
      </w:r>
    </w:p>
    <w:p>
      <w:r>
        <w:rPr>
          <w:rFonts w:ascii="Times New Roman" w:hAnsi="Times New Roman" w:eastAsia="宋体"/>
          <w:b w:val="0"/>
          <w:i w:val="0"/>
          <w:color w:val="595959"/>
          <w:sz w:val="18"/>
        </w:rPr>
        <w:t>Edward Goldring；Peter Ward</w:t>
      </w:r>
    </w:p>
    <w:p>
      <w:r>
        <w:rPr>
          <w:rFonts w:ascii="Times New Roman" w:hAnsi="Times New Roman" w:eastAsia="宋体"/>
          <w:b w:val="0"/>
          <w:i w:val="0"/>
          <w:sz w:val="22"/>
        </w:rPr>
        <w:t>摘要：【摘译】利用金正日中风这一外生冲击，基于1994—2011年1573次领导层事件与230名朝鲜精英传记数据，作者发现在任者通过在核心圈外为继任者建立精英权力基础来准备继承，这一逻辑也适用于其他个人化威权政体。</w:t>
      </w:r>
    </w:p>
    <w:p>
      <w:r>
        <w:rPr>
          <w:rFonts w:ascii="Times New Roman" w:hAnsi="Times New Roman" w:eastAsia="宋体"/>
          <w:b w:val="0"/>
          <w:i w:val="0"/>
          <w:sz w:val="20"/>
        </w:rPr>
        <w:t>abstract: How do dictators prepare for succession? Scholars have studied the determinants of succession, but we know little about the mechanisms, including elite management, of how succession occurs. The authors argue that incumbents prepare for succession by building a power base of elites outside their inner circle, for their preferred successor; doing so helps the successor to stabilize the regime. The authors test this argument by examining preparations for succession in the prominent but puzzling case of North Korea under Kim Jong Il, leveraging the plausibly exogenous shock that Kim suffered—a stroke—that caused him to prepare for succession. Quantitative analysis of 1,573 leadership events under Kim between 1994 and 2011, with original biographical data on 230 North Korean elites, supports the argument. Qualitative evidence of elites’ roles after Kim’s death is consistent with the argument’s logic. Rather than being atypical, as North Korea is often portrayed, the findings apply to other personalist autocracies.</w:t>
      </w:r>
    </w:p>
    <w:p/>
    <w:p>
      <w:r>
        <w:rPr>
          <w:rFonts w:ascii="Times New Roman" w:hAnsi="Times New Roman" w:eastAsia="黑体"/>
          <w:b/>
          <w:i w:val="0"/>
          <w:sz w:val="24"/>
        </w:rPr>
        <w:t>工业化与民主</w:t>
      </w:r>
    </w:p>
    <w:p>
      <w:r>
        <w:rPr>
          <w:rFonts w:ascii="Times New Roman" w:hAnsi="Times New Roman" w:eastAsia="宋体"/>
          <w:b w:val="0"/>
          <w:i/>
          <w:color w:val="404040"/>
          <w:sz w:val="20"/>
        </w:rPr>
        <w:t>Industrialization and Democracy</w:t>
      </w:r>
    </w:p>
    <w:p>
      <w:r>
        <w:rPr>
          <w:rFonts w:ascii="Times New Roman" w:hAnsi="Times New Roman" w:eastAsia="宋体"/>
          <w:b w:val="0"/>
          <w:i w:val="0"/>
          <w:color w:val="595959"/>
          <w:sz w:val="18"/>
        </w:rPr>
        <w:t>Sam Van Noort</w:t>
      </w:r>
    </w:p>
    <w:p>
      <w:r>
        <w:rPr>
          <w:rFonts w:ascii="Times New Roman" w:hAnsi="Times New Roman" w:eastAsia="宋体"/>
          <w:b w:val="0"/>
          <w:i w:val="0"/>
          <w:sz w:val="22"/>
        </w:rPr>
        <w:t>摘要：【摘译】基于145国170年制造业就业新数据，作者发现工业化使群众动员更易发生、更难镇压，从而与民主强相关，控制收入、平等、教育、城市化及固定效应后依然稳健。</w:t>
      </w:r>
    </w:p>
    <w:p>
      <w:r>
        <w:rPr>
          <w:rFonts w:ascii="Times New Roman" w:hAnsi="Times New Roman" w:eastAsia="宋体"/>
          <w:b w:val="0"/>
          <w:i w:val="0"/>
          <w:sz w:val="20"/>
        </w:rPr>
        <w:t>abstract: This article provides a new theory about the relationship between economic development and democracy. The author argues that a larger share of employment in manufacturing—that is, a higher level of industrialization—makes mass mobilization both more likely to occur and more costly to suppress. This in turn increases the power of the masses vis-à-vis autocratic elites, making democracy more likely. Novel manufacturing employment data for 145 countries over 170 years (1845–2015) suggest that industrialization is strongly correlated with democracy, even after accounting for income, equality, education, and urbanization. Unlike with many other socioeconomic determinants, the effect of industrialization is robust to country and time fixed effects, occurs on both transitions to and consolidations of democracy, is present in both the short and long run, and is equally large after 1945. Results from a novel instrument and several sensitivity analyses suggest that the correlation is unlikely to be spurious.</w:t>
      </w:r>
    </w:p>
    <w:p/>
    <w:p>
      <w:r>
        <w:rPr>
          <w:rFonts w:ascii="Times New Roman" w:hAnsi="Times New Roman" w:eastAsia="黑体"/>
          <w:b/>
          <w:i w:val="0"/>
          <w:sz w:val="24"/>
        </w:rPr>
        <w:t>社会民主主义与欧洲工人阶级代表的诞生</w:t>
      </w:r>
    </w:p>
    <w:p>
      <w:r>
        <w:rPr>
          <w:rFonts w:ascii="Times New Roman" w:hAnsi="Times New Roman" w:eastAsia="宋体"/>
          <w:b w:val="0"/>
          <w:i/>
          <w:color w:val="404040"/>
          <w:sz w:val="20"/>
        </w:rPr>
        <w:t>Social Democracy and the Birth of Working-Class Representation in Europe</w:t>
      </w:r>
    </w:p>
    <w:p>
      <w:r>
        <w:rPr>
          <w:rFonts w:ascii="Times New Roman" w:hAnsi="Times New Roman" w:eastAsia="宋体"/>
          <w:b w:val="0"/>
          <w:i w:val="0"/>
          <w:color w:val="595959"/>
          <w:sz w:val="18"/>
        </w:rPr>
        <w:t>Maayan Mor；Carles Boix</w:t>
      </w:r>
    </w:p>
    <w:p>
      <w:r>
        <w:rPr>
          <w:rFonts w:ascii="Times New Roman" w:hAnsi="Times New Roman" w:eastAsia="宋体"/>
          <w:b w:val="0"/>
          <w:i w:val="0"/>
          <w:sz w:val="22"/>
        </w:rPr>
        <w:t>摘要：【摘译】英格兰与威尔士、德国、挪威数据显示，门槛降低后工人议员当选且几乎都属社会主义政党；政党在工会化程度高的非竞争选区或胜负未定的竞争选区提名工人。</w:t>
      </w:r>
    </w:p>
    <w:p>
      <w:r>
        <w:rPr>
          <w:rFonts w:ascii="Times New Roman" w:hAnsi="Times New Roman" w:eastAsia="宋体"/>
          <w:b w:val="0"/>
          <w:i w:val="0"/>
          <w:sz w:val="20"/>
        </w:rPr>
        <w:t>abstract: Despite the growing interest in the economic backgrounds of mps in Western Europe, the evolution of working-class numerical representation before 1945 has not been systematically studied. Using data from England and Wales (1832–1944), Germany (1871–1930), and Norway (1906–1936), the authors show both that working-class mps were elected when barriers were lowered and that almost all working-class parliamentarians were affiliated with socialist parties. The authors further probe the conditions that determined the electoral success of workers using data about all candidates, constituencies’ occupational profile, and unionization in Norway between 1906 and 1936. They find that socialist parties nominated workers either in relatively uncompetitive elections in which unionization was high or in competitive races in which the party’s victory was possible but not guaranteed. Using information about mps in Germany and England and Wales, the authors find similar patterns. The article discusses the implications for research about democratization, the rise of social democracy, and the numerical representation of workers.</w:t>
      </w:r>
    </w:p>
    <w:p/>
    <w:p>
      <w:r>
        <w:rPr>
          <w:rFonts w:ascii="Times New Roman" w:hAnsi="Times New Roman" w:eastAsia="黑体"/>
          <w:b/>
          <w:i w:val="0"/>
          <w:sz w:val="24"/>
        </w:rPr>
        <w:t>抗击疾病还是操纵数据？民主、国家能力与新冠疫情</w:t>
      </w:r>
    </w:p>
    <w:p>
      <w:r>
        <w:rPr>
          <w:rFonts w:ascii="Times New Roman" w:hAnsi="Times New Roman" w:eastAsia="宋体"/>
          <w:b w:val="0"/>
          <w:i/>
          <w:color w:val="404040"/>
          <w:sz w:val="20"/>
        </w:rPr>
        <w:t>Fighting the Disease or Manipulating the Data? Democracy, State Capacity, and the COVID-19 Pandemic</w:t>
      </w:r>
    </w:p>
    <w:p>
      <w:r>
        <w:rPr>
          <w:rFonts w:ascii="Times New Roman" w:hAnsi="Times New Roman" w:eastAsia="宋体"/>
          <w:b w:val="0"/>
          <w:i w:val="0"/>
          <w:color w:val="595959"/>
          <w:sz w:val="18"/>
        </w:rPr>
        <w:t>Carl Henrik Knutsen；Palina Kolvani</w:t>
      </w:r>
    </w:p>
    <w:p>
      <w:r>
        <w:rPr>
          <w:rFonts w:ascii="Times New Roman" w:hAnsi="Times New Roman" w:eastAsia="宋体"/>
          <w:b w:val="0"/>
          <w:i w:val="0"/>
          <w:sz w:val="22"/>
        </w:rPr>
        <w:t>摘要：【摘译】利用官方死亡与超额死亡估计数据，作者发现民主国家官方报告死亡更多主要因威权国家少报；在高能力国家中民主国家死亡更少；民主与高国家能力的结合死亡最少且报告最准确。</w:t>
      </w:r>
    </w:p>
    <w:p>
      <w:r>
        <w:rPr>
          <w:rFonts w:ascii="Times New Roman" w:hAnsi="Times New Roman" w:eastAsia="宋体"/>
          <w:b w:val="0"/>
          <w:i w:val="0"/>
          <w:sz w:val="20"/>
        </w:rPr>
        <w:t>abstract: In this article, the authors discuss and analyze how regime type and state capacity shape the abilities and incentives of political leaders to respond to covid-19. They suggest that a complementary relationship exists between democracy and state capacity, both in terms of mitigating the adverse consequences of the pandemic, such as deaths, and the honest reporting of these consequences. Using a recent global data set on officially reported covid-19 deaths and estimated deaths based on excess mortality, the authors present evidence that supports different implications from their argument. Empirically, democracies have much higher officially reported death tolls than do autocracies, a result driven by underreporting in autocracies. In high-capacity states, democracies have fewer covid-19 deaths than do autocracies. State capacity generally seems to mitigate both deaths and underreporting, but these relationships are stronger in democracies. Countries that combine democracy with high state capacity experience fewer covid-19 deaths and provide more accurate tolls of the pandemic’s consequences.</w:t>
      </w:r>
    </w:p>
    <w:p/>
    <w:p>
      <w:r>
        <w:rPr>
          <w:rFonts w:ascii="Times New Roman" w:hAnsi="Times New Roman" w:eastAsia="黑体"/>
          <w:b/>
          <w:i w:val="0"/>
          <w:sz w:val="24"/>
        </w:rPr>
        <w:t>民主焦虑时代的概念误构：近期诱惑及其弊端</w:t>
      </w:r>
    </w:p>
    <w:p>
      <w:r>
        <w:rPr>
          <w:rFonts w:ascii="Times New Roman" w:hAnsi="Times New Roman" w:eastAsia="宋体"/>
          <w:b w:val="0"/>
          <w:i/>
          <w:color w:val="404040"/>
          <w:sz w:val="20"/>
        </w:rPr>
        <w:t>Concept Misformation in the Age of Democratic Anxiety: Recent Temptations and Their Downsides</w:t>
      </w:r>
    </w:p>
    <w:p>
      <w:r>
        <w:rPr>
          <w:rFonts w:ascii="Times New Roman" w:hAnsi="Times New Roman" w:eastAsia="宋体"/>
          <w:b w:val="0"/>
          <w:i w:val="0"/>
          <w:color w:val="595959"/>
          <w:sz w:val="18"/>
        </w:rPr>
        <w:t>Kurt Weyland</w:t>
      </w:r>
    </w:p>
    <w:p>
      <w:r>
        <w:rPr>
          <w:rFonts w:ascii="Times New Roman" w:hAnsi="Times New Roman" w:eastAsia="宋体"/>
          <w:b w:val="0"/>
          <w:i w:val="0"/>
          <w:sz w:val="22"/>
        </w:rPr>
        <w:t>摘要：【摘译】作者警示“政变”“法西斯”等概念被宽泛使用的“概念拉伸”，源于学者公共参与与社交媒体注意力竞争，损害学术清晰度且可能适得其反。</w:t>
      </w:r>
    </w:p>
    <w:p>
      <w:r>
        <w:rPr>
          <w:rFonts w:ascii="Times New Roman" w:hAnsi="Times New Roman" w:eastAsia="宋体"/>
          <w:b w:val="0"/>
          <w:i w:val="0"/>
          <w:sz w:val="20"/>
        </w:rPr>
        <w:t>abstract: Despite Giovanni Sartori’s famous warning, contemporary academia has seen a new bout of conceptual stretching, as evident in the loose, expansive usage of terms such as coup and fascism . This concept creep reflects the normative progress of recent decades, which has ruled out true fascism and deterred full-scale coups. Because these normative advances have induced remaining nefarious actors to pursue their undemocratic goals through formally democratic procedures, ambiguity has blurred conceptual boundaries. The article posits that when examining this gray area, scholars may be tempted to overuse dramatic terms because concern about new threats to democracy has motivated a turn to public intellectualism and democratic engagement. Moreover, the proliferation of social media has fueled stiff competition for public attention, which may have helped to create a penchant for stark warnings. The author argues that the resulting conceptual stretching undermines the clarity and accuracy required for academic scholarship and that such imprecision can also be counterproductive for scholars’ normative concerns. The overuse of dramatic terms risks distorting problem diagnosis, exacerbating polarization, and thus reinforcing the danger facing contemporary democracy, which arises primarily from the specific challenges that illiberal populism poses.</w:t>
      </w:r>
    </w:p>
    <w:p/>
    <w:p>
      <w:r>
        <w:rPr>
          <w:rFonts w:ascii="Times New Roman" w:hAnsi="Times New Roman" w:eastAsia="宋体"/>
          <w:b/>
          <w:i w:val="0"/>
          <w:sz w:val="22"/>
        </w:rPr>
        <w:t>WP： Vol. 76, No. 2, 2024</w:t>
      </w:r>
    </w:p>
    <w:p/>
    <w:p>
      <w:r>
        <w:rPr>
          <w:rFonts w:ascii="Times New Roman" w:hAnsi="Times New Roman" w:eastAsia="黑体"/>
          <w:b/>
          <w:i w:val="0"/>
          <w:sz w:val="24"/>
        </w:rPr>
        <w:t>镇压的地方记忆与谁会参战</w:t>
      </w:r>
    </w:p>
    <w:p>
      <w:r>
        <w:rPr>
          <w:rFonts w:ascii="Times New Roman" w:hAnsi="Times New Roman" w:eastAsia="宋体"/>
          <w:b w:val="0"/>
          <w:i/>
          <w:color w:val="404040"/>
          <w:sz w:val="20"/>
        </w:rPr>
        <w:t>The Local Memory of Repression, and Who Fights</w:t>
      </w:r>
    </w:p>
    <w:p>
      <w:r>
        <w:rPr>
          <w:rFonts w:ascii="Times New Roman" w:hAnsi="Times New Roman" w:eastAsia="宋体"/>
          <w:b w:val="0"/>
          <w:i w:val="0"/>
          <w:color w:val="595959"/>
          <w:sz w:val="18"/>
        </w:rPr>
        <w:t>Soeren J. Henn；Connor Huff</w:t>
      </w:r>
    </w:p>
    <w:p>
      <w:r>
        <w:rPr>
          <w:rFonts w:ascii="Times New Roman" w:hAnsi="Times New Roman" w:eastAsia="宋体"/>
          <w:b w:val="0"/>
          <w:i w:val="0"/>
          <w:sz w:val="22"/>
        </w:rPr>
        <w:t>摘要：【摘译】基于逾15万名爱尔兰战斗人员数据，作者发现大饥荒受灾更重地区的后代加入亲英民兵与一战英军的比例更低、反叛英国的比例更高，并更支持新芬党。</w:t>
      </w:r>
    </w:p>
    <w:p>
      <w:r>
        <w:rPr>
          <w:rFonts w:ascii="Times New Roman" w:hAnsi="Times New Roman" w:eastAsia="宋体"/>
          <w:b w:val="0"/>
          <w:i w:val="0"/>
          <w:sz w:val="20"/>
        </w:rPr>
        <w:t>abstract: How does the local memory of past repression affect whether individuals fight for or rebel against the government perpetrator? The authors theorize how information about past repression is transmitted across generations to shape long-run patterns of loyalty and rebellion toward the state. To assess this argument, they study how the legacies of the 1845–49 Irish Potato Famine affected the decisions of subsequent generations of Irishmen to fight for or against Britain. Leveraging data on more than 150,000 Irish combatants, the authors show that individuals in places more severely affected by the Famine fought in the pro-British Irish Militia and the British military in World War I at lower rates. By contrast, those individuals rebelled against Britain at higher rates. Additional quantitative analysis provides evidence consistent with the theoretical argument: constituencies more severely affected by the Famine were more likely to vote for the pro-Irish, anti-British Sinn Féin Party. This article demonstrates how the local memory of past repression can play a crucial role in shaping long-run patterns of participation in conflict.</w:t>
      </w:r>
    </w:p>
    <w:p/>
    <w:p>
      <w:r>
        <w:rPr>
          <w:rFonts w:ascii="Times New Roman" w:hAnsi="Times New Roman" w:eastAsia="黑体"/>
          <w:b/>
          <w:i w:val="0"/>
          <w:sz w:val="24"/>
        </w:rPr>
        <w:t>贸易补偿的选举奖惩</w:t>
      </w:r>
    </w:p>
    <w:p>
      <w:r>
        <w:rPr>
          <w:rFonts w:ascii="Times New Roman" w:hAnsi="Times New Roman" w:eastAsia="宋体"/>
          <w:b w:val="0"/>
          <w:i/>
          <w:color w:val="404040"/>
          <w:sz w:val="20"/>
        </w:rPr>
        <w:t>Electoral Rewards and Punishments for Trade Compensation</w:t>
      </w:r>
    </w:p>
    <w:p>
      <w:r>
        <w:rPr>
          <w:rFonts w:ascii="Times New Roman" w:hAnsi="Times New Roman" w:eastAsia="宋体"/>
          <w:b w:val="0"/>
          <w:i w:val="0"/>
          <w:color w:val="595959"/>
          <w:sz w:val="18"/>
        </w:rPr>
        <w:t>Minju Kim；Robert Gulotty</w:t>
      </w:r>
    </w:p>
    <w:p>
      <w:r>
        <w:rPr>
          <w:rFonts w:ascii="Times New Roman" w:hAnsi="Times New Roman" w:eastAsia="宋体"/>
          <w:b w:val="0"/>
          <w:i w:val="0"/>
          <w:sz w:val="22"/>
        </w:rPr>
        <w:t>摘要：【摘译】以“中国冲击”时期美国贸易调整援助项目为例，作者发现补偿在受冲击较小地区反而造成选举反噬，因为补偿向选民传递了全球化成本信息（“惊扰效应”），解释了政府为何对补偿投入不足。</w:t>
      </w:r>
    </w:p>
    <w:p>
      <w:r>
        <w:rPr>
          <w:rFonts w:ascii="Times New Roman" w:hAnsi="Times New Roman" w:eastAsia="宋体"/>
          <w:b w:val="0"/>
          <w:i w:val="0"/>
          <w:sz w:val="20"/>
        </w:rPr>
        <w:t>abstract: When globalization harms a community, voters are expected to demand compensation programs. Why, then, would incumbents fail to provide additional compensation following an economic shock? The authors argue that in addition to offering material assistance, government compensation also informs voters about the costs of globalization, generating consternation in the electorate. As a result, providing compensation can hurt incumbents' electoral prospects. This article studies this consternation effect in the United States during the China shock period (1990–2007). The authors use an administrative instrument for access to the US Trade Adjustment Assistance (taa) program, the longest-standing compensation system for workers displaced by international trade. The analysis shows that compensation electorally backfires when distributed to low-shocked regions in which the informational value of compensation is high. The consternation effect can explain why governments often underinvest in compensation programs.</w:t>
      </w:r>
    </w:p>
    <w:p/>
    <w:p>
      <w:r>
        <w:rPr>
          <w:rFonts w:ascii="Times New Roman" w:hAnsi="Times New Roman" w:eastAsia="黑体"/>
          <w:b/>
          <w:i w:val="0"/>
          <w:sz w:val="24"/>
        </w:rPr>
        <w:t>革命时期的税收：阿尔及利亚“希拉克”运动期间对食利国家理论的实验检验</w:t>
      </w:r>
    </w:p>
    <w:p>
      <w:r>
        <w:rPr>
          <w:rFonts w:ascii="Times New Roman" w:hAnsi="Times New Roman" w:eastAsia="宋体"/>
          <w:b w:val="0"/>
          <w:i/>
          <w:color w:val="404040"/>
          <w:sz w:val="20"/>
        </w:rPr>
        <w:t>Taxes in the Time of Revolution: An Experimental Test of the Rentier State during Algeria's Hirak</w:t>
      </w:r>
    </w:p>
    <w:p>
      <w:r>
        <w:rPr>
          <w:rFonts w:ascii="Times New Roman" w:hAnsi="Times New Roman" w:eastAsia="宋体"/>
          <w:b w:val="0"/>
          <w:i w:val="0"/>
          <w:color w:val="595959"/>
          <w:sz w:val="18"/>
        </w:rPr>
        <w:t>Robert Kubinec；Helen V. Milner</w:t>
      </w:r>
    </w:p>
    <w:p>
      <w:r>
        <w:rPr>
          <w:rFonts w:ascii="Times New Roman" w:hAnsi="Times New Roman" w:eastAsia="宋体"/>
          <w:b w:val="0"/>
          <w:i w:val="0"/>
          <w:sz w:val="22"/>
        </w:rPr>
        <w:t>摘要：【摘译】对9721名阿尔及利亚人的在线实验显示，获知高燃油补贴与低税收后对政府绩效评价提高，但对抗议意愿无影响；富人更支持政权，穷人部分更不支持。</w:t>
      </w:r>
    </w:p>
    <w:p>
      <w:r>
        <w:rPr>
          <w:rFonts w:ascii="Times New Roman" w:hAnsi="Times New Roman" w:eastAsia="宋体"/>
          <w:b w:val="0"/>
          <w:i w:val="0"/>
          <w:sz w:val="20"/>
        </w:rPr>
        <w:t>abstract: This article examines the rentier thesis that a government's control over oil resources should help it to resist pressures for democratization. The authors' online survey experiment, implemented during a nationwide mobilization for regime change in Algeria known as the Hirak, used interactive experimental treatments to provide information about the Algerian government's subsidies for fuel resources and low value-added taxes. Based on a sample of 9,721 Algerians, the authors find that when Algerians learn about their country's relatively high level of fuel subsidies and low level of taxes, their assessments of the government's performance improve. However, the treatment has null effects for outcomes involving demands for representation, such as intentions to join protest movements. An analysis of treatment heterogeneity in terms of wealth shows that the wealthy became much more supportive of the regime in response to the treatment while in some cases the poor became much less so. This treatment heterogeneity appears to be related to divergent views among the wealthy and the poor concerning the goals of the protest movement, with the wealthy favoring institutional reforms while the poor prioritized redistributive justice.</w:t>
      </w:r>
    </w:p>
    <w:p/>
    <w:p>
      <w:r>
        <w:rPr>
          <w:rFonts w:ascii="Times New Roman" w:hAnsi="Times New Roman" w:eastAsia="黑体"/>
          <w:b/>
          <w:i w:val="0"/>
          <w:sz w:val="24"/>
        </w:rPr>
        <w:t>换位思考与安全困境思维：来自中国和美国的实验证据</w:t>
      </w:r>
    </w:p>
    <w:p>
      <w:r>
        <w:rPr>
          <w:rFonts w:ascii="Times New Roman" w:hAnsi="Times New Roman" w:eastAsia="宋体"/>
          <w:b w:val="0"/>
          <w:i/>
          <w:color w:val="404040"/>
          <w:sz w:val="20"/>
        </w:rPr>
        <w:t>Perspective-Taking and Security Dilemma Thinking: Experimental Evidence from China and the United States</w:t>
      </w:r>
    </w:p>
    <w:p>
      <w:r>
        <w:rPr>
          <w:rFonts w:ascii="Times New Roman" w:hAnsi="Times New Roman" w:eastAsia="宋体"/>
          <w:b w:val="0"/>
          <w:i w:val="0"/>
          <w:color w:val="595959"/>
          <w:sz w:val="18"/>
        </w:rPr>
        <w:t>Joshua D. Kertzer；Ryan Brutger；Kai Quek</w:t>
      </w:r>
    </w:p>
    <w:p>
      <w:r>
        <w:rPr>
          <w:rFonts w:ascii="Times New Roman" w:hAnsi="Times New Roman" w:eastAsia="宋体"/>
          <w:b w:val="0"/>
          <w:i w:val="0"/>
          <w:sz w:val="22"/>
        </w:rPr>
        <w:t>摘要：中美关系的核心挑战之一是安全困境风险：双方各自出于自认为防御性的理由采取行动，却未意识到对方如何看待。中美公众在多大程度上易受支撑安全困境的心理偏见影响？这些偏见的有害影响能否缓解？作者在中美两国开展平行的二元跨国调查实验，探讨安全困境的微观基础，发现两国公众都存在符合安全困境逻辑的微观证据；还发现国际关系学者高估了换位思考的缓和作用——在感知到对身份与目标的威胁时，换位思考可能适得其反。</w:t>
      </w:r>
    </w:p>
    <w:p>
      <w:r>
        <w:rPr>
          <w:rFonts w:ascii="Times New Roman" w:hAnsi="Times New Roman" w:eastAsia="宋体"/>
          <w:b w:val="0"/>
          <w:i w:val="0"/>
          <w:sz w:val="20"/>
        </w:rPr>
        <w:t>abstract: One of the central challenges in China-US relations is the risk of a security dilemma between China and the United States, as each side carries out actions for what it perceives to be defensively motivated reasons, failing to realize how they are perceived by the other side. Yet how susceptible to the psychological biases that undergird the security dilemma are the Chinese and American publics? Can these biases' deleterious effects be mitigated? The authors explore the microfoundations of the security dilemma, fielding parallel dyadic cross-national survey experiments in China and the United States. We find microlevel evidence consistent with the logic of the security dilemma in publics in both countries. We also find that international relations (ir) scholars have overstated the palliative effects of perspective-taking, which can backfire in the face of perceived threats to actors' identities and goals. The authors' findings have important implications for the study of public opinion in China-US relations and perspective-taking in ir.</w:t>
      </w:r>
    </w:p>
    <w:p/>
    <w:p>
      <w:r>
        <w:rPr>
          <w:rFonts w:ascii="Times New Roman" w:hAnsi="Times New Roman" w:eastAsia="黑体"/>
          <w:b/>
          <w:i w:val="0"/>
          <w:sz w:val="24"/>
        </w:rPr>
        <w:t>时间中的全球治理：制度序列、国际机制复合体与全球治理政治</w:t>
      </w:r>
    </w:p>
    <w:p>
      <w:r>
        <w:rPr>
          <w:rFonts w:ascii="Times New Roman" w:hAnsi="Times New Roman" w:eastAsia="宋体"/>
          <w:b w:val="0"/>
          <w:i/>
          <w:color w:val="404040"/>
          <w:sz w:val="20"/>
        </w:rPr>
        <w:t>Global Governance in Time: Institutional Sequences, International Regime Complexes, and the Politics of Global Governance</w:t>
      </w:r>
    </w:p>
    <w:p>
      <w:r>
        <w:rPr>
          <w:rFonts w:ascii="Times New Roman" w:hAnsi="Times New Roman" w:eastAsia="宋体"/>
          <w:b w:val="0"/>
          <w:i w:val="0"/>
          <w:sz w:val="22"/>
        </w:rPr>
        <w:t>摘要：中国崛起会从根本上改变全球治理吗？回答这一问题需要把握序列如何塑造制度随时间的发展。本文评述的著作将历史制度主义的标准概念工具——路径依赖、反应序列与渐进制度变迁——用于解释全球治理中的制度延续与变迁。作者认为国际机制复合体研究是必要补充，因为国际制度情境与国内情境有重要差异：它产生了标准历史制度主义工具所遗漏的两种序列机制——“脱节序列”，即行为体将努力转移至机制复合体的其他部分，引发平行国际制度间的连锁变化；以及“国际不决策”，即调整全球制度以应对紧迫关切的努力受阻，从而推动在全球制度之外构建替代品。标准历史制度主义工具加上这两种机制，有助于理解中国崛起对全球治理的影响。</w:t>
      </w:r>
    </w:p>
    <w:p>
      <w:r>
        <w:rPr>
          <w:rFonts w:ascii="Times New Roman" w:hAnsi="Times New Roman" w:eastAsia="宋体"/>
          <w:b w:val="0"/>
          <w:i w:val="0"/>
          <w:sz w:val="20"/>
        </w:rPr>
        <w:t>abstract: Will China's rise fundamentally change global governance? Answering this question requires grasping how sequences shape the development of institutions across time. The books that we review adapt the standard historical institutional (hi) conceptual toolkit—path dependence, reactive sequences, and gradual institutional change—to explain institutional persistence and change in global governance. We argue that international regime complexity (irc) scholarship is a necessary complement because the international institutional context differs from the domestic context in important ways. irc generates two sequencing mechanisms that the standard hi toolkit misses. Disjointed sequences occur when actors relocate their efforts to other parts of the regime complex, creating changes that reverberate across parallel international institutions. International nondecisions are stymied efforts to adapt global institutions to address pressing concerns, in which the nondecision pushes the construction of substitutes outside of global institutions. The standard hi toolkit, plus the two irc sequence types, compose a helpful framework for thinking about what China's rise portends for the politics of global governance.</w:t>
      </w:r>
    </w:p>
    <w:p/>
    <w:p>
      <w:r>
        <w:rPr>
          <w:rFonts w:ascii="Times New Roman" w:hAnsi="Times New Roman" w:eastAsia="宋体"/>
          <w:b/>
          <w:i w:val="0"/>
          <w:sz w:val="22"/>
        </w:rPr>
        <w:t>WP： Vol. 76, No. 1, 2024</w:t>
      </w:r>
    </w:p>
    <w:p/>
    <w:p>
      <w:r>
        <w:rPr>
          <w:rFonts w:ascii="Times New Roman" w:hAnsi="Times New Roman" w:eastAsia="黑体"/>
          <w:b/>
          <w:i w:val="0"/>
          <w:sz w:val="24"/>
        </w:rPr>
        <w:t>转移权力以维持控制：作为全国选举策略的分权</w:t>
      </w:r>
    </w:p>
    <w:p>
      <w:r>
        <w:rPr>
          <w:rFonts w:ascii="Times New Roman" w:hAnsi="Times New Roman" w:eastAsia="宋体"/>
          <w:b w:val="0"/>
          <w:i/>
          <w:color w:val="404040"/>
          <w:sz w:val="20"/>
        </w:rPr>
        <w:t>Transferring Power to Maintain Control: Decentralization as a National-Level Electoral Strategy in Western Europe</w:t>
      </w:r>
    </w:p>
    <w:p>
      <w:r>
        <w:rPr>
          <w:rFonts w:ascii="Times New Roman" w:hAnsi="Times New Roman" w:eastAsia="宋体"/>
          <w:b w:val="0"/>
          <w:i w:val="0"/>
          <w:color w:val="595959"/>
          <w:sz w:val="18"/>
        </w:rPr>
        <w:t>Bonnie M. Meguid</w:t>
      </w:r>
    </w:p>
    <w:p>
      <w:r>
        <w:rPr>
          <w:rFonts w:ascii="Times New Roman" w:hAnsi="Times New Roman" w:eastAsia="宋体"/>
          <w:b w:val="0"/>
          <w:i w:val="0"/>
          <w:sz w:val="22"/>
        </w:rPr>
        <w:t>摘要：【摘译】西欧次国家地区数据显示，执政党在立法上脆弱时，会向存在族群地域政党威胁的地区转移更多权限，以安抚其选民、巩固全国选举实力，从而解释不对称分权。</w:t>
      </w:r>
    </w:p>
    <w:p>
      <w:r>
        <w:rPr>
          <w:rFonts w:ascii="Times New Roman" w:hAnsi="Times New Roman" w:eastAsia="宋体"/>
          <w:b w:val="0"/>
          <w:i w:val="0"/>
          <w:sz w:val="20"/>
        </w:rPr>
        <w:t>abstract: Why do national governments choose to transfer some of their administrative, political, and fiscal powers to regional authorities? This article develops and tests a nationally focused strategic account: decentralization is a targeted means to bolster a governing party's national-level electoral strength by appeasing the voters of threatening ethnoterritorial parties in national parliamentary elections. Statistical analyses of decentralization across the subnational regions of Western European countries confirm that governing parties transfer additional competencies to regions in which an ethnoterritorial party threat exists, when the government is legislatively vulnerable. In contrast, if a government is not dependent on a region for maintaining national parliamentary control, the presence of a strong ethnoterritorial opponent will not motivate the government to decentralize. These findings help to explain patterns of asymmetrical decentralization across regions within a country and why governing parties decentralize competencies to subnational governments that they do not expect to control.</w:t>
      </w:r>
    </w:p>
    <w:p/>
    <w:p>
      <w:r>
        <w:rPr>
          <w:rFonts w:ascii="Times New Roman" w:hAnsi="Times New Roman" w:eastAsia="黑体"/>
          <w:b/>
          <w:i w:val="0"/>
          <w:sz w:val="24"/>
        </w:rPr>
        <w:t>不均衡的国家：泰国中心与边缘如何塑造国家能力</w:t>
      </w:r>
    </w:p>
    <w:p>
      <w:r>
        <w:rPr>
          <w:rFonts w:ascii="Times New Roman" w:hAnsi="Times New Roman" w:eastAsia="宋体"/>
          <w:b w:val="0"/>
          <w:i/>
          <w:color w:val="404040"/>
          <w:sz w:val="20"/>
        </w:rPr>
        <w:t>The Uneven State: Center and Periphery in Shaping State Capacity in Thailand</w:t>
      </w:r>
    </w:p>
    <w:p>
      <w:r>
        <w:rPr>
          <w:rFonts w:ascii="Times New Roman" w:hAnsi="Times New Roman" w:eastAsia="宋体"/>
          <w:b w:val="0"/>
          <w:i w:val="0"/>
          <w:color w:val="595959"/>
          <w:sz w:val="18"/>
        </w:rPr>
        <w:t>Illan Nam</w:t>
      </w:r>
    </w:p>
    <w:p>
      <w:r>
        <w:rPr>
          <w:rFonts w:ascii="Times New Roman" w:hAnsi="Times New Roman" w:eastAsia="宋体"/>
          <w:b w:val="0"/>
          <w:i w:val="0"/>
          <w:sz w:val="22"/>
        </w:rPr>
        <w:t>摘要：【摘译】比较泰国公共卫生部与教育部，作者发现部门对农村政策在安全与增长战略中重要性的认知，塑造中央与地方官僚的组织规范，进而决定对边缘地区的能力投入。</w:t>
      </w:r>
    </w:p>
    <w:p>
      <w:r>
        <w:rPr>
          <w:rFonts w:ascii="Times New Roman" w:hAnsi="Times New Roman" w:eastAsia="宋体"/>
          <w:b w:val="0"/>
          <w:i w:val="0"/>
          <w:sz w:val="20"/>
        </w:rPr>
        <w:t>abstract: This article examines the state's uneven capacity to deliver public social goods to the periphery. It does so through a comparative analysis of two agencies in Thailand, the Ministry of Public Health and the Ministry of Education, which have exhibited a marked disparity in serving rural citizens over the past twenty-five years. The author traces these outcomes to a divergence in how the agencies perceive the significance of their rural policies in meeting Thailand's security threats and economic growth strategy. This perception produces contrasting organizational norms between central and local bureaucrats, which informs incentives for capacity-building. When an agency's central office believes that rural policy matters significantly for national goals, norms develop that encourage local agents to invest in serving rural needs. But when an agency deems rural policy to be less urgent in meeting key national objectives, the converse ensues. The article finds that how an agency strategically considers the rural sector influences its decisions to invest in the periphery, with lasting consequences for state capacity and the rural-urban divide.</w:t>
      </w:r>
    </w:p>
    <w:p/>
    <w:p>
      <w:r>
        <w:rPr>
          <w:rFonts w:ascii="Times New Roman" w:hAnsi="Times New Roman" w:eastAsia="黑体"/>
          <w:b/>
          <w:i w:val="0"/>
          <w:sz w:val="24"/>
        </w:rPr>
        <w:t>政府支出与投票行为</w:t>
      </w:r>
    </w:p>
    <w:p>
      <w:r>
        <w:rPr>
          <w:rFonts w:ascii="Times New Roman" w:hAnsi="Times New Roman" w:eastAsia="宋体"/>
          <w:b w:val="0"/>
          <w:i/>
          <w:color w:val="404040"/>
          <w:sz w:val="20"/>
        </w:rPr>
        <w:t>Government Spending and Voting Behavior</w:t>
      </w:r>
    </w:p>
    <w:p>
      <w:r>
        <w:rPr>
          <w:rFonts w:ascii="Times New Roman" w:hAnsi="Times New Roman" w:eastAsia="宋体"/>
          <w:b w:val="0"/>
          <w:i w:val="0"/>
          <w:color w:val="595959"/>
          <w:sz w:val="18"/>
        </w:rPr>
        <w:t>Anselm Hager；Hanno Hilbig</w:t>
      </w:r>
    </w:p>
    <w:p>
      <w:r>
        <w:rPr>
          <w:rFonts w:ascii="Times New Roman" w:hAnsi="Times New Roman" w:eastAsia="宋体"/>
          <w:b w:val="0"/>
          <w:i w:val="0"/>
          <w:sz w:val="22"/>
        </w:rPr>
        <w:t>摘要：【摘译】利用2011年德国人口普查断点带来的预算外生增长，断点回归显示公共物品支出增加有利于左倾政党，机制是居民对经济状况的评价改善。</w:t>
      </w:r>
    </w:p>
    <w:p>
      <w:r>
        <w:rPr>
          <w:rFonts w:ascii="Times New Roman" w:hAnsi="Times New Roman" w:eastAsia="宋体"/>
          <w:b w:val="0"/>
          <w:i w:val="0"/>
          <w:sz w:val="20"/>
        </w:rPr>
        <w:t>abstract: Does government spending on public goods affect the vote choice of citizens? On one hand, prior research has characterized voters as fiscal conservatives who may turn toward conservative parties when government spending goes up. On the other hand, increased spending may signal that the economy is doing well, which makes progressive parties a more viable option. To adjudicate between both hypotheses, this article draws on a natural experiment, which created exogenous variation in government spending. A discontinuity in the 2011 German census meant that some municipalities saw an unforeseen increase in budgets. Using a regression discontinuity design, the authors show that the increase in budgets and subsequent spending on public goods benefited left-leaning parties but had no detectable effect on incumbent support. To parse out the causal channel, the authors rely on panel evidence and demonstrate that treated residents viewed their economic situation more favorably than did untreated residents, which led the former to espouse progressive parties.</w:t>
      </w:r>
    </w:p>
    <w:p/>
    <w:p>
      <w:r>
        <w:rPr>
          <w:rFonts w:ascii="Times New Roman" w:hAnsi="Times New Roman" w:eastAsia="黑体"/>
          <w:b/>
          <w:i w:val="0"/>
          <w:sz w:val="24"/>
        </w:rPr>
        <w:t>当民主带来不安全：政体变迁的政治遗产</w:t>
      </w:r>
    </w:p>
    <w:p>
      <w:r>
        <w:rPr>
          <w:rFonts w:ascii="Times New Roman" w:hAnsi="Times New Roman" w:eastAsia="宋体"/>
          <w:b w:val="0"/>
          <w:i/>
          <w:color w:val="404040"/>
          <w:sz w:val="20"/>
        </w:rPr>
        <w:t>When Democracy Brings Insecurity: The Political Legacies of Regime Change</w:t>
      </w:r>
    </w:p>
    <w:p>
      <w:r>
        <w:rPr>
          <w:rFonts w:ascii="Times New Roman" w:hAnsi="Times New Roman" w:eastAsia="宋体"/>
          <w:b w:val="0"/>
          <w:i w:val="0"/>
          <w:color w:val="595959"/>
          <w:sz w:val="18"/>
        </w:rPr>
        <w:t>Hans Lueders</w:t>
      </w:r>
    </w:p>
    <w:p>
      <w:r>
        <w:rPr>
          <w:rFonts w:ascii="Times New Roman" w:hAnsi="Times New Roman" w:eastAsia="宋体"/>
          <w:b w:val="0"/>
          <w:i w:val="0"/>
          <w:sz w:val="22"/>
        </w:rPr>
        <w:t>摘要：【摘译】调查实验与家庭面板显示，东德人在极端经济不确定中实现民主化，使当今经济不安全对其民主满意度的影响强于西德人，转型期困难越大效应越强。</w:t>
      </w:r>
    </w:p>
    <w:p>
      <w:r>
        <w:rPr>
          <w:rFonts w:ascii="Times New Roman" w:hAnsi="Times New Roman" w:eastAsia="宋体"/>
          <w:b w:val="0"/>
          <w:i w:val="0"/>
          <w:sz w:val="20"/>
        </w:rPr>
        <w:t>abstract: The circumstances under which a country democratizes can have long-lasting consequences for citizens' political attitudes. To develop this argument, the author links East Germans' satisfaction with the functioning of democracy today to their experiences during German reunification: East Germany democratized under conditions of extreme economic uncertainty, which has had enduring effects on how economic evaluations are linked to democracy satisfaction. An original survey experiment finds that qualitatively similar experiences of current economic insecurity have stronger effects on East than West Germans' democracy satisfaction. Household panel data show that this effect is stronger among those East Germans who experienced more economic hardship during the transition. Surveys of East Germans prior to reunification demonstrate that a similar pattern did not exist before the transition. Finally, cross-national survey data document similar patterns among Eastern Europeans more broadly. These findings complement existing work on the legacies of authoritarian rule by emphasizing the lasting attitudinal effects of authoritarian breakdown.</w:t>
      </w:r>
    </w:p>
    <w:p/>
    <w:p>
      <w:r>
        <w:rPr>
          <w:rFonts w:ascii="Times New Roman" w:hAnsi="Times New Roman" w:eastAsia="黑体"/>
          <w:b/>
          <w:i w:val="0"/>
          <w:sz w:val="24"/>
        </w:rPr>
        <w:t>奠定原则：地方社会主义成就如何促使全国资产阶级支持非缴费型养老金</w:t>
      </w:r>
    </w:p>
    <w:p>
      <w:r>
        <w:rPr>
          <w:rFonts w:ascii="Times New Roman" w:hAnsi="Times New Roman" w:eastAsia="宋体"/>
          <w:b w:val="0"/>
          <w:i/>
          <w:color w:val="404040"/>
          <w:sz w:val="20"/>
        </w:rPr>
        <w:t>Laying Down The Principles: How Local Socialist Achievements Spurred National Bourgeois Support for Noncontributory Pensions</w:t>
      </w:r>
    </w:p>
    <w:p>
      <w:r>
        <w:rPr>
          <w:rFonts w:ascii="Times New Roman" w:hAnsi="Times New Roman" w:eastAsia="宋体"/>
          <w:b w:val="0"/>
          <w:i w:val="0"/>
          <w:color w:val="595959"/>
          <w:sz w:val="18"/>
        </w:rPr>
        <w:t>Magnus B. Rasmussen；Carl Henrik Knutsen</w:t>
      </w:r>
    </w:p>
    <w:p>
      <w:r>
        <w:rPr>
          <w:rFonts w:ascii="Times New Roman" w:hAnsi="Times New Roman" w:eastAsia="宋体"/>
          <w:b w:val="0"/>
          <w:i w:val="0"/>
          <w:sz w:val="22"/>
        </w:rPr>
        <w:t>摘要：【摘译】20世纪初挪威数据显示，全国代表性不足但高度制度化、支持集中的社会主义政党先在地方推行养老金，锁定全国政策议程，最终促使来自有地方养老金选区的资产阶级政治家支持全国非缴费型养老金。</w:t>
      </w:r>
    </w:p>
    <w:p>
      <w:r>
        <w:rPr>
          <w:rFonts w:ascii="Times New Roman" w:hAnsi="Times New Roman" w:eastAsia="宋体"/>
          <w:b w:val="0"/>
          <w:i w:val="0"/>
          <w:sz w:val="20"/>
        </w:rPr>
        <w:t>abstract: The authors develop a perspective of locally embedded welfare state development to explain how relatively weak national political actors can, nonetheless, shape national policy over time by pursuing local reforms. Empirically, the authors assess their argument by using municipality-level representative shares, data on noncontributory pension reforms, roll-call votes from parliament, and archival material from early twentieth-century Norway, in which several local governments introduced noncontributory old-age pensions before Norway adopted a national scheme. The authors show, first, how nationally underrepresented but highly institutionalized socialist parties with geographically concentrated support introduced local pensions. Over time, these parties thus shaped the possibility space for national reform, effectively locking the national policy agenda into a pension system preferred by the socialists—namely, noncontributory pensions. Citing high municipality-debt pressures in their constituencies, bourgeois politicians from districts with local pensions eventually supported and promoted national-level pension reform. This support, in turn, spurred the cross-class alliance required to establish a national noncontributory pension 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