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把“一流博士生三阶段标准”转化为区域国别学的行动方案：深挖备忘</w:t>
      </w:r>
    </w:p>
    <w:p>
      <w:pPr>
        <w:jc w:val="center"/>
      </w:pPr>
      <w:r>
        <w:rPr>
          <w:rFonts w:ascii="Times New Roman" w:hAnsi="Times New Roman" w:eastAsia="宋体"/>
          <w:b w:val="0"/>
          <w:color w:val="595959"/>
          <w:sz w:val="20"/>
        </w:rPr>
        <w:t>在你已有的改写（标准—能力—坑）基础上，补充可执行的细节、决策框架与时间表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一、对“三阶段标准”的再校准：从结果指标到“作品组合”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你的改写已经抓住了三点差异：评价体系不同、学科标准仍在形成、治理方向要过“两道关”。在此基础上，建议把“一流”从“发表几篇”进一步转化为一个</w:t>
      </w:r>
      <w:r>
        <w:rPr>
          <w:rFonts w:ascii="Times New Roman" w:hAnsi="Times New Roman" w:eastAsia="宋体"/>
          <w:b/>
          <w:sz w:val="22"/>
        </w:rPr>
        <w:t>作品组合（portfolio）</w:t>
      </w:r>
      <w:r>
        <w:rPr>
          <w:rFonts w:ascii="Times New Roman" w:hAnsi="Times New Roman" w:eastAsia="宋体"/>
          <w:b w:val="0"/>
          <w:sz w:val="22"/>
        </w:rPr>
        <w:t>。原因在于区域国别学的评价是多元的：期刊、专著、智库成果与国际可见度各有权重，单一指标容易误导投入。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1.1 读书期间的作品组合（建议目标）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中文顶刊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《世界经济与政治》《中国社会科学》一档至少1篇（独立或第一作者）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“一鸣惊人”的那一篇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中文权威期刊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《国际政治科学》《当代亚太》《外交评论》《国际经济评论》一档2篇以上，其中至少1篇独立作者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“第二篇证明不是运气”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英文论文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至少1篇进入同行视野：已发表或处于外审中的RIPE、RIO、CJIP、Global Governance一档论文，或在PEIO、IPES、ISA宣读的工作论文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国际可见度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原创数据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1个可公开的原创数据集（附说明文档）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区域国别学稀缺、易被引用，也是英文发表的敲门砖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智库成果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1份基于自己研究、被采纳或获批示的报告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必须来自主线研究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博士论文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具备成书条件：一个核心问题、一套可检验解释、多章证据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毕业后5年的名片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学术网络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1次以上海外访学或田野；2次以上国际会议宣读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合作者与“竞争者”网络</w:t>
            </w:r>
          </w:p>
        </w:tc>
      </w:tr>
    </w:tbl>
    <w:p/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1.2 毕业5—10年的标志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博士论文修订出版，成为该议题绕不开的专著。最好在国内一流出版社出版，同时争取以英文出版或发表英文版的核心章节。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主持国家社科基金项目（青年项目到一般项目），且项目与博士论文主线连贯。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至少一篇被国际同行引用、讨论的英文论文。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原创数据集被他人使用（这是被国际同行“绕不开”的最快路径之一）。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核心标准不变：在一个问题上成为别人绕不开的人。</w:t>
      </w:r>
      <w:r>
        <w:rPr>
          <w:rFonts w:ascii="Times New Roman" w:hAnsi="Times New Roman" w:eastAsia="宋体"/>
          <w:b w:val="0"/>
          <w:sz w:val="22"/>
        </w:rPr>
        <w:t xml:space="preserve"> 在区域国别学中，“绕不开”通常来自三样东西之一：一个被广泛使用的概念、一个被广泛使用的数据集、一本被广泛引用的专著。规划时应有意识地至少押注其中两样。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二、最重要的决定：主线是什么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你目前的方向较多：层级选择、排他性水平、从规模到位置、供给网络拓扑、国际公共产品理论重构、上诉机构瘫痪、数智治理三难、现代化联动、开放与中国式现代化等。正如已有建议所指出的，这些方向大多在回答</w:t>
      </w:r>
      <w:r>
        <w:rPr>
          <w:rFonts w:ascii="Times New Roman" w:hAnsi="Times New Roman" w:eastAsia="宋体"/>
          <w:b/>
          <w:sz w:val="22"/>
        </w:rPr>
        <w:t>“谁来供给国际公共产品与制度、在哪个层级供给、是否排他”</w:t>
      </w:r>
      <w:r>
        <w:rPr>
          <w:rFonts w:ascii="Times New Roman" w:hAnsi="Times New Roman" w:eastAsia="宋体"/>
          <w:b w:val="0"/>
          <w:sz w:val="22"/>
        </w:rPr>
        <w:t>。真正需要取舍的是：博士论文方向“开放与中国式现代化”（基于Aizenman的增长研究）与这组国际公共产品研究不在同一条线上。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这个决定只能由你做。下面提供一个决策框架和三个备选方案，帮助你把直觉变成可比较的判断。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2.1 决策框架：八个维度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873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要问的问题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理论前沿度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国际同行是否正在争论这个问题？（参考：海外博士论文与PEIO、IPES会议）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国际可对话性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能否用英文讲清楚“为什么重要”？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国内现实分量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是否回应国家战略与学界关切？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比较优势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你的语言、资料、准入、导师资源是否独特？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数据可得性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两年内能否拿到或建成核心数据？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成书潜力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能否组织成5—7章、一个核心论点的专著？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学科标签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毕业时，求职单位会把你识别为“区域国别学/国际关系”学者，还是“发展经济学”学者？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已有积累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与已发表或在审成果、导师课题的连贯程度如何？</w:t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建议对每个方案按1—5分打分，并请导师和一两位同行独立打分，比较差异。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2.2 三个备选方案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方案A：以“国际公共产品与制度供给”为主线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核心问题：新兴供给者如何选择供给层级与排他程度？这种选择如何改变全球与区域治理结构？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优势：与区域国别学（全球与区域治理）高度贴合；概念创新空间大；海外有直接对话对象（LSE 2024最优权威配置；耶鲁2022中国贷款；PEIO 2026亚投行与货币互换研究）。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风险：理论性强，需要尽早补上可复现的经验检验；Peng Wan（LSE 2024）已占据“规范最优配置”的位置，必须差异化。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处理“开放”方向：作为独立的期刊论文，或暂时搁置。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方案B：以“开放与中国式现代化”为主线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核心问题：开放如何影响中国的增长与国家能力？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优势：有Aizenman文献作为坚实起点；数据较成熟。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风险：学科标签更接近发展经济学或国际经济学，与区域国别学的“全球与区域治理”方向距离较远；在经济学同行面前，计量门槛很高。若沿用宏观增长回归，前沿性有限。可参考耶鲁2025《当代中国经济开放的财政政治》的写法，转向“开放如何重塑国家能力与再分配”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处理国际公共产品方向：作为博士后或青年项目的储备。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方案C（桥接）：以“国际金融公共产品与发展中国家的开放空间”为主线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核心问题：发展中国家的开放选择（资本账户开放、汇率安排、储备积累）受到其可获得的国际金融公共产品约束，包括IMF、区域金融安排、双边货币互换与多边开发银行。新兴供给者以不同层级、不同排他程度供给这些产品，从而改变南方国家的开放空间与发展路径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理论桥梁：Aizenman本人的研究就包括外汇储备的预防性需求、三元悖论指数（与Chinn、Ito合作），以及2008年危机中美联储“选择性货币互换”的分配逻辑（与Pasricha合作）。</w:t>
      </w:r>
      <w:r>
        <w:rPr>
          <w:rFonts w:ascii="Times New Roman" w:hAnsi="Times New Roman" w:eastAsia="宋体"/>
          <w:b/>
          <w:sz w:val="22"/>
        </w:rPr>
        <w:t>“开放”与“国际公共产品”在他的文献中本来就是连着的。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优势：把两条线收拢为一条；保留了Aizenman的经济学严谨性，同时具备全球与区域治理的问题意识；层级（全球/区域/双边）、排他性（谁能获得互换）、网络位置（互换网络拓扑）都可以落到可测量的变量上；中国的货币互换网络与亚投行提供了独特经验锚点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风险：需要同时补宏观金融与网络方法；须明确“中国式现代化”在论文中的位置。较合适的处理是把中国作为“供给者”的关键案例，把南方国家作为“使用者”的比较样本，而不是写成中国增长研究。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适合的书名方向：如《供给开放：新兴供给者、国际金融公共产品与发展中国家的政策空间》（暂拟）。</w:t>
      </w:r>
    </w:p>
    <w:p>
      <w:pPr>
        <w:ind w:left="454"/>
      </w:pPr>
      <w:r>
        <w:rPr>
          <w:rFonts w:ascii="Times New Roman" w:hAnsi="Times New Roman" w:eastAsia="楷体"/>
          <w:b w:val="0"/>
          <w:color w:val="404040"/>
          <w:sz w:val="21"/>
        </w:rPr>
        <w:t>以上方案只是梳理，不替你做选择。一个实用的检验方法是：用一页纸分别写出三个方案的“电梯陈述”（问题、论点、证据、贡献），拿给导师和一位国外同行看，看哪一个最先让人听懂、最先被追问细节。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2.3 收拢后的“方向家族”（以方案A或C为例）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原有方向</w:t>
            </w:r>
          </w:p>
        </w:tc>
        <w:tc>
          <w:tcPr>
            <w:tcW w:type="dxa" w:w="4873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在主线中的位置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层级选择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核心因变量之一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排他性水平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核心因变量之二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从规模到位置、供给网络拓扑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核心自变量或测量方法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国际公共产品理论重构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理论章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上诉机构瘫痪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可作为“全球层供给失灵”的自然实验章节，或独立论文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数智治理三难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暂时搁置，或作为毕业后的第二个研究方向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现代化联动、开放与中国式现代化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方案C中作为“使用者一侧”的结果变量；方案A中作为独立论文或搁置</w:t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  <w:b/>
          <w:sz w:val="22"/>
        </w:rPr>
        <w:t>原则</w:t>
      </w:r>
      <w:r>
        <w:rPr>
          <w:rFonts w:ascii="Times New Roman" w:hAnsi="Times New Roman" w:eastAsia="宋体"/>
          <w:b w:val="0"/>
          <w:sz w:val="22"/>
        </w:rPr>
        <w:t>：一条主线、一到两篇“卫星论文”、其余方向放进“想法库”，定期回顾，但不投入主要时间。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三、博士论文按“书”来设计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3.1 专著式结构模板（以方案C为例）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章</w:t>
            </w:r>
          </w:p>
        </w:tc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可单独发表的形式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 导论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困惑：为何同样开放的南方国家，政策空间差异巨大？为何新兴供给者有时选双边、有时选多边？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 理论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国际金融公共产品的“层级—排他—位置”框架；形式模型推导命题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博弈模型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理论文章（中文顶刊）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3 测量与数据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构建全球金融安全网数据集（IMF、区域安排、双边互换、多边开发银行）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数据构建、网络测量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数据论文（英文期刊）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4 供给者的层级选择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新兴供给者为何选择特定层级与排他程度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大样本离散选择、网络推断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实证文章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5 对使用者的影响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获得供给如何改变南方国家的开放政策与危机应对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交错DID、事件研究、合成控制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实证文章（英文期刊）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6 案例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两到三个国家，如巴基斯坦、阿根廷、某东南亚国家，展示机制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过程追踪、访谈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区域国别案例文章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7 结论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理论贡献、对全球与区域治理的含义、政策启示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智库报告</w:t>
            </w:r>
          </w:p>
        </w:tc>
      </w:tr>
    </w:tbl>
    <w:p/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3.2 两条要求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至少两章有可复现的经验证据</w:t>
      </w:r>
      <w:r>
        <w:rPr>
          <w:rFonts w:ascii="Times New Roman" w:hAnsi="Times New Roman" w:eastAsia="宋体"/>
          <w:b w:val="0"/>
          <w:sz w:val="22"/>
        </w:rPr>
        <w:t>，回应“概念创新与经验检验之间的平衡”。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每章写成可投稿的论文形式</w:t>
      </w:r>
      <w:r>
        <w:rPr>
          <w:rFonts w:ascii="Times New Roman" w:hAnsi="Times New Roman" w:eastAsia="宋体"/>
          <w:b w:val="0"/>
          <w:sz w:val="22"/>
        </w:rPr>
        <w:t>，毕业前完成其中两到三篇的投稿。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四、独立代表作的规划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与导师合作发表是很好的起点，但要被识别为“一流”，需要一到两篇独立作者的代表作。建议如下：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第一篇独立作品</w:t>
      </w:r>
      <w:r>
        <w:rPr>
          <w:rFonts w:ascii="Times New Roman" w:hAnsi="Times New Roman" w:eastAsia="宋体"/>
          <w:b w:val="0"/>
          <w:sz w:val="22"/>
        </w:rPr>
        <w:t>：选择主线中最能体现个人判断的部分，通常是理论章或数据章，在博二结束前完成投稿。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第二篇独立作品</w:t>
      </w:r>
      <w:r>
        <w:rPr>
          <w:rFonts w:ascii="Times New Roman" w:hAnsi="Times New Roman" w:eastAsia="宋体"/>
          <w:b w:val="0"/>
          <w:sz w:val="22"/>
        </w:rPr>
        <w:t>：选择主线中经验最硬的一章，在博三期间投稿，最好有英文版本。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合作作品</w:t>
      </w:r>
      <w:r>
        <w:rPr>
          <w:rFonts w:ascii="Times New Roman" w:hAnsi="Times New Roman" w:eastAsia="宋体"/>
          <w:b w:val="0"/>
          <w:sz w:val="22"/>
        </w:rPr>
        <w:t>：用于拓宽方法与网络，作者顺序和分工应事先约定。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署名提醒</w:t>
      </w:r>
      <w:r>
        <w:rPr>
          <w:rFonts w:ascii="Times New Roman" w:hAnsi="Times New Roman" w:eastAsia="宋体"/>
          <w:b w:val="0"/>
          <w:sz w:val="22"/>
        </w:rPr>
        <w:t>：国内评价常按“独立或第一作者”计算，合作时提前沟通。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五、学术与智库：建立“一份研究，三种产出”的转化流程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区域国别学的设立本身带有服务国家战略的定位，智库成果分量不轻。关键是</w:t>
      </w:r>
      <w:r>
        <w:rPr>
          <w:rFonts w:ascii="Times New Roman" w:hAnsi="Times New Roman" w:eastAsia="宋体"/>
          <w:b/>
          <w:sz w:val="22"/>
        </w:rPr>
        <w:t>智库成果来自学术研究，而不是追热点</w:t>
      </w:r>
      <w:r>
        <w:rPr>
          <w:rFonts w:ascii="Times New Roman" w:hAnsi="Times New Roman" w:eastAsia="宋体"/>
          <w:b w:val="0"/>
          <w:sz w:val="22"/>
        </w:rPr>
        <w:t>。建议建立固定的转化流程：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学术论文</w:t>
      </w:r>
      <w:r>
        <w:rPr>
          <w:rFonts w:ascii="Times New Roman" w:hAnsi="Times New Roman" w:eastAsia="宋体"/>
          <w:b w:val="0"/>
          <w:sz w:val="22"/>
        </w:rPr>
        <w:t>：完整的问题、理论、证据。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政策简报</w:t>
      </w:r>
      <w:r>
        <w:rPr>
          <w:rFonts w:ascii="Times New Roman" w:hAnsi="Times New Roman" w:eastAsia="宋体"/>
          <w:b w:val="0"/>
          <w:sz w:val="22"/>
        </w:rPr>
        <w:t>（2000—3000字）：把论文的发现转化为“形势判断—风险—建议”的结构。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内参或要报</w:t>
      </w:r>
      <w:r>
        <w:rPr>
          <w:rFonts w:ascii="Times New Roman" w:hAnsi="Times New Roman" w:eastAsia="宋体"/>
          <w:b w:val="0"/>
          <w:sz w:val="22"/>
        </w:rPr>
        <w:t>（1500字左右）：一个判断、三条依据、三条建议。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时间分配建议</w:t>
      </w:r>
      <w:r>
        <w:rPr>
          <w:rFonts w:ascii="Times New Roman" w:hAnsi="Times New Roman" w:eastAsia="宋体"/>
          <w:b w:val="0"/>
          <w:sz w:val="22"/>
        </w:rPr>
        <w:t>：学术与智库的时间比例约为4比1。追热点的短评除非直接来自主线研究，否则谨慎接受。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六、语言与田野：把“准入优势”用起来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6.1 语言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英文要达到能独立投稿、能在国际会议上答辩的水平。建议每年至少在一个国际会议上宣读论文，作为“压力测试”。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第二外语取决于区域锚点：研究东盟可学印尼语或越南语；研究拉美学西班牙语或葡萄牙语；研究中东学阿拉伯语；研究中亚学俄语。若锚点是国际组织，则法语对日内瓦与非洲法语区很有用。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6.2 治理方向的“田野地图”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地点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机构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适合的问题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日内瓦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WTO、联合国贸发会议（UNCTAD）、国际贸易中心、国际劳工组织、世卫组织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贸易规则、上诉机构、发展议程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华盛顿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IMF、世界银行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金融安全网、开发融资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北京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亚投行、各国使馆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新兴供给者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上海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新开发银行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金砖合作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马尼拉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亚洲开发银行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区域开发融资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新加坡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东盟与中日韩宏观经济研究办公室（AMRO）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区域金融安全网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雅加达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东盟秘书处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区域规则与转译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亚的斯亚贝巴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非盟委员会、联合国非洲经济委员会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非洲区域治理</w:t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  <w:b/>
          <w:sz w:val="22"/>
        </w:rPr>
        <w:t>中国学者的准入优势</w:t>
      </w:r>
      <w:r>
        <w:rPr>
          <w:rFonts w:ascii="Times New Roman" w:hAnsi="Times New Roman" w:eastAsia="宋体"/>
          <w:b w:val="0"/>
          <w:sz w:val="22"/>
        </w:rPr>
        <w:t>：在中国主导或参与的机构（亚投行、新开发银行、AMRO、中国—东盟合作机制）以及中资企业和使领馆系统中，你有西方同行难以获得的访谈机会。要用起来，同时做好伦理审查、知情同意与匿名化，避免影响受访者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6.3 访谈的最低规范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事先写好访谈提纲与抽样逻辑，说明为何访谈这些人；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记录访谈的时间、地点与身份类型；引用时匿名化处理；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把访谈材料与文件、数据交叉验证，避免只依赖单一来源。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七、学术网络：会议、访学与合作者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7.1 会议（建议优先级）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国际</w:t>
      </w:r>
      <w:r>
        <w:rPr>
          <w:rFonts w:ascii="Times New Roman" w:hAnsi="Times New Roman" w:eastAsia="宋体"/>
          <w:b w:val="0"/>
          <w:sz w:val="22"/>
        </w:rPr>
        <w:t>：PEIO（国际组织政治经济学，每年1—2月，欧洲）、IPES（国际政治经济学会，每年秋季，美国）、ISA年会（国际研究学会，每年春季）、APSA年会（每年8—9月）、EISA泛欧国际关系会议。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国内</w:t>
      </w:r>
      <w:r>
        <w:rPr>
          <w:rFonts w:ascii="Times New Roman" w:hAnsi="Times New Roman" w:eastAsia="宋体"/>
          <w:b w:val="0"/>
          <w:sz w:val="22"/>
        </w:rPr>
        <w:t>：中国国际关系学会年会、区域国别学相关学术年会、各高校全球治理论坛。（具体名称与时间以当年通知为准。）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会议的用法</w:t>
      </w:r>
      <w:r>
        <w:rPr>
          <w:rFonts w:ascii="Times New Roman" w:hAnsi="Times New Roman" w:eastAsia="宋体"/>
          <w:b w:val="0"/>
          <w:sz w:val="22"/>
        </w:rPr>
        <w:t>：提交论文是为了获得反馈和建立网络。会前读好同场论文，会后一周内给感兴趣的学者写简短邮件。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7.2 访学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国家留学基金委联合培养项目可资助6—12个月的海外访学。选导师的标准是：与你的主线直接相关，且有复制数据或田野经验可以学。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聂辉华提醒的“负外部性”同样适用：访学要真学习，最好与外方导师合作写一篇论文。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7.3 合作者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寻找方法互补的合作者：你若偏理论与区域，可以找一位偏计量或计算的同龄人合作。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最重要的作品最好独著。合作作品用于拓宽网络与方法。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八、知识管理：把读过的东西变成资产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聂辉华建议“读论文时做读书笔记并注明出处”。在今天，可以做得更系统：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文献管理</w:t>
      </w:r>
      <w:r>
        <w:rPr>
          <w:rFonts w:ascii="Times New Roman" w:hAnsi="Times New Roman" w:eastAsia="宋体"/>
          <w:b w:val="0"/>
          <w:sz w:val="22"/>
        </w:rPr>
        <w:t>：用Zotero统一管理，搭配Better BibTeX导出引用；按主线建立分类。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文献矩阵</w:t>
      </w:r>
      <w:r>
        <w:rPr>
          <w:rFonts w:ascii="Times New Roman" w:hAnsi="Times New Roman" w:eastAsia="宋体"/>
          <w:b w:val="0"/>
          <w:sz w:val="22"/>
        </w:rPr>
        <w:t>：沿用本次生成的《七刊思路拆解表》与《海外博士论文前沿附表》的列结构（问题、困惑类型、X/M/Y、方法、数据、发现、启发），每读一篇加一行。三年下来就是你的个人数据库，可直接用于文献综述与授课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想法库</w:t>
      </w:r>
      <w:r>
        <w:rPr>
          <w:rFonts w:ascii="Times New Roman" w:hAnsi="Times New Roman" w:eastAsia="宋体"/>
          <w:b w:val="0"/>
          <w:sz w:val="22"/>
        </w:rPr>
        <w:t>：单独记录所有“暂时不做”的想法，每季度回顾一次。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写作习惯</w:t>
      </w:r>
      <w:r>
        <w:rPr>
          <w:rFonts w:ascii="Times New Roman" w:hAnsi="Times New Roman" w:eastAsia="宋体"/>
          <w:b w:val="0"/>
          <w:sz w:val="22"/>
        </w:rPr>
        <w:t>：每天固定时间写作，哪怕只写300字；每周写一页研究日志，记录问题、进展与卡点。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九、四年时间表（以四年制博士为例）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学年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关键任务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里程碑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博一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确定主线（第一学期末前）；完成文献矩阵与研究设计；方法阶段1—2；复现一篇论文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主线“一页纸”定稿；开题报告初稿；第一篇合作论文投稿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博二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构建原创数据集；完成理论章与数据章；方法阶段3—4；第一次国际会议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第一篇独立论文投稿；数据集初版；开题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博三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海外访学或田野；完成实证章与案例章；英文论文写作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第二篇独立论文投稿（争取英文）；智库报告一份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博四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完成全文；答辩；求职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博士论文定稿（按书稿标准）；求职材料：一篇求职论文、研究陈述、教学陈述</w:t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  <w:b/>
          <w:sz w:val="22"/>
        </w:rPr>
        <w:t>关于求职论文</w:t>
      </w:r>
      <w:r>
        <w:rPr>
          <w:rFonts w:ascii="Times New Roman" w:hAnsi="Times New Roman" w:eastAsia="宋体"/>
          <w:b w:val="0"/>
          <w:sz w:val="22"/>
        </w:rPr>
        <w:t>：学习美国院系的做法，从博士论文中挑出一篇最能代表你水平的论文作为“求职论文”，在博四上学期前打磨到可投稿状态。它是你在面试中“让人记住”的那张名片。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十、需要特别警惕的坑（补充）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“没有区域”的治理研究</w:t>
      </w:r>
      <w:r>
        <w:rPr>
          <w:rFonts w:ascii="Times New Roman" w:hAnsi="Times New Roman" w:eastAsia="宋体"/>
          <w:b w:val="0"/>
          <w:sz w:val="22"/>
        </w:rPr>
        <w:t>：治理方向容易写成抽象的全球治理理论。必须有一个能做深的经验锚点，如某一区域组织、某类国际组织或全球南方的某一国家群。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“理论空转”与“区域描述”</w:t>
      </w:r>
      <w:r>
        <w:rPr>
          <w:rFonts w:ascii="Times New Roman" w:hAnsi="Times New Roman" w:eastAsia="宋体"/>
          <w:b w:val="0"/>
          <w:sz w:val="22"/>
        </w:rPr>
        <w:t>：前者套框架、把区域当案例库，后者材料丰富却没有可推广的论点。检验办法是，看你的论文能否同时被一位IR理论学者和一位区域专家认可。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概念过多、检验过少</w:t>
      </w:r>
      <w:r>
        <w:rPr>
          <w:rFonts w:ascii="Times New Roman" w:hAnsi="Times New Roman" w:eastAsia="宋体"/>
          <w:b w:val="0"/>
          <w:sz w:val="22"/>
        </w:rPr>
        <w:t>：每提出一个概念，至少配一项可复现的经验检验。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方法炫技</w:t>
      </w:r>
      <w:r>
        <w:rPr>
          <w:rFonts w:ascii="Times New Roman" w:hAnsi="Times New Roman" w:eastAsia="宋体"/>
          <w:b w:val="0"/>
          <w:sz w:val="22"/>
        </w:rPr>
        <w:t>：方法服务于问题，不为方法而方法。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追热点</w:t>
      </w:r>
      <w:r>
        <w:rPr>
          <w:rFonts w:ascii="Times New Roman" w:hAnsi="Times New Roman" w:eastAsia="宋体"/>
          <w:b w:val="0"/>
          <w:sz w:val="22"/>
        </w:rPr>
        <w:t>：热点短评挤占学术时间，而学术积累才是智库判断的根基。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只做中国视角</w:t>
      </w:r>
      <w:r>
        <w:rPr>
          <w:rFonts w:ascii="Times New Roman" w:hAnsi="Times New Roman" w:eastAsia="宋体"/>
          <w:b w:val="0"/>
          <w:sz w:val="22"/>
        </w:rPr>
        <w:t>：国际同行已普遍采用“能动性转向”和“分解中国”的写法，需要同时呈现东道国和第三方视角。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忽视复现与数据公开</w:t>
      </w:r>
      <w:r>
        <w:rPr>
          <w:rFonts w:ascii="Times New Roman" w:hAnsi="Times New Roman" w:eastAsia="宋体"/>
          <w:b w:val="0"/>
          <w:sz w:val="22"/>
        </w:rPr>
        <w:t>：越来越多的国际期刊要求提交复制材料，从博一开始就按可复现标准管理项目。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十一、最后一条：锻炼身体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聂辉华最后一条原样适用。学术研究是马拉松，博士毕业后五年是最辛苦的阶段。现在就固定每周三次、每次至少30分钟的运动，把它当作和写作同等重要的日程。</w:t>
      </w:r>
      <w:r>
        <w:rPr>
          <w:rFonts w:ascii="Times New Roman" w:hAnsi="Times New Roman" w:eastAsia="宋体"/>
          <w:b/>
          <w:sz w:val="22"/>
        </w:rPr>
        <w:t>身体好，才是真的好。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