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掌握先进的分析方法：区域国别学（全球与区域治理）博士生的方法进阶报告</w:t>
      </w:r>
    </w:p>
    <w:p>
      <w:pPr>
        <w:jc w:val="center"/>
      </w:pPr>
      <w:r>
        <w:rPr>
          <w:rFonts w:ascii="Times New Roman" w:hAnsi="Times New Roman" w:eastAsia="宋体"/>
          <w:b w:val="0"/>
          <w:color w:val="595959"/>
          <w:sz w:val="20"/>
        </w:rPr>
        <w:t>对聂辉华“第三条建议”的学科化改写 · 依据七刊830篇论文与679篇海外博士论文的方法统计</w:t>
      </w:r>
    </w:p>
    <w:p>
      <w:pPr>
        <w:spacing w:before="240"/>
      </w:pPr>
      <w:r>
        <w:rPr>
          <w:rFonts w:ascii="Times New Roman" w:hAnsi="Times New Roman" w:eastAsia="黑体"/>
          <w:b/>
          <w:color w:val="1F4E79"/>
          <w:sz w:val="30"/>
        </w:rPr>
        <w:t>一、为什么要改写聂辉华的方法清单</w:t>
      </w:r>
    </w:p>
    <w:p>
      <w:pPr>
        <w:ind w:firstLine="440"/>
      </w:pPr>
      <w:r>
        <w:rPr>
          <w:rFonts w:ascii="Times New Roman" w:hAnsi="Times New Roman" w:eastAsia="宋体"/>
          <w:b w:val="0"/>
          <w:sz w:val="22"/>
        </w:rPr>
        <w:t>聂辉华要求微观经济学博士生掌握博弈论与微观计量工具（DID、PSM、RD、GMM），并学习爬虫与机器学习。核心精神有两条：</w:t>
      </w:r>
      <w:r>
        <w:rPr>
          <w:rFonts w:ascii="Times New Roman" w:hAnsi="Times New Roman" w:eastAsia="宋体"/>
          <w:b/>
          <w:sz w:val="22"/>
        </w:rPr>
        <w:t>趁年轻学难的、新的工具</w:t>
      </w:r>
      <w:r>
        <w:rPr>
          <w:rFonts w:ascii="Times New Roman" w:hAnsi="Times New Roman" w:eastAsia="宋体"/>
          <w:b w:val="0"/>
          <w:sz w:val="22"/>
        </w:rPr>
        <w:t>；</w:t>
      </w:r>
      <w:r>
        <w:rPr>
          <w:rFonts w:ascii="Times New Roman" w:hAnsi="Times New Roman" w:eastAsia="宋体"/>
          <w:b/>
          <w:sz w:val="22"/>
        </w:rPr>
        <w:t>不要迷信“高深思想+简单技术”</w:t>
      </w:r>
      <w:r>
        <w:rPr>
          <w:rFonts w:ascii="Times New Roman" w:hAnsi="Times New Roman" w:eastAsia="宋体"/>
          <w:b w:val="0"/>
          <w:sz w:val="22"/>
        </w:rPr>
        <w:t>。这两条在区域国别学同样成立，但工具清单需要改写，原因有三：</w:t>
      </w:r>
    </w:p>
    <w:p>
      <w:pPr>
        <w:pStyle w:val="ListBullet"/>
      </w:pPr>
      <w:r>
        <w:rPr>
          <w:rFonts w:ascii="Times New Roman" w:hAnsi="Times New Roman" w:eastAsia="宋体"/>
          <w:b/>
          <w:sz w:val="22"/>
        </w:rPr>
        <w:t>问题类型更多样</w:t>
      </w:r>
      <w:r>
        <w:rPr>
          <w:rFonts w:ascii="Times New Roman" w:hAnsi="Times New Roman" w:eastAsia="宋体"/>
          <w:b w:val="0"/>
          <w:sz w:val="22"/>
        </w:rPr>
        <w:t>。全球与区域治理的问题横跨制度设计（适合博弈模型）、政策效果（适合因果推断）、规范与话语（适合文本分析）、过程与机制（适合过程追踪）。单一工具包无法覆盖。</w:t>
      </w:r>
    </w:p>
    <w:p>
      <w:pPr>
        <w:pStyle w:val="ListBullet"/>
      </w:pPr>
      <w:r>
        <w:rPr>
          <w:rFonts w:ascii="Times New Roman" w:hAnsi="Times New Roman" w:eastAsia="宋体"/>
          <w:b/>
          <w:sz w:val="22"/>
        </w:rPr>
        <w:t>数据形态不同</w:t>
      </w:r>
      <w:r>
        <w:rPr>
          <w:rFonts w:ascii="Times New Roman" w:hAnsi="Times New Roman" w:eastAsia="宋体"/>
          <w:b w:val="0"/>
          <w:sz w:val="22"/>
        </w:rPr>
        <w:t>。国际关系的数据常常是国家—年份面板（样本小、单位异质）、国家对（二元）数据（观测不独立）、文本（多语种）和网络（关系型），很少有微观经济学那样的大样本个体数据。</w:t>
      </w:r>
    </w:p>
    <w:p>
      <w:pPr>
        <w:pStyle w:val="ListBullet"/>
      </w:pPr>
      <w:r>
        <w:rPr>
          <w:rFonts w:ascii="Times New Roman" w:hAnsi="Times New Roman" w:eastAsia="宋体"/>
          <w:b/>
          <w:sz w:val="22"/>
        </w:rPr>
        <w:t>评价体系不同</w:t>
      </w:r>
      <w:r>
        <w:rPr>
          <w:rFonts w:ascii="Times New Roman" w:hAnsi="Times New Roman" w:eastAsia="宋体"/>
          <w:b w:val="0"/>
          <w:sz w:val="22"/>
        </w:rPr>
        <w:t>。国际顶刊里比较案例与过程追踪依然可以发表，前提是设计严谨。国内期刊则更看重理论与现实分量。</w:t>
      </w:r>
    </w:p>
    <w:p>
      <w:pPr>
        <w:spacing w:before="120"/>
      </w:pPr>
      <w:r>
        <w:rPr>
          <w:rFonts w:ascii="Times New Roman" w:hAnsi="Times New Roman" w:eastAsia="黑体"/>
          <w:b/>
          <w:color w:val="2E5C8A"/>
          <w:sz w:val="25"/>
        </w:rPr>
        <w:t>1.1 数据告诉我们什么：方法使用的实际分布</w:t>
      </w:r>
    </w:p>
    <w:p>
      <w:pPr>
        <w:pStyle w:val="ListBullet"/>
      </w:pPr>
      <w:r>
        <w:rPr>
          <w:rFonts w:ascii="Times New Roman" w:hAnsi="Times New Roman" w:eastAsia="宋体"/>
          <w:b/>
          <w:sz w:val="22"/>
        </w:rPr>
        <w:t>七刊（2024—2026，830篇）</w:t>
      </w:r>
      <w:r>
        <w:rPr>
          <w:rFonts w:ascii="Times New Roman" w:hAnsi="Times New Roman" w:eastAsia="宋体"/>
          <w:b w:val="0"/>
          <w:sz w:val="22"/>
        </w:rPr>
        <w:t>：在研究设计与识别字段中，“案例”出现139次，“实验”117次（其中调查实验42次），“访谈”40次，“回归”39次，“文本”36次，“DID”27次，“数据集”21次，“IV”21次，“网络”18次，“过程追踪”16次。IO与RIO以“新数据集+调查实验+文本”为主，RIPE与NPE以“案例+访谈+历史”为主，JCE几乎全部是准实验识别。</w:t>
      </w:r>
    </w:p>
    <w:p>
      <w:pPr>
        <w:pStyle w:val="ListBullet"/>
      </w:pPr>
      <w:r>
        <w:rPr>
          <w:rFonts w:ascii="Times New Roman" w:hAnsi="Times New Roman" w:eastAsia="宋体"/>
          <w:b/>
          <w:sz w:val="22"/>
        </w:rPr>
        <w:t>海外博士论文（2022—2026，有摘要的580篇）</w:t>
      </w:r>
      <w:r>
        <w:rPr>
          <w:rFonts w:ascii="Times New Roman" w:hAnsi="Times New Roman" w:eastAsia="宋体"/>
          <w:b w:val="0"/>
          <w:sz w:val="22"/>
        </w:rPr>
        <w:t>：摘要中提到访谈的占19%，实验与比较案例各占14%，民族志9%，档案8%，原创数据集7%，调查实验6%，DID 5%，文本与机器学习4%，过程追踪3%。这一样本偏重英欧，定性比重偏高；美国院系与PEIO、IPES会议的论文则以因果推断、原创数据和调查实验为主。</w:t>
      </w:r>
    </w:p>
    <w:p>
      <w:pPr>
        <w:ind w:firstLine="440"/>
      </w:pPr>
      <w:r>
        <w:rPr>
          <w:rFonts w:ascii="Times New Roman" w:hAnsi="Times New Roman" w:eastAsia="宋体"/>
          <w:b/>
          <w:sz w:val="22"/>
        </w:rPr>
        <w:t>结论</w:t>
      </w:r>
      <w:r>
        <w:rPr>
          <w:rFonts w:ascii="Times New Roman" w:hAnsi="Times New Roman" w:eastAsia="宋体"/>
          <w:b w:val="0"/>
          <w:sz w:val="22"/>
        </w:rPr>
        <w:t>：国际上存在“两种文化”（借用Goertz与Mahoney的说法），</w:t>
      </w:r>
      <w:r>
        <w:rPr>
          <w:rFonts w:ascii="Times New Roman" w:hAnsi="Times New Roman" w:eastAsia="宋体"/>
          <w:b/>
          <w:sz w:val="22"/>
        </w:rPr>
        <w:t>定量因果推断与严谨定性研究都能进顶刊</w:t>
      </w:r>
      <w:r>
        <w:rPr>
          <w:rFonts w:ascii="Times New Roman" w:hAnsi="Times New Roman" w:eastAsia="宋体"/>
          <w:b w:val="0"/>
          <w:sz w:val="22"/>
        </w:rPr>
        <w:t>。对你最有利的组合是</w:t>
      </w:r>
      <w:r>
        <w:rPr>
          <w:rFonts w:ascii="Times New Roman" w:hAnsi="Times New Roman" w:eastAsia="宋体"/>
          <w:b/>
          <w:sz w:val="22"/>
        </w:rPr>
        <w:t>一种拿得出手的定量核心 + 一种严谨的定性方法 + 数据获取能力</w:t>
      </w:r>
      <w:r>
        <w:rPr>
          <w:rFonts w:ascii="Times New Roman" w:hAnsi="Times New Roman" w:eastAsia="宋体"/>
          <w:b w:val="0"/>
          <w:sz w:val="22"/>
        </w:rPr>
        <w:t>。</w:t>
      </w:r>
    </w:p>
    <w:p>
      <w:pPr>
        <w:spacing w:before="240"/>
      </w:pPr>
      <w:r>
        <w:rPr>
          <w:rFonts w:ascii="Times New Roman" w:hAnsi="Times New Roman" w:eastAsia="黑体"/>
          <w:b/>
          <w:color w:val="1F4E79"/>
          <w:sz w:val="30"/>
        </w:rPr>
        <w:t>二、方法地图：先设计，后工具</w:t>
      </w:r>
    </w:p>
    <w:p>
      <w:pPr>
        <w:ind w:firstLine="440"/>
      </w:pPr>
      <w:r>
        <w:rPr>
          <w:rFonts w:ascii="Times New Roman" w:hAnsi="Times New Roman" w:eastAsia="宋体"/>
          <w:b w:val="0"/>
          <w:sz w:val="22"/>
        </w:rPr>
        <w:t>方法学习最常见的误区是先学工具再找问题。正确的顺序是：</w:t>
      </w:r>
    </w:p>
    <w:p>
      <w:pPr>
        <w:pStyle w:val="ListBullet"/>
      </w:pPr>
      <w:r>
        <w:rPr>
          <w:rFonts w:ascii="Times New Roman" w:hAnsi="Times New Roman" w:eastAsia="宋体"/>
          <w:b/>
          <w:sz w:val="22"/>
        </w:rPr>
        <w:t>研究设计层</w:t>
      </w:r>
      <w:r>
        <w:rPr>
          <w:rFonts w:ascii="Times New Roman" w:hAnsi="Times New Roman" w:eastAsia="宋体"/>
          <w:b w:val="0"/>
          <w:sz w:val="22"/>
        </w:rPr>
        <w:t>：因果推断的逻辑（潜在结果框架、反事实、混杂、选择偏误）、案例选择、测量效度、外部有效性。这是所有方法的共同语法。</w:t>
      </w:r>
    </w:p>
    <w:p>
      <w:pPr>
        <w:pStyle w:val="ListBullet"/>
      </w:pPr>
      <w:r>
        <w:rPr>
          <w:rFonts w:ascii="Times New Roman" w:hAnsi="Times New Roman" w:eastAsia="宋体"/>
          <w:b/>
          <w:sz w:val="22"/>
        </w:rPr>
        <w:t>工具层</w:t>
      </w:r>
      <w:r>
        <w:rPr>
          <w:rFonts w:ascii="Times New Roman" w:hAnsi="Times New Roman" w:eastAsia="宋体"/>
          <w:b w:val="0"/>
          <w:sz w:val="22"/>
        </w:rPr>
        <w:t>：在设计层的指导下，按问题选工具。</w:t>
      </w:r>
    </w:p>
    <w:p>
      <w:pPr>
        <w:pStyle w:val="ListBullet"/>
      </w:pPr>
      <w:r>
        <w:rPr>
          <w:rFonts w:ascii="Times New Roman" w:hAnsi="Times New Roman" w:eastAsia="宋体"/>
          <w:b/>
          <w:sz w:val="22"/>
        </w:rPr>
        <w:t>数据层</w:t>
      </w:r>
      <w:r>
        <w:rPr>
          <w:rFonts w:ascii="Times New Roman" w:hAnsi="Times New Roman" w:eastAsia="宋体"/>
          <w:b w:val="0"/>
          <w:sz w:val="22"/>
        </w:rPr>
        <w:t>：数据获取、清洗、管理与复现。这是区域国别研究者形成比较优势的地方，因为你能获取别人拿不到的多语种、在地数据。</w:t>
      </w:r>
    </w:p>
    <w:p>
      <w:pPr>
        <w:ind w:firstLine="440"/>
      </w:pPr>
      <w:r>
        <w:rPr>
          <w:rFonts w:ascii="Times New Roman" w:hAnsi="Times New Roman" w:eastAsia="宋体"/>
          <w:b w:val="0"/>
          <w:sz w:val="22"/>
        </w:rPr>
        <w:t>下表把常见研究问题映射到合适的方法：</w:t>
      </w:r>
    </w:p>
    <w:tbl>
      <w:tblPr>
        <w:tblStyle w:val="TableGrid"/>
        <w:tblW w:type="auto" w:w="0"/>
        <w:tblLook w:firstColumn="1" w:firstRow="1" w:lastColumn="0" w:lastRow="0" w:noHBand="0" w:noVBand="1" w:val="04A0"/>
      </w:tblPr>
      <w:tblGrid>
        <w:gridCol w:w="3249"/>
        <w:gridCol w:w="3249"/>
        <w:gridCol w:w="3249"/>
      </w:tblGrid>
      <w:tr>
        <w:tc>
          <w:tcPr>
            <w:tcW w:type="dxa" w:w="3249"/>
            <w:shd w:val="clear" w:fill="1F4E79"/>
          </w:tcPr>
          <w:p>
            <w:r/>
            <w:r>
              <w:rPr>
                <w:rFonts w:ascii="Times New Roman" w:hAnsi="Times New Roman" w:eastAsia="宋体"/>
                <w:b/>
                <w:color w:val="FFFFFF"/>
                <w:sz w:val="19"/>
              </w:rPr>
              <w:t>你的问题类型</w:t>
            </w:r>
          </w:p>
        </w:tc>
        <w:tc>
          <w:tcPr>
            <w:tcW w:type="dxa" w:w="3249"/>
            <w:shd w:val="clear" w:fill="1F4E79"/>
          </w:tcPr>
          <w:p>
            <w:r/>
            <w:r>
              <w:rPr>
                <w:rFonts w:ascii="Times New Roman" w:hAnsi="Times New Roman" w:eastAsia="宋体"/>
                <w:b/>
                <w:color w:val="FFFFFF"/>
                <w:sz w:val="19"/>
              </w:rPr>
              <w:t>推荐方法</w:t>
            </w:r>
          </w:p>
        </w:tc>
        <w:tc>
          <w:tcPr>
            <w:tcW w:type="dxa" w:w="3249"/>
            <w:shd w:val="clear" w:fill="1F4E79"/>
          </w:tcPr>
          <w:p>
            <w:r/>
            <w:r>
              <w:rPr>
                <w:rFonts w:ascii="Times New Roman" w:hAnsi="Times New Roman" w:eastAsia="宋体"/>
                <w:b/>
                <w:color w:val="FFFFFF"/>
                <w:sz w:val="19"/>
              </w:rPr>
              <w:t>七刊/博士论文样板</w:t>
            </w:r>
          </w:p>
        </w:tc>
      </w:tr>
      <w:tr>
        <w:tc>
          <w:tcPr>
            <w:tcW w:type="dxa" w:w="3249"/>
          </w:tcPr>
          <w:p>
            <w:r/>
            <w:r>
              <w:rPr>
                <w:rFonts w:ascii="Times New Roman" w:hAnsi="Times New Roman" w:eastAsia="宋体"/>
                <w:b w:val="0"/>
                <w:sz w:val="19"/>
              </w:rPr>
              <w:t>X是否导致Y（政策、制度效果）</w:t>
            </w:r>
          </w:p>
        </w:tc>
        <w:tc>
          <w:tcPr>
            <w:tcW w:type="dxa" w:w="3249"/>
          </w:tcPr>
          <w:p>
            <w:r/>
            <w:r>
              <w:rPr>
                <w:rFonts w:ascii="Times New Roman" w:hAnsi="Times New Roman" w:eastAsia="宋体"/>
                <w:b w:val="0"/>
                <w:sz w:val="19"/>
              </w:rPr>
              <w:t>面板固定效应、DID/交错DID、断点回归、工具变量、合成控制</w:t>
            </w:r>
          </w:p>
        </w:tc>
        <w:tc>
          <w:tcPr>
            <w:tcW w:type="dxa" w:w="3249"/>
          </w:tcPr>
          <w:p>
            <w:r/>
            <w:r>
              <w:rPr>
                <w:rFonts w:ascii="Times New Roman" w:hAnsi="Times New Roman" w:eastAsia="宋体"/>
                <w:b w:val="0"/>
                <w:sz w:val="19"/>
              </w:rPr>
              <w:t>JCE三线建设（地区×队列DID）；LSE韩国出口官僚（利用轮换）</w:t>
            </w:r>
          </w:p>
        </w:tc>
      </w:tr>
      <w:tr>
        <w:tc>
          <w:tcPr>
            <w:tcW w:type="dxa" w:w="3249"/>
          </w:tcPr>
          <w:p>
            <w:r/>
            <w:r>
              <w:rPr>
                <w:rFonts w:ascii="Times New Roman" w:hAnsi="Times New Roman" w:eastAsia="宋体"/>
                <w:b w:val="0"/>
                <w:sz w:val="19"/>
              </w:rPr>
              <w:t>民众/精英如何看待国际组织、援助、对外经济政策</w:t>
            </w:r>
          </w:p>
        </w:tc>
        <w:tc>
          <w:tcPr>
            <w:tcW w:type="dxa" w:w="3249"/>
          </w:tcPr>
          <w:p>
            <w:r/>
            <w:r>
              <w:rPr>
                <w:rFonts w:ascii="Times New Roman" w:hAnsi="Times New Roman" w:eastAsia="宋体"/>
                <w:b w:val="0"/>
                <w:sz w:val="19"/>
              </w:rPr>
              <w:t>调查实验、联合实验、名单实验</w:t>
            </w:r>
          </w:p>
        </w:tc>
        <w:tc>
          <w:tcPr>
            <w:tcW w:type="dxa" w:w="3249"/>
          </w:tcPr>
          <w:p>
            <w:r/>
            <w:r>
              <w:rPr>
                <w:rFonts w:ascii="Times New Roman" w:hAnsi="Times New Roman" w:eastAsia="宋体"/>
                <w:b w:val="0"/>
                <w:sz w:val="19"/>
              </w:rPr>
              <w:t>IO与RIO的国际组织合法性实验；PEIO 2026用领英招募精英做实验</w:t>
            </w:r>
          </w:p>
        </w:tc>
      </w:tr>
      <w:tr>
        <w:tc>
          <w:tcPr>
            <w:tcW w:type="dxa" w:w="3249"/>
          </w:tcPr>
          <w:p>
            <w:r/>
            <w:r>
              <w:rPr>
                <w:rFonts w:ascii="Times New Roman" w:hAnsi="Times New Roman" w:eastAsia="宋体"/>
                <w:b w:val="0"/>
                <w:sz w:val="19"/>
              </w:rPr>
              <w:t>规则、话语、立场如何变化与扩散</w:t>
            </w:r>
          </w:p>
        </w:tc>
        <w:tc>
          <w:tcPr>
            <w:tcW w:type="dxa" w:w="3249"/>
          </w:tcPr>
          <w:p>
            <w:r/>
            <w:r>
              <w:rPr>
                <w:rFonts w:ascii="Times New Roman" w:hAnsi="Times New Roman" w:eastAsia="宋体"/>
                <w:b w:val="0"/>
                <w:sz w:val="19"/>
              </w:rPr>
              <w:t>文本即数据：词典、主题模型、监督分类、文本复用、大语言模型标注</w:t>
            </w:r>
          </w:p>
        </w:tc>
        <w:tc>
          <w:tcPr>
            <w:tcW w:type="dxa" w:w="3249"/>
          </w:tcPr>
          <w:p>
            <w:r/>
            <w:r>
              <w:rPr>
                <w:rFonts w:ascii="Times New Roman" w:hAnsi="Times New Roman" w:eastAsia="宋体"/>
                <w:b w:val="0"/>
                <w:sz w:val="19"/>
              </w:rPr>
              <w:t>RIO 2025全球公域条约文本复用；LSE 2024用命名实体识别识别国际公共产品</w:t>
            </w:r>
          </w:p>
        </w:tc>
      </w:tr>
      <w:tr>
        <w:tc>
          <w:tcPr>
            <w:tcW w:type="dxa" w:w="3249"/>
          </w:tcPr>
          <w:p>
            <w:r/>
            <w:r>
              <w:rPr>
                <w:rFonts w:ascii="Times New Roman" w:hAnsi="Times New Roman" w:eastAsia="宋体"/>
                <w:b w:val="0"/>
                <w:sz w:val="19"/>
              </w:rPr>
              <w:t>谁和谁相连、谁处于中心</w:t>
            </w:r>
          </w:p>
        </w:tc>
        <w:tc>
          <w:tcPr>
            <w:tcW w:type="dxa" w:w="3249"/>
          </w:tcPr>
          <w:p>
            <w:r/>
            <w:r>
              <w:rPr>
                <w:rFonts w:ascii="Times New Roman" w:hAnsi="Times New Roman" w:eastAsia="宋体"/>
                <w:b w:val="0"/>
                <w:sz w:val="19"/>
              </w:rPr>
              <w:t>网络分析：中心性、社区、ERGM/SAOM</w:t>
            </w:r>
          </w:p>
        </w:tc>
        <w:tc>
          <w:tcPr>
            <w:tcW w:type="dxa" w:w="3249"/>
          </w:tcPr>
          <w:p>
            <w:r/>
            <w:r>
              <w:rPr>
                <w:rFonts w:ascii="Times New Roman" w:hAnsi="Times New Roman" w:eastAsia="宋体"/>
                <w:b w:val="0"/>
                <w:sz w:val="19"/>
              </w:rPr>
              <w:t>PEIO 2026双边投资协定网络、多边合作网络；货币互换网络</w:t>
            </w:r>
          </w:p>
        </w:tc>
      </w:tr>
      <w:tr>
        <w:tc>
          <w:tcPr>
            <w:tcW w:type="dxa" w:w="3249"/>
          </w:tcPr>
          <w:p>
            <w:r/>
            <w:r>
              <w:rPr>
                <w:rFonts w:ascii="Times New Roman" w:hAnsi="Times New Roman" w:eastAsia="宋体"/>
                <w:b w:val="0"/>
                <w:sz w:val="19"/>
              </w:rPr>
              <w:t>制度为何这样设计、行为体如何策略互动</w:t>
            </w:r>
          </w:p>
        </w:tc>
        <w:tc>
          <w:tcPr>
            <w:tcW w:type="dxa" w:w="3249"/>
          </w:tcPr>
          <w:p>
            <w:r/>
            <w:r>
              <w:rPr>
                <w:rFonts w:ascii="Times New Roman" w:hAnsi="Times New Roman" w:eastAsia="宋体"/>
                <w:b w:val="0"/>
                <w:sz w:val="19"/>
              </w:rPr>
              <w:t>博弈论/形式模型</w:t>
            </w:r>
          </w:p>
        </w:tc>
        <w:tc>
          <w:tcPr>
            <w:tcW w:type="dxa" w:w="3249"/>
          </w:tcPr>
          <w:p>
            <w:r/>
            <w:r>
              <w:rPr>
                <w:rFonts w:ascii="Times New Roman" w:hAnsi="Times New Roman" w:eastAsia="宋体"/>
                <w:b w:val="0"/>
                <w:sz w:val="19"/>
              </w:rPr>
              <w:t>LSE 2024最优权威配置；哈佛2025气候政策工具次序</w:t>
            </w:r>
          </w:p>
        </w:tc>
      </w:tr>
      <w:tr>
        <w:tc>
          <w:tcPr>
            <w:tcW w:type="dxa" w:w="3249"/>
          </w:tcPr>
          <w:p>
            <w:r/>
            <w:r>
              <w:rPr>
                <w:rFonts w:ascii="Times New Roman" w:hAnsi="Times New Roman" w:eastAsia="宋体"/>
                <w:b w:val="0"/>
                <w:sz w:val="19"/>
              </w:rPr>
              <w:t>某一事件如何发生、机制如何运作</w:t>
            </w:r>
          </w:p>
        </w:tc>
        <w:tc>
          <w:tcPr>
            <w:tcW w:type="dxa" w:w="3249"/>
          </w:tcPr>
          <w:p>
            <w:r/>
            <w:r>
              <w:rPr>
                <w:rFonts w:ascii="Times New Roman" w:hAnsi="Times New Roman" w:eastAsia="宋体"/>
                <w:b w:val="0"/>
                <w:sz w:val="19"/>
              </w:rPr>
              <w:t>过程追踪（含贝叶斯过程追踪）、比较历史分析、精英访谈、档案</w:t>
            </w:r>
          </w:p>
        </w:tc>
        <w:tc>
          <w:tcPr>
            <w:tcW w:type="dxa" w:w="3249"/>
          </w:tcPr>
          <w:p>
            <w:r/>
            <w:r>
              <w:rPr>
                <w:rFonts w:ascii="Times New Roman" w:hAnsi="Times New Roman" w:eastAsia="宋体"/>
                <w:b w:val="0"/>
                <w:sz w:val="19"/>
              </w:rPr>
              <w:t>NPE 2024 USMCA重新谈判（107次访谈）；EUI区域组织儿童权利（溯因推理）</w:t>
            </w:r>
          </w:p>
        </w:tc>
      </w:tr>
      <w:tr>
        <w:tc>
          <w:tcPr>
            <w:tcW w:type="dxa" w:w="3249"/>
          </w:tcPr>
          <w:p>
            <w:r/>
            <w:r>
              <w:rPr>
                <w:rFonts w:ascii="Times New Roman" w:hAnsi="Times New Roman" w:eastAsia="宋体"/>
                <w:b w:val="0"/>
                <w:sz w:val="19"/>
              </w:rPr>
              <w:t>条件组合如何导致结果（少量案例）</w:t>
            </w:r>
          </w:p>
        </w:tc>
        <w:tc>
          <w:tcPr>
            <w:tcW w:type="dxa" w:w="3249"/>
          </w:tcPr>
          <w:p>
            <w:r/>
            <w:r>
              <w:rPr>
                <w:rFonts w:ascii="Times New Roman" w:hAnsi="Times New Roman" w:eastAsia="宋体"/>
                <w:b w:val="0"/>
                <w:sz w:val="19"/>
              </w:rPr>
              <w:t>定性比较分析（QCA/fsQCA）</w:t>
            </w:r>
          </w:p>
        </w:tc>
        <w:tc>
          <w:tcPr>
            <w:tcW w:type="dxa" w:w="3249"/>
          </w:tcPr>
          <w:p>
            <w:r/>
            <w:r>
              <w:rPr>
                <w:rFonts w:ascii="Times New Roman" w:hAnsi="Times New Roman" w:eastAsia="宋体"/>
                <w:b w:val="0"/>
                <w:sz w:val="19"/>
              </w:rPr>
              <w:t>适合区域组织比较（10—40个案例）</w:t>
            </w:r>
          </w:p>
        </w:tc>
      </w:tr>
      <w:tr>
        <w:tc>
          <w:tcPr>
            <w:tcW w:type="dxa" w:w="3249"/>
          </w:tcPr>
          <w:p>
            <w:r/>
            <w:r>
              <w:rPr>
                <w:rFonts w:ascii="Times New Roman" w:hAnsi="Times New Roman" w:eastAsia="宋体"/>
                <w:b w:val="0"/>
                <w:sz w:val="19"/>
              </w:rPr>
              <w:t>空间分布与在地效果</w:t>
            </w:r>
          </w:p>
        </w:tc>
        <w:tc>
          <w:tcPr>
            <w:tcW w:type="dxa" w:w="3249"/>
          </w:tcPr>
          <w:p>
            <w:r/>
            <w:r>
              <w:rPr>
                <w:rFonts w:ascii="Times New Roman" w:hAnsi="Times New Roman" w:eastAsia="宋体"/>
                <w:b w:val="0"/>
                <w:sz w:val="19"/>
              </w:rPr>
              <w:t>地理信息系统、夜间灯光、网格单元数据</w:t>
            </w:r>
          </w:p>
        </w:tc>
        <w:tc>
          <w:tcPr>
            <w:tcW w:type="dxa" w:w="3249"/>
          </w:tcPr>
          <w:p>
            <w:r/>
            <w:r>
              <w:rPr>
                <w:rFonts w:ascii="Times New Roman" w:hAnsi="Times New Roman" w:eastAsia="宋体"/>
                <w:b w:val="0"/>
                <w:sz w:val="19"/>
              </w:rPr>
              <w:t>JCE中国援非就业（距离×时点）；PEIO援助与地方冲突网格分析</w:t>
            </w:r>
          </w:p>
        </w:tc>
      </w:tr>
    </w:tbl>
    <w:p/>
    <w:p>
      <w:pPr>
        <w:spacing w:before="240"/>
      </w:pPr>
      <w:r>
        <w:rPr>
          <w:rFonts w:ascii="Times New Roman" w:hAnsi="Times New Roman" w:eastAsia="黑体"/>
          <w:b/>
          <w:color w:val="1F4E79"/>
          <w:sz w:val="30"/>
        </w:rPr>
        <w:t>三、核心工具箱（按优先级）</w:t>
      </w:r>
    </w:p>
    <w:p>
      <w:pPr>
        <w:spacing w:before="120"/>
      </w:pPr>
      <w:r>
        <w:rPr>
          <w:rFonts w:ascii="Times New Roman" w:hAnsi="Times New Roman" w:eastAsia="黑体"/>
          <w:b/>
          <w:color w:val="2E5C8A"/>
          <w:sz w:val="25"/>
        </w:rPr>
        <w:t>3.1 第一优先：因果推断与面板计量（“拿得出手的核心”）</w:t>
      </w:r>
    </w:p>
    <w:p>
      <w:pPr>
        <w:ind w:firstLine="440"/>
      </w:pPr>
      <w:r>
        <w:rPr>
          <w:rFonts w:ascii="Times New Roman" w:hAnsi="Times New Roman" w:eastAsia="宋体"/>
          <w:b w:val="0"/>
          <w:sz w:val="22"/>
        </w:rPr>
        <w:t>这是IPE与国际组织研究的“通用语”，也是聂辉华清单的直接对应。</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fill="1F4E79"/>
          </w:tcPr>
          <w:p>
            <w:r/>
            <w:r>
              <w:rPr>
                <w:rFonts w:ascii="Times New Roman" w:hAnsi="Times New Roman" w:eastAsia="宋体"/>
                <w:b/>
                <w:color w:val="FFFFFF"/>
                <w:sz w:val="19"/>
              </w:rPr>
              <w:t>工具</w:t>
            </w:r>
          </w:p>
        </w:tc>
        <w:tc>
          <w:tcPr>
            <w:tcW w:type="dxa" w:w="2436"/>
            <w:shd w:val="clear" w:fill="1F4E79"/>
          </w:tcPr>
          <w:p>
            <w:r/>
            <w:r>
              <w:rPr>
                <w:rFonts w:ascii="Times New Roman" w:hAnsi="Times New Roman" w:eastAsia="宋体"/>
                <w:b/>
                <w:color w:val="FFFFFF"/>
                <w:sz w:val="19"/>
              </w:rPr>
              <w:t>何时用</w:t>
            </w:r>
          </w:p>
        </w:tc>
        <w:tc>
          <w:tcPr>
            <w:tcW w:type="dxa" w:w="2436"/>
            <w:shd w:val="clear" w:fill="1F4E79"/>
          </w:tcPr>
          <w:p>
            <w:r/>
            <w:r>
              <w:rPr>
                <w:rFonts w:ascii="Times New Roman" w:hAnsi="Times New Roman" w:eastAsia="宋体"/>
                <w:b/>
                <w:color w:val="FFFFFF"/>
                <w:sz w:val="19"/>
              </w:rPr>
              <w:t>国际关系中的注意事项</w:t>
            </w:r>
          </w:p>
        </w:tc>
        <w:tc>
          <w:tcPr>
            <w:tcW w:type="dxa" w:w="2436"/>
            <w:shd w:val="clear" w:fill="1F4E79"/>
          </w:tcPr>
          <w:p>
            <w:r/>
            <w:r>
              <w:rPr>
                <w:rFonts w:ascii="Times New Roman" w:hAnsi="Times New Roman" w:eastAsia="宋体"/>
                <w:b/>
                <w:color w:val="FFFFFF"/>
                <w:sz w:val="19"/>
              </w:rPr>
              <w:t>关键文献</w:t>
            </w:r>
          </w:p>
        </w:tc>
      </w:tr>
      <w:tr>
        <w:tc>
          <w:tcPr>
            <w:tcW w:type="dxa" w:w="2436"/>
          </w:tcPr>
          <w:p>
            <w:r/>
            <w:r>
              <w:rPr>
                <w:rFonts w:ascii="Times New Roman" w:hAnsi="Times New Roman" w:eastAsia="宋体"/>
                <w:b w:val="0"/>
                <w:sz w:val="19"/>
              </w:rPr>
              <w:t>面板固定效应</w:t>
            </w:r>
          </w:p>
        </w:tc>
        <w:tc>
          <w:tcPr>
            <w:tcW w:type="dxa" w:w="2436"/>
          </w:tcPr>
          <w:p>
            <w:r/>
            <w:r>
              <w:rPr>
                <w:rFonts w:ascii="Times New Roman" w:hAnsi="Times New Roman" w:eastAsia="宋体"/>
                <w:b w:val="0"/>
                <w:sz w:val="19"/>
              </w:rPr>
              <w:t>国家—年份数据，控制不随时间变化的异质性</w:t>
            </w:r>
          </w:p>
        </w:tc>
        <w:tc>
          <w:tcPr>
            <w:tcW w:type="dxa" w:w="2436"/>
          </w:tcPr>
          <w:p>
            <w:r/>
            <w:r>
              <w:rPr>
                <w:rFonts w:ascii="Times New Roman" w:hAnsi="Times New Roman" w:eastAsia="宋体"/>
                <w:b w:val="0"/>
                <w:sz w:val="19"/>
              </w:rPr>
              <w:t>国家数少（约200个）、组内变异小时效力有限；聚类标准误</w:t>
            </w:r>
          </w:p>
        </w:tc>
        <w:tc>
          <w:tcPr>
            <w:tcW w:type="dxa" w:w="2436"/>
          </w:tcPr>
          <w:p>
            <w:r/>
            <w:r>
              <w:rPr>
                <w:rFonts w:ascii="Times New Roman" w:hAnsi="Times New Roman" w:eastAsia="宋体"/>
                <w:b w:val="0"/>
                <w:sz w:val="19"/>
              </w:rPr>
              <w:t>Angrist &amp; Pischke《基本无害的计量经济学》</w:t>
            </w:r>
          </w:p>
        </w:tc>
      </w:tr>
      <w:tr>
        <w:tc>
          <w:tcPr>
            <w:tcW w:type="dxa" w:w="2436"/>
          </w:tcPr>
          <w:p>
            <w:r/>
            <w:r>
              <w:rPr>
                <w:rFonts w:ascii="Times New Roman" w:hAnsi="Times New Roman" w:eastAsia="宋体"/>
                <w:b w:val="0"/>
                <w:sz w:val="19"/>
              </w:rPr>
              <w:t>DID与事件研究</w:t>
            </w:r>
          </w:p>
        </w:tc>
        <w:tc>
          <w:tcPr>
            <w:tcW w:type="dxa" w:w="2436"/>
          </w:tcPr>
          <w:p>
            <w:r/>
            <w:r>
              <w:rPr>
                <w:rFonts w:ascii="Times New Roman" w:hAnsi="Times New Roman" w:eastAsia="宋体"/>
                <w:b w:val="0"/>
                <w:sz w:val="19"/>
              </w:rPr>
              <w:t>政策或冲击在部分单位、部分时间发生</w:t>
            </w:r>
          </w:p>
        </w:tc>
        <w:tc>
          <w:tcPr>
            <w:tcW w:type="dxa" w:w="2436"/>
          </w:tcPr>
          <w:p>
            <w:r/>
            <w:r>
              <w:rPr>
                <w:rFonts w:ascii="Times New Roman" w:hAnsi="Times New Roman" w:eastAsia="宋体"/>
                <w:b/>
                <w:sz w:val="19"/>
              </w:rPr>
              <w:t>交错处理下传统双向固定效应有偏</w:t>
            </w:r>
            <w:r>
              <w:rPr>
                <w:rFonts w:ascii="Times New Roman" w:hAnsi="Times New Roman" w:eastAsia="宋体"/>
                <w:b w:val="0"/>
                <w:sz w:val="19"/>
              </w:rPr>
              <w:t>，须使用Callaway &amp; Sant'Anna（2021）、Sun &amp; Abraham（2021）、de Chaisemartin &amp; D'Haultfœuille（2020）等新估计量，并用Goodman-Bacon（2021）分解诊断</w:t>
            </w:r>
          </w:p>
        </w:tc>
        <w:tc>
          <w:tcPr>
            <w:tcW w:type="dxa" w:w="2436"/>
          </w:tcPr>
          <w:p>
            <w:r/>
            <w:r>
              <w:rPr>
                <w:rFonts w:ascii="Times New Roman" w:hAnsi="Times New Roman" w:eastAsia="宋体"/>
                <w:b w:val="0"/>
                <w:sz w:val="19"/>
              </w:rPr>
              <w:t>Cunningham《因果推断：混音带》；Huntington-Klein《The Effect》</w:t>
            </w:r>
          </w:p>
        </w:tc>
      </w:tr>
      <w:tr>
        <w:tc>
          <w:tcPr>
            <w:tcW w:type="dxa" w:w="2436"/>
          </w:tcPr>
          <w:p>
            <w:r/>
            <w:r>
              <w:rPr>
                <w:rFonts w:ascii="Times New Roman" w:hAnsi="Times New Roman" w:eastAsia="宋体"/>
                <w:b w:val="0"/>
                <w:sz w:val="19"/>
              </w:rPr>
              <w:t>断点回归</w:t>
            </w:r>
          </w:p>
        </w:tc>
        <w:tc>
          <w:tcPr>
            <w:tcW w:type="dxa" w:w="2436"/>
          </w:tcPr>
          <w:p>
            <w:r/>
            <w:r>
              <w:rPr>
                <w:rFonts w:ascii="Times New Roman" w:hAnsi="Times New Roman" w:eastAsia="宋体"/>
                <w:b w:val="0"/>
                <w:sz w:val="19"/>
              </w:rPr>
              <w:t>存在阈值规则（投票门槛、收入线、距离边界）</w:t>
            </w:r>
          </w:p>
        </w:tc>
        <w:tc>
          <w:tcPr>
            <w:tcW w:type="dxa" w:w="2436"/>
          </w:tcPr>
          <w:p>
            <w:r/>
            <w:r>
              <w:rPr>
                <w:rFonts w:ascii="Times New Roman" w:hAnsi="Times New Roman" w:eastAsia="宋体"/>
                <w:b w:val="0"/>
                <w:sz w:val="19"/>
              </w:rPr>
              <w:t>IR中阈值少见，可找制度性阈值，如IDA毕业线、联合国投票多数</w:t>
            </w:r>
          </w:p>
        </w:tc>
        <w:tc>
          <w:tcPr>
            <w:tcW w:type="dxa" w:w="2436"/>
          </w:tcPr>
          <w:p>
            <w:r/>
            <w:r>
              <w:rPr>
                <w:rFonts w:ascii="Times New Roman" w:hAnsi="Times New Roman" w:eastAsia="宋体"/>
                <w:b w:val="0"/>
                <w:sz w:val="19"/>
              </w:rPr>
              <w:t>Cattaneo等关于断点回归的实用指南</w:t>
            </w:r>
          </w:p>
        </w:tc>
      </w:tr>
      <w:tr>
        <w:tc>
          <w:tcPr>
            <w:tcW w:type="dxa" w:w="2436"/>
          </w:tcPr>
          <w:p>
            <w:r/>
            <w:r>
              <w:rPr>
                <w:rFonts w:ascii="Times New Roman" w:hAnsi="Times New Roman" w:eastAsia="宋体"/>
                <w:b w:val="0"/>
                <w:sz w:val="19"/>
              </w:rPr>
              <w:t>工具变量/移位—份额</w:t>
            </w:r>
          </w:p>
        </w:tc>
        <w:tc>
          <w:tcPr>
            <w:tcW w:type="dxa" w:w="2436"/>
          </w:tcPr>
          <w:p>
            <w:r/>
            <w:r>
              <w:rPr>
                <w:rFonts w:ascii="Times New Roman" w:hAnsi="Times New Roman" w:eastAsia="宋体"/>
                <w:b w:val="0"/>
                <w:sz w:val="19"/>
              </w:rPr>
              <w:t>存在内生性且能找到外生来源</w:t>
            </w:r>
          </w:p>
        </w:tc>
        <w:tc>
          <w:tcPr>
            <w:tcW w:type="dxa" w:w="2436"/>
          </w:tcPr>
          <w:p>
            <w:r/>
            <w:r>
              <w:rPr>
                <w:rFonts w:ascii="Times New Roman" w:hAnsi="Times New Roman" w:eastAsia="宋体"/>
                <w:b w:val="0"/>
                <w:sz w:val="19"/>
              </w:rPr>
              <w:t>外生性论证最易被审稿人攻击；移位—份额设计须遵循Borusyak, Hull &amp; Jaravel（2022）等新文献</w:t>
            </w:r>
          </w:p>
        </w:tc>
        <w:tc>
          <w:tcPr>
            <w:tcW w:type="dxa" w:w="2436"/>
          </w:tcPr>
          <w:p>
            <w:r/>
            <w:r>
              <w:rPr>
                <w:rFonts w:ascii="Times New Roman" w:hAnsi="Times New Roman" w:eastAsia="宋体"/>
                <w:b w:val="0"/>
                <w:sz w:val="19"/>
              </w:rPr>
              <w:t>—</w:t>
            </w:r>
          </w:p>
        </w:tc>
      </w:tr>
      <w:tr>
        <w:tc>
          <w:tcPr>
            <w:tcW w:type="dxa" w:w="2436"/>
          </w:tcPr>
          <w:p>
            <w:r/>
            <w:r>
              <w:rPr>
                <w:rFonts w:ascii="Times New Roman" w:hAnsi="Times New Roman" w:eastAsia="宋体"/>
                <w:b w:val="0"/>
                <w:sz w:val="19"/>
              </w:rPr>
              <w:t>合成控制/合成DID</w:t>
            </w:r>
          </w:p>
        </w:tc>
        <w:tc>
          <w:tcPr>
            <w:tcW w:type="dxa" w:w="2436"/>
          </w:tcPr>
          <w:p>
            <w:r/>
            <w:r>
              <w:rPr>
                <w:rFonts w:ascii="Times New Roman" w:hAnsi="Times New Roman" w:eastAsia="宋体"/>
                <w:b w:val="0"/>
                <w:sz w:val="19"/>
              </w:rPr>
              <w:t>少数处理单位（如一个国家退出某机构）</w:t>
            </w:r>
          </w:p>
        </w:tc>
        <w:tc>
          <w:tcPr>
            <w:tcW w:type="dxa" w:w="2436"/>
          </w:tcPr>
          <w:p>
            <w:r/>
            <w:r>
              <w:rPr>
                <w:rFonts w:ascii="Times New Roman" w:hAnsi="Times New Roman" w:eastAsia="宋体"/>
                <w:b w:val="0"/>
                <w:sz w:val="19"/>
              </w:rPr>
              <w:t>适合“一个国家、一个事件”的反事实，如英国脱欧、某国加入亚投行</w:t>
            </w:r>
          </w:p>
        </w:tc>
        <w:tc>
          <w:tcPr>
            <w:tcW w:type="dxa" w:w="2436"/>
          </w:tcPr>
          <w:p>
            <w:r/>
            <w:r>
              <w:rPr>
                <w:rFonts w:ascii="Times New Roman" w:hAnsi="Times New Roman" w:eastAsia="宋体"/>
                <w:b w:val="0"/>
                <w:sz w:val="19"/>
              </w:rPr>
              <w:t>Abadie（2021）；Arkhangelsky等（2021）</w:t>
            </w:r>
          </w:p>
        </w:tc>
      </w:tr>
      <w:tr>
        <w:tc>
          <w:tcPr>
            <w:tcW w:type="dxa" w:w="2436"/>
          </w:tcPr>
          <w:p>
            <w:r/>
            <w:r>
              <w:rPr>
                <w:rFonts w:ascii="Times New Roman" w:hAnsi="Times New Roman" w:eastAsia="宋体"/>
                <w:b w:val="0"/>
                <w:sz w:val="19"/>
              </w:rPr>
              <w:t>匹配（PSM、熵平衡）</w:t>
            </w:r>
          </w:p>
        </w:tc>
        <w:tc>
          <w:tcPr>
            <w:tcW w:type="dxa" w:w="2436"/>
          </w:tcPr>
          <w:p>
            <w:r/>
            <w:r>
              <w:rPr>
                <w:rFonts w:ascii="Times New Roman" w:hAnsi="Times New Roman" w:eastAsia="宋体"/>
                <w:b w:val="0"/>
                <w:sz w:val="19"/>
              </w:rPr>
              <w:t>改善可比性</w:t>
            </w:r>
          </w:p>
        </w:tc>
        <w:tc>
          <w:tcPr>
            <w:tcW w:type="dxa" w:w="2436"/>
          </w:tcPr>
          <w:p>
            <w:r/>
            <w:r>
              <w:rPr>
                <w:rFonts w:ascii="Times New Roman" w:hAnsi="Times New Roman" w:eastAsia="宋体"/>
                <w:b w:val="0"/>
                <w:sz w:val="19"/>
              </w:rPr>
              <w:t>匹配只解决可观测变量，</w:t>
            </w:r>
            <w:r>
              <w:rPr>
                <w:rFonts w:ascii="Times New Roman" w:hAnsi="Times New Roman" w:eastAsia="宋体"/>
                <w:b/>
                <w:sz w:val="19"/>
              </w:rPr>
              <w:t>不是识别策略</w:t>
            </w:r>
            <w:r>
              <w:rPr>
                <w:rFonts w:ascii="Times New Roman" w:hAnsi="Times New Roman" w:eastAsia="宋体"/>
                <w:b w:val="0"/>
                <w:sz w:val="19"/>
              </w:rPr>
              <w:t>，只能作辅助</w:t>
            </w:r>
          </w:p>
        </w:tc>
        <w:tc>
          <w:tcPr>
            <w:tcW w:type="dxa" w:w="2436"/>
          </w:tcPr>
          <w:p>
            <w:r/>
            <w:r>
              <w:rPr>
                <w:rFonts w:ascii="Times New Roman" w:hAnsi="Times New Roman" w:eastAsia="宋体"/>
                <w:b w:val="0"/>
                <w:sz w:val="19"/>
              </w:rPr>
              <w:t>Hainmueller（2012）熵平衡</w:t>
            </w:r>
          </w:p>
        </w:tc>
      </w:tr>
      <w:tr>
        <w:tc>
          <w:tcPr>
            <w:tcW w:type="dxa" w:w="2436"/>
          </w:tcPr>
          <w:p>
            <w:r/>
            <w:r>
              <w:rPr>
                <w:rFonts w:ascii="Times New Roman" w:hAnsi="Times New Roman" w:eastAsia="宋体"/>
                <w:b w:val="0"/>
                <w:sz w:val="19"/>
              </w:rPr>
              <w:t>GMM（动态面板）</w:t>
            </w:r>
          </w:p>
        </w:tc>
        <w:tc>
          <w:tcPr>
            <w:tcW w:type="dxa" w:w="2436"/>
          </w:tcPr>
          <w:p>
            <w:r/>
            <w:r>
              <w:rPr>
                <w:rFonts w:ascii="Times New Roman" w:hAnsi="Times New Roman" w:eastAsia="宋体"/>
                <w:b w:val="0"/>
                <w:sz w:val="19"/>
              </w:rPr>
              <w:t>因变量有惯性的宏观面板</w:t>
            </w:r>
          </w:p>
        </w:tc>
        <w:tc>
          <w:tcPr>
            <w:tcW w:type="dxa" w:w="2436"/>
          </w:tcPr>
          <w:p>
            <w:r/>
            <w:r>
              <w:rPr>
                <w:rFonts w:ascii="Times New Roman" w:hAnsi="Times New Roman" w:eastAsia="宋体"/>
                <w:b w:val="0"/>
                <w:sz w:val="19"/>
              </w:rPr>
              <w:t>IPE中常被滥用：工具变量过多会使检验失效（Roodman 2009），T较小时尤需谨慎；能用其他设计时优先用其他设计</w:t>
            </w:r>
          </w:p>
        </w:tc>
        <w:tc>
          <w:tcPr>
            <w:tcW w:type="dxa" w:w="2436"/>
          </w:tcPr>
          <w:p>
            <w:r/>
            <w:r>
              <w:rPr>
                <w:rFonts w:ascii="Times New Roman" w:hAnsi="Times New Roman" w:eastAsia="宋体"/>
                <w:b w:val="0"/>
                <w:sz w:val="19"/>
              </w:rPr>
              <w:t>Roodman（2009）</w:t>
            </w:r>
          </w:p>
        </w:tc>
      </w:tr>
      <w:tr>
        <w:tc>
          <w:tcPr>
            <w:tcW w:type="dxa" w:w="2436"/>
          </w:tcPr>
          <w:p>
            <w:r/>
            <w:r>
              <w:rPr>
                <w:rFonts w:ascii="Times New Roman" w:hAnsi="Times New Roman" w:eastAsia="宋体"/>
                <w:b w:val="0"/>
                <w:sz w:val="19"/>
              </w:rPr>
              <w:t>二元数据与引力模型</w:t>
            </w:r>
          </w:p>
        </w:tc>
        <w:tc>
          <w:tcPr>
            <w:tcW w:type="dxa" w:w="2436"/>
          </w:tcPr>
          <w:p>
            <w:r/>
            <w:r>
              <w:rPr>
                <w:rFonts w:ascii="Times New Roman" w:hAnsi="Times New Roman" w:eastAsia="宋体"/>
                <w:b w:val="0"/>
                <w:sz w:val="19"/>
              </w:rPr>
              <w:t>国家对之间的贸易、援助、协定</w:t>
            </w:r>
          </w:p>
        </w:tc>
        <w:tc>
          <w:tcPr>
            <w:tcW w:type="dxa" w:w="2436"/>
          </w:tcPr>
          <w:p>
            <w:r/>
            <w:r>
              <w:rPr>
                <w:rFonts w:ascii="Times New Roman" w:hAnsi="Times New Roman" w:eastAsia="宋体"/>
                <w:b w:val="0"/>
                <w:sz w:val="19"/>
              </w:rPr>
              <w:t>观测非独立，须用二元稳健标准误；引力模型须用PPML估计</w:t>
            </w:r>
          </w:p>
        </w:tc>
        <w:tc>
          <w:tcPr>
            <w:tcW w:type="dxa" w:w="2436"/>
          </w:tcPr>
          <w:p>
            <w:r/>
            <w:r>
              <w:rPr>
                <w:rFonts w:ascii="Times New Roman" w:hAnsi="Times New Roman" w:eastAsia="宋体"/>
                <w:b w:val="0"/>
                <w:sz w:val="19"/>
              </w:rPr>
              <w:t>—</w:t>
            </w:r>
          </w:p>
        </w:tc>
      </w:tr>
    </w:tbl>
    <w:p/>
    <w:p>
      <w:pPr>
        <w:ind w:firstLine="440"/>
      </w:pPr>
      <w:r>
        <w:rPr>
          <w:rFonts w:ascii="Times New Roman" w:hAnsi="Times New Roman" w:eastAsia="宋体"/>
          <w:b/>
          <w:sz w:val="22"/>
        </w:rPr>
        <w:t>学习建议</w:t>
      </w:r>
      <w:r>
        <w:rPr>
          <w:rFonts w:ascii="Times New Roman" w:hAnsi="Times New Roman" w:eastAsia="宋体"/>
          <w:b w:val="0"/>
          <w:sz w:val="22"/>
        </w:rPr>
        <w:t>：先通读一本因果推断教材（Cunningham或Huntington-Klein均免费在线），再用JCE或RIO的一篇复制材料（replication package）完整复现一遍。复现是最快的学习方式。</w:t>
      </w:r>
    </w:p>
    <w:p>
      <w:pPr>
        <w:spacing w:before="120"/>
      </w:pPr>
      <w:r>
        <w:rPr>
          <w:rFonts w:ascii="Times New Roman" w:hAnsi="Times New Roman" w:eastAsia="黑体"/>
          <w:b/>
          <w:color w:val="2E5C8A"/>
          <w:sz w:val="25"/>
        </w:rPr>
        <w:t>3.2 第二优先：文本即数据与大语言模型（区域国别学最大的比较优势）</w:t>
      </w:r>
    </w:p>
    <w:p>
      <w:pPr>
        <w:ind w:firstLine="440"/>
      </w:pPr>
      <w:r>
        <w:rPr>
          <w:rFonts w:ascii="Times New Roman" w:hAnsi="Times New Roman" w:eastAsia="宋体"/>
          <w:b/>
          <w:sz w:val="22"/>
        </w:rPr>
        <w:t>为什么是你的优势</w:t>
      </w:r>
      <w:r>
        <w:rPr>
          <w:rFonts w:ascii="Times New Roman" w:hAnsi="Times New Roman" w:eastAsia="宋体"/>
          <w:b w:val="0"/>
          <w:sz w:val="22"/>
        </w:rPr>
        <w:t>：全球治理的大量证据以文本形式存在，例如联大一般性辩论、安理会发言、IMF执董会纪要、WTO文件、条约文本、各国政府文件与媒体。而且很多是多语种文本。你懂中文，若再掌握一门区域语言，就能构建别人无法构建的语料。</w:t>
      </w:r>
    </w:p>
    <w:tbl>
      <w:tblPr>
        <w:tblStyle w:val="TableGrid"/>
        <w:tblW w:type="auto" w:w="0"/>
        <w:tblLook w:firstColumn="1" w:firstRow="1" w:lastColumn="0" w:lastRow="0" w:noHBand="0" w:noVBand="1" w:val="04A0"/>
      </w:tblPr>
      <w:tblGrid>
        <w:gridCol w:w="3249"/>
        <w:gridCol w:w="3249"/>
        <w:gridCol w:w="3249"/>
      </w:tblGrid>
      <w:tr>
        <w:tc>
          <w:tcPr>
            <w:tcW w:type="dxa" w:w="3249"/>
            <w:shd w:val="clear" w:fill="1F4E79"/>
          </w:tcPr>
          <w:p>
            <w:r/>
            <w:r>
              <w:rPr>
                <w:rFonts w:ascii="Times New Roman" w:hAnsi="Times New Roman" w:eastAsia="宋体"/>
                <w:b/>
                <w:color w:val="FFFFFF"/>
                <w:sz w:val="19"/>
              </w:rPr>
              <w:t>技术</w:t>
            </w:r>
          </w:p>
        </w:tc>
        <w:tc>
          <w:tcPr>
            <w:tcW w:type="dxa" w:w="3249"/>
            <w:shd w:val="clear" w:fill="1F4E79"/>
          </w:tcPr>
          <w:p>
            <w:r/>
            <w:r>
              <w:rPr>
                <w:rFonts w:ascii="Times New Roman" w:hAnsi="Times New Roman" w:eastAsia="宋体"/>
                <w:b/>
                <w:color w:val="FFFFFF"/>
                <w:sz w:val="19"/>
              </w:rPr>
              <w:t>用途</w:t>
            </w:r>
          </w:p>
        </w:tc>
        <w:tc>
          <w:tcPr>
            <w:tcW w:type="dxa" w:w="3249"/>
            <w:shd w:val="clear" w:fill="1F4E79"/>
          </w:tcPr>
          <w:p>
            <w:r/>
            <w:r>
              <w:rPr>
                <w:rFonts w:ascii="Times New Roman" w:hAnsi="Times New Roman" w:eastAsia="宋体"/>
                <w:b/>
                <w:color w:val="FFFFFF"/>
                <w:sz w:val="19"/>
              </w:rPr>
              <w:t>示例</w:t>
            </w:r>
          </w:p>
        </w:tc>
      </w:tr>
      <w:tr>
        <w:tc>
          <w:tcPr>
            <w:tcW w:type="dxa" w:w="3249"/>
          </w:tcPr>
          <w:p>
            <w:r/>
            <w:r>
              <w:rPr>
                <w:rFonts w:ascii="Times New Roman" w:hAnsi="Times New Roman" w:eastAsia="宋体"/>
                <w:b w:val="0"/>
                <w:sz w:val="19"/>
              </w:rPr>
              <w:t>词典法与关键词</w:t>
            </w:r>
          </w:p>
        </w:tc>
        <w:tc>
          <w:tcPr>
            <w:tcW w:type="dxa" w:w="3249"/>
          </w:tcPr>
          <w:p>
            <w:r/>
            <w:r>
              <w:rPr>
                <w:rFonts w:ascii="Times New Roman" w:hAnsi="Times New Roman" w:eastAsia="宋体"/>
                <w:b w:val="0"/>
                <w:sz w:val="19"/>
              </w:rPr>
              <w:t>快速测量议题显著度</w:t>
            </w:r>
          </w:p>
        </w:tc>
        <w:tc>
          <w:tcPr>
            <w:tcW w:type="dxa" w:w="3249"/>
          </w:tcPr>
          <w:p>
            <w:r/>
            <w:r>
              <w:rPr>
                <w:rFonts w:ascii="Times New Roman" w:hAnsi="Times New Roman" w:eastAsia="宋体"/>
                <w:b w:val="0"/>
                <w:sz w:val="19"/>
              </w:rPr>
              <w:t>测量“发展”“主权”在联大发言中的比重</w:t>
            </w:r>
          </w:p>
        </w:tc>
      </w:tr>
      <w:tr>
        <w:tc>
          <w:tcPr>
            <w:tcW w:type="dxa" w:w="3249"/>
          </w:tcPr>
          <w:p>
            <w:r/>
            <w:r>
              <w:rPr>
                <w:rFonts w:ascii="Times New Roman" w:hAnsi="Times New Roman" w:eastAsia="宋体"/>
                <w:b w:val="0"/>
                <w:sz w:val="19"/>
              </w:rPr>
              <w:t>结构化主题模型（STM）</w:t>
            </w:r>
          </w:p>
        </w:tc>
        <w:tc>
          <w:tcPr>
            <w:tcW w:type="dxa" w:w="3249"/>
          </w:tcPr>
          <w:p>
            <w:r/>
            <w:r>
              <w:rPr>
                <w:rFonts w:ascii="Times New Roman" w:hAnsi="Times New Roman" w:eastAsia="宋体"/>
                <w:b w:val="0"/>
                <w:sz w:val="19"/>
              </w:rPr>
              <w:t>发现主题并检验协变量影响</w:t>
            </w:r>
          </w:p>
        </w:tc>
        <w:tc>
          <w:tcPr>
            <w:tcW w:type="dxa" w:w="3249"/>
          </w:tcPr>
          <w:p>
            <w:r/>
            <w:r>
              <w:rPr>
                <w:rFonts w:ascii="Times New Roman" w:hAnsi="Times New Roman" w:eastAsia="宋体"/>
                <w:b w:val="0"/>
                <w:sz w:val="19"/>
              </w:rPr>
              <w:t>比较中国与西方在气候谈判中的议题结构</w:t>
            </w:r>
          </w:p>
        </w:tc>
      </w:tr>
      <w:tr>
        <w:tc>
          <w:tcPr>
            <w:tcW w:type="dxa" w:w="3249"/>
          </w:tcPr>
          <w:p>
            <w:r/>
            <w:r>
              <w:rPr>
                <w:rFonts w:ascii="Times New Roman" w:hAnsi="Times New Roman" w:eastAsia="宋体"/>
                <w:b w:val="0"/>
                <w:sz w:val="19"/>
              </w:rPr>
              <w:t>词嵌入</w:t>
            </w:r>
          </w:p>
        </w:tc>
        <w:tc>
          <w:tcPr>
            <w:tcW w:type="dxa" w:w="3249"/>
          </w:tcPr>
          <w:p>
            <w:r/>
            <w:r>
              <w:rPr>
                <w:rFonts w:ascii="Times New Roman" w:hAnsi="Times New Roman" w:eastAsia="宋体"/>
                <w:b w:val="0"/>
                <w:sz w:val="19"/>
              </w:rPr>
              <w:t>概念语义变化</w:t>
            </w:r>
          </w:p>
        </w:tc>
        <w:tc>
          <w:tcPr>
            <w:tcW w:type="dxa" w:w="3249"/>
          </w:tcPr>
          <w:p>
            <w:r/>
            <w:r>
              <w:rPr>
                <w:rFonts w:ascii="Times New Roman" w:hAnsi="Times New Roman" w:eastAsia="宋体"/>
                <w:b w:val="0"/>
                <w:sz w:val="19"/>
              </w:rPr>
              <w:t>“多边主义”在不同国家话语中的语义距离</w:t>
            </w:r>
          </w:p>
        </w:tc>
      </w:tr>
      <w:tr>
        <w:tc>
          <w:tcPr>
            <w:tcW w:type="dxa" w:w="3249"/>
          </w:tcPr>
          <w:p>
            <w:r/>
            <w:r>
              <w:rPr>
                <w:rFonts w:ascii="Times New Roman" w:hAnsi="Times New Roman" w:eastAsia="宋体"/>
                <w:b w:val="0"/>
                <w:sz w:val="19"/>
              </w:rPr>
              <w:t>监督分类</w:t>
            </w:r>
          </w:p>
        </w:tc>
        <w:tc>
          <w:tcPr>
            <w:tcW w:type="dxa" w:w="3249"/>
          </w:tcPr>
          <w:p>
            <w:r/>
            <w:r>
              <w:rPr>
                <w:rFonts w:ascii="Times New Roman" w:hAnsi="Times New Roman" w:eastAsia="宋体"/>
                <w:b w:val="0"/>
                <w:sz w:val="19"/>
              </w:rPr>
              <w:t>大规模编码立场或框架</w:t>
            </w:r>
          </w:p>
        </w:tc>
        <w:tc>
          <w:tcPr>
            <w:tcW w:type="dxa" w:w="3249"/>
          </w:tcPr>
          <w:p>
            <w:r/>
            <w:r>
              <w:rPr>
                <w:rFonts w:ascii="Times New Roman" w:hAnsi="Times New Roman" w:eastAsia="宋体"/>
                <w:b w:val="0"/>
                <w:sz w:val="19"/>
              </w:rPr>
              <w:t>标注各国对“一带一路”的态度</w:t>
            </w:r>
          </w:p>
        </w:tc>
      </w:tr>
      <w:tr>
        <w:tc>
          <w:tcPr>
            <w:tcW w:type="dxa" w:w="3249"/>
          </w:tcPr>
          <w:p>
            <w:r/>
            <w:r>
              <w:rPr>
                <w:rFonts w:ascii="Times New Roman" w:hAnsi="Times New Roman" w:eastAsia="宋体"/>
                <w:b w:val="0"/>
                <w:sz w:val="19"/>
              </w:rPr>
              <w:t>命名实体识别</w:t>
            </w:r>
          </w:p>
        </w:tc>
        <w:tc>
          <w:tcPr>
            <w:tcW w:type="dxa" w:w="3249"/>
          </w:tcPr>
          <w:p>
            <w:r/>
            <w:r>
              <w:rPr>
                <w:rFonts w:ascii="Times New Roman" w:hAnsi="Times New Roman" w:eastAsia="宋体"/>
                <w:b w:val="0"/>
                <w:sz w:val="19"/>
              </w:rPr>
              <w:t>抽取机构、项目、国家</w:t>
            </w:r>
          </w:p>
        </w:tc>
        <w:tc>
          <w:tcPr>
            <w:tcW w:type="dxa" w:w="3249"/>
          </w:tcPr>
          <w:p>
            <w:r/>
            <w:r>
              <w:rPr>
                <w:rFonts w:ascii="Times New Roman" w:hAnsi="Times New Roman" w:eastAsia="宋体"/>
                <w:b w:val="0"/>
                <w:sz w:val="19"/>
              </w:rPr>
              <w:t>从国际组织年报中识别公共产品（LSE 2024）</w:t>
            </w:r>
          </w:p>
        </w:tc>
      </w:tr>
      <w:tr>
        <w:tc>
          <w:tcPr>
            <w:tcW w:type="dxa" w:w="3249"/>
          </w:tcPr>
          <w:p>
            <w:r/>
            <w:r>
              <w:rPr>
                <w:rFonts w:ascii="Times New Roman" w:hAnsi="Times New Roman" w:eastAsia="宋体"/>
                <w:b w:val="0"/>
                <w:sz w:val="19"/>
              </w:rPr>
              <w:t>文本复用与相似度</w:t>
            </w:r>
          </w:p>
        </w:tc>
        <w:tc>
          <w:tcPr>
            <w:tcW w:type="dxa" w:w="3249"/>
          </w:tcPr>
          <w:p>
            <w:r/>
            <w:r>
              <w:rPr>
                <w:rFonts w:ascii="Times New Roman" w:hAnsi="Times New Roman" w:eastAsia="宋体"/>
                <w:b w:val="0"/>
                <w:sz w:val="19"/>
              </w:rPr>
              <w:t>规则来源与扩散</w:t>
            </w:r>
          </w:p>
        </w:tc>
        <w:tc>
          <w:tcPr>
            <w:tcW w:type="dxa" w:w="3249"/>
          </w:tcPr>
          <w:p>
            <w:r/>
            <w:r>
              <w:rPr>
                <w:rFonts w:ascii="Times New Roman" w:hAnsi="Times New Roman" w:eastAsia="宋体"/>
                <w:b w:val="0"/>
                <w:sz w:val="19"/>
              </w:rPr>
              <w:t>追踪中国自贸协定条款与RCEP、CPTPP的文本来源</w:t>
            </w:r>
          </w:p>
        </w:tc>
      </w:tr>
      <w:tr>
        <w:tc>
          <w:tcPr>
            <w:tcW w:type="dxa" w:w="3249"/>
          </w:tcPr>
          <w:p>
            <w:r/>
            <w:r>
              <w:rPr>
                <w:rFonts w:ascii="Times New Roman" w:hAnsi="Times New Roman" w:eastAsia="宋体"/>
                <w:b w:val="0"/>
                <w:sz w:val="19"/>
              </w:rPr>
              <w:t>大语言模型辅助标注</w:t>
            </w:r>
          </w:p>
        </w:tc>
        <w:tc>
          <w:tcPr>
            <w:tcW w:type="dxa" w:w="3249"/>
          </w:tcPr>
          <w:p>
            <w:r/>
            <w:r>
              <w:rPr>
                <w:rFonts w:ascii="Times New Roman" w:hAnsi="Times New Roman" w:eastAsia="宋体"/>
                <w:b w:val="0"/>
                <w:sz w:val="19"/>
              </w:rPr>
              <w:t>降低编码成本</w:t>
            </w:r>
          </w:p>
        </w:tc>
        <w:tc>
          <w:tcPr>
            <w:tcW w:type="dxa" w:w="3249"/>
          </w:tcPr>
          <w:p>
            <w:r/>
            <w:r>
              <w:rPr>
                <w:rFonts w:ascii="Times New Roman" w:hAnsi="Times New Roman" w:eastAsia="宋体"/>
                <w:b w:val="0"/>
                <w:sz w:val="19"/>
              </w:rPr>
              <w:t>须有人工标注的验证集，报告一致性指标；Gilardi等（2023）显示其在部分任务上可超过众包，但不同任务差异很大</w:t>
            </w:r>
          </w:p>
        </w:tc>
      </w:tr>
    </w:tbl>
    <w:p/>
    <w:p>
      <w:pPr>
        <w:ind w:firstLine="440"/>
      </w:pPr>
      <w:r>
        <w:rPr>
          <w:rFonts w:ascii="Times New Roman" w:hAnsi="Times New Roman" w:eastAsia="宋体"/>
          <w:b/>
          <w:sz w:val="22"/>
        </w:rPr>
        <w:t>中文与多语种工具</w:t>
      </w:r>
      <w:r>
        <w:rPr>
          <w:rFonts w:ascii="Times New Roman" w:hAnsi="Times New Roman" w:eastAsia="宋体"/>
          <w:b w:val="0"/>
          <w:sz w:val="22"/>
        </w:rPr>
        <w:t>：中文分词可用jieba、pkuseg或HanLP；多语种可用多语言预训练模型。</w:t>
      </w:r>
      <w:r>
        <w:rPr>
          <w:rFonts w:ascii="Times New Roman" w:hAnsi="Times New Roman" w:eastAsia="宋体"/>
          <w:b/>
          <w:sz w:val="22"/>
        </w:rPr>
        <w:t>关键是验证</w:t>
      </w:r>
      <w:r>
        <w:rPr>
          <w:rFonts w:ascii="Times New Roman" w:hAnsi="Times New Roman" w:eastAsia="宋体"/>
          <w:b w:val="0"/>
          <w:sz w:val="22"/>
        </w:rPr>
        <w:t>：任何自动测量都要与人工编码比较，报告精确率、召回率或Krippendorff's α。</w:t>
      </w:r>
    </w:p>
    <w:p>
      <w:pPr>
        <w:ind w:firstLine="440"/>
      </w:pPr>
      <w:r>
        <w:rPr>
          <w:rFonts w:ascii="Times New Roman" w:hAnsi="Times New Roman" w:eastAsia="宋体"/>
          <w:b/>
          <w:sz w:val="22"/>
        </w:rPr>
        <w:t>核心教材</w:t>
      </w:r>
      <w:r>
        <w:rPr>
          <w:rFonts w:ascii="Times New Roman" w:hAnsi="Times New Roman" w:eastAsia="宋体"/>
          <w:b w:val="0"/>
          <w:sz w:val="22"/>
        </w:rPr>
        <w:t>：Grimmer, Roberts &amp; Stewart《Text as Data》（2022）。</w:t>
      </w:r>
    </w:p>
    <w:p>
      <w:pPr>
        <w:spacing w:before="120"/>
      </w:pPr>
      <w:r>
        <w:rPr>
          <w:rFonts w:ascii="Times New Roman" w:hAnsi="Times New Roman" w:eastAsia="黑体"/>
          <w:b/>
          <w:color w:val="2E5C8A"/>
          <w:sz w:val="25"/>
        </w:rPr>
        <w:t>3.3 第三优先：网络分析（对应你的“供给网络拓扑”“从规模到位置”）</w:t>
      </w:r>
    </w:p>
    <w:p>
      <w:pPr>
        <w:ind w:firstLine="440"/>
      </w:pPr>
      <w:r>
        <w:rPr>
          <w:rFonts w:ascii="Times New Roman" w:hAnsi="Times New Roman" w:eastAsia="宋体"/>
          <w:b w:val="0"/>
          <w:sz w:val="22"/>
        </w:rPr>
        <w:t>国际公共产品的供给本质上是关系结构：谁向谁提供贷款、互换、援助，谁同时是多个机构的成员。网络分析可以把“位置”变成可测量的变量。</w:t>
      </w:r>
    </w:p>
    <w:p>
      <w:pPr>
        <w:pStyle w:val="ListBullet"/>
      </w:pPr>
      <w:r>
        <w:rPr>
          <w:rFonts w:ascii="Times New Roman" w:hAnsi="Times New Roman" w:eastAsia="宋体"/>
          <w:b/>
          <w:sz w:val="22"/>
        </w:rPr>
        <w:t>描述层</w:t>
      </w:r>
      <w:r>
        <w:rPr>
          <w:rFonts w:ascii="Times New Roman" w:hAnsi="Times New Roman" w:eastAsia="宋体"/>
          <w:b w:val="0"/>
          <w:sz w:val="22"/>
        </w:rPr>
        <w:t>：度中心性、中介中心性、特征向量中心性、社区划分。</w:t>
      </w:r>
    </w:p>
    <w:p>
      <w:pPr>
        <w:pStyle w:val="ListBullet"/>
      </w:pPr>
      <w:r>
        <w:rPr>
          <w:rFonts w:ascii="Times New Roman" w:hAnsi="Times New Roman" w:eastAsia="宋体"/>
          <w:b/>
          <w:sz w:val="22"/>
        </w:rPr>
        <w:t>推断层</w:t>
      </w:r>
      <w:r>
        <w:rPr>
          <w:rFonts w:ascii="Times New Roman" w:hAnsi="Times New Roman" w:eastAsia="宋体"/>
          <w:b w:val="0"/>
          <w:sz w:val="22"/>
        </w:rPr>
        <w:t>：网络本身不满足观测独立假设，因此需要指数随机图模型（ERGM）、随机行动者导向模型（SAOM）或潜空间模型。</w:t>
      </w:r>
    </w:p>
    <w:p>
      <w:pPr>
        <w:pStyle w:val="ListBullet"/>
      </w:pPr>
      <w:r>
        <w:rPr>
          <w:rFonts w:ascii="Times New Roman" w:hAnsi="Times New Roman" w:eastAsia="宋体"/>
          <w:b/>
          <w:sz w:val="22"/>
        </w:rPr>
        <w:t>典型数据</w:t>
      </w:r>
      <w:r>
        <w:rPr>
          <w:rFonts w:ascii="Times New Roman" w:hAnsi="Times New Roman" w:eastAsia="宋体"/>
          <w:b w:val="0"/>
          <w:sz w:val="22"/>
        </w:rPr>
        <w:t>：双边货币互换网络、联合融资网络（亚投行与世界银行、亚开行）、国际组织共同成员网络、双边投资协定网络、联大投票相似性网络。</w:t>
      </w:r>
    </w:p>
    <w:p>
      <w:pPr>
        <w:pStyle w:val="ListBullet"/>
      </w:pPr>
      <w:r>
        <w:rPr>
          <w:rFonts w:ascii="Times New Roman" w:hAnsi="Times New Roman" w:eastAsia="宋体"/>
          <w:b/>
          <w:sz w:val="22"/>
        </w:rPr>
        <w:t>教材</w:t>
      </w:r>
      <w:r>
        <w:rPr>
          <w:rFonts w:ascii="Times New Roman" w:hAnsi="Times New Roman" w:eastAsia="宋体"/>
          <w:b w:val="0"/>
          <w:sz w:val="22"/>
        </w:rPr>
        <w:t>：Cranmer, Desmarais &amp; Morgan《Inferential Network Analysis》（2020）。</w:t>
      </w:r>
    </w:p>
    <w:p>
      <w:pPr>
        <w:spacing w:before="120"/>
      </w:pPr>
      <w:r>
        <w:rPr>
          <w:rFonts w:ascii="Times New Roman" w:hAnsi="Times New Roman" w:eastAsia="黑体"/>
          <w:b/>
          <w:color w:val="2E5C8A"/>
          <w:sz w:val="25"/>
        </w:rPr>
        <w:t>3.4 第四优先：博弈论与形式模型（制度设计类问题的“简单而有力”的工具）</w:t>
      </w:r>
    </w:p>
    <w:p>
      <w:pPr>
        <w:ind w:firstLine="440"/>
      </w:pPr>
      <w:r>
        <w:rPr>
          <w:rFonts w:ascii="Times New Roman" w:hAnsi="Times New Roman" w:eastAsia="宋体"/>
          <w:b w:val="0"/>
          <w:sz w:val="22"/>
        </w:rPr>
        <w:t>你的“层级选择”“排他性”本质上是制度设计问题：供给者在什么条件下选择双边而非多边、俱乐部而非开放成员？简单的形式模型能把直觉变成清晰的比较静态命题，再交给经验检验。</w:t>
      </w:r>
    </w:p>
    <w:p>
      <w:pPr>
        <w:pStyle w:val="ListBullet"/>
      </w:pPr>
      <w:r>
        <w:rPr>
          <w:rFonts w:ascii="Times New Roman" w:hAnsi="Times New Roman" w:eastAsia="宋体"/>
          <w:b/>
          <w:sz w:val="22"/>
        </w:rPr>
        <w:t>需要掌握</w:t>
      </w:r>
      <w:r>
        <w:rPr>
          <w:rFonts w:ascii="Times New Roman" w:hAnsi="Times New Roman" w:eastAsia="宋体"/>
          <w:b w:val="0"/>
          <w:sz w:val="22"/>
        </w:rPr>
        <w:t>：完全信息动态博弈、不完全信息与信号博弈、委托—代理模型、公共产品与俱乐部产品模型、讨价还价模型。</w:t>
      </w:r>
    </w:p>
    <w:p>
      <w:pPr>
        <w:pStyle w:val="ListBullet"/>
      </w:pPr>
      <w:r>
        <w:rPr>
          <w:rFonts w:ascii="Times New Roman" w:hAnsi="Times New Roman" w:eastAsia="宋体"/>
          <w:b/>
          <w:sz w:val="22"/>
        </w:rPr>
        <w:t>建议程度</w:t>
      </w:r>
      <w:r>
        <w:rPr>
          <w:rFonts w:ascii="Times New Roman" w:hAnsi="Times New Roman" w:eastAsia="宋体"/>
          <w:b w:val="0"/>
          <w:sz w:val="22"/>
        </w:rPr>
        <w:t>：能读懂并构建两到三个参与者的简单模型，导出可检验命题即可；不必追求数理深度。</w:t>
      </w:r>
    </w:p>
    <w:p>
      <w:pPr>
        <w:pStyle w:val="ListBullet"/>
      </w:pPr>
      <w:r>
        <w:rPr>
          <w:rFonts w:ascii="Times New Roman" w:hAnsi="Times New Roman" w:eastAsia="宋体"/>
          <w:b/>
          <w:sz w:val="22"/>
        </w:rPr>
        <w:t>教材</w:t>
      </w:r>
      <w:r>
        <w:rPr>
          <w:rFonts w:ascii="Times New Roman" w:hAnsi="Times New Roman" w:eastAsia="宋体"/>
          <w:b w:val="0"/>
          <w:sz w:val="22"/>
        </w:rPr>
        <w:t>：Kydd《International Relations Theory: The Game-Theoretic Approach》（2015）入门；McCarty &amp; Meirowitz《Political Game Theory》进阶；Gibbons《博弈论基础》为通用基础。</w:t>
      </w:r>
    </w:p>
    <w:p>
      <w:pPr>
        <w:spacing w:before="120"/>
      </w:pPr>
      <w:r>
        <w:rPr>
          <w:rFonts w:ascii="Times New Roman" w:hAnsi="Times New Roman" w:eastAsia="黑体"/>
          <w:b/>
          <w:color w:val="2E5C8A"/>
          <w:sz w:val="25"/>
        </w:rPr>
        <w:t>3.5 第五优先：严谨的定性方法（不能放弃的另一条腿）</w:t>
      </w:r>
    </w:p>
    <w:p>
      <w:pPr>
        <w:ind w:firstLine="440"/>
      </w:pPr>
      <w:r>
        <w:rPr>
          <w:rFonts w:ascii="Times New Roman" w:hAnsi="Times New Roman" w:eastAsia="宋体"/>
          <w:b w:val="0"/>
          <w:sz w:val="22"/>
        </w:rPr>
        <w:t>在国际组织与区域研究中，过程追踪和比较案例仍是顶刊常见方法。关键在于严谨：</w:t>
      </w:r>
    </w:p>
    <w:p>
      <w:pPr>
        <w:pStyle w:val="ListBullet"/>
      </w:pPr>
      <w:r>
        <w:rPr>
          <w:rFonts w:ascii="Times New Roman" w:hAnsi="Times New Roman" w:eastAsia="宋体"/>
          <w:b/>
          <w:sz w:val="22"/>
        </w:rPr>
        <w:t>案例选择</w:t>
      </w:r>
      <w:r>
        <w:rPr>
          <w:rFonts w:ascii="Times New Roman" w:hAnsi="Times New Roman" w:eastAsia="宋体"/>
          <w:b w:val="0"/>
          <w:sz w:val="22"/>
        </w:rPr>
        <w:t>：按Seawright &amp; Gerring（2008）的典型、偏离、最相似、最大差异等策略说明选择逻辑，避免按因变量选择案例。</w:t>
      </w:r>
    </w:p>
    <w:p>
      <w:pPr>
        <w:pStyle w:val="ListBullet"/>
      </w:pPr>
      <w:r>
        <w:rPr>
          <w:rFonts w:ascii="Times New Roman" w:hAnsi="Times New Roman" w:eastAsia="宋体"/>
          <w:b/>
          <w:sz w:val="22"/>
        </w:rPr>
        <w:t>过程追踪</w:t>
      </w:r>
      <w:r>
        <w:rPr>
          <w:rFonts w:ascii="Times New Roman" w:hAnsi="Times New Roman" w:eastAsia="宋体"/>
          <w:b w:val="0"/>
          <w:sz w:val="22"/>
        </w:rPr>
        <w:t>：明确竞争性解释，列出各自应观察到的“证据痕迹”，用环形检验、冒烟枪检验等判定证据力度（Beach &amp; Pedersen）；进一步可用贝叶斯过程追踪量化推理（Fairfield &amp; Charman 2022）。</w:t>
      </w:r>
    </w:p>
    <w:p>
      <w:pPr>
        <w:pStyle w:val="ListBullet"/>
      </w:pPr>
      <w:r>
        <w:rPr>
          <w:rFonts w:ascii="Times New Roman" w:hAnsi="Times New Roman" w:eastAsia="宋体"/>
          <w:b/>
          <w:sz w:val="22"/>
        </w:rPr>
        <w:t>定性比较分析</w:t>
      </w:r>
      <w:r>
        <w:rPr>
          <w:rFonts w:ascii="Times New Roman" w:hAnsi="Times New Roman" w:eastAsia="宋体"/>
          <w:b w:val="0"/>
          <w:sz w:val="22"/>
        </w:rPr>
        <w:t>：适合10—40个中等数量案例的条件组合分析，例如比较区域组织的制度化程度（Ragin；Schneider &amp; Wagemann）。</w:t>
      </w:r>
    </w:p>
    <w:p>
      <w:pPr>
        <w:pStyle w:val="ListBullet"/>
      </w:pPr>
      <w:r>
        <w:rPr>
          <w:rFonts w:ascii="Times New Roman" w:hAnsi="Times New Roman" w:eastAsia="宋体"/>
          <w:b/>
          <w:sz w:val="22"/>
        </w:rPr>
        <w:t>精英访谈与档案</w:t>
      </w:r>
      <w:r>
        <w:rPr>
          <w:rFonts w:ascii="Times New Roman" w:hAnsi="Times New Roman" w:eastAsia="宋体"/>
          <w:b w:val="0"/>
          <w:sz w:val="22"/>
        </w:rPr>
        <w:t>：制定访谈提纲与抽样逻辑，做好伦理审查与匿名化；档案研究要说明档案的来源、缺口与偏差。</w:t>
      </w:r>
    </w:p>
    <w:p>
      <w:pPr>
        <w:pStyle w:val="ListBullet"/>
      </w:pPr>
      <w:r>
        <w:rPr>
          <w:rFonts w:ascii="Times New Roman" w:hAnsi="Times New Roman" w:eastAsia="宋体"/>
          <w:b/>
          <w:sz w:val="22"/>
        </w:rPr>
        <w:t>多方法研究</w:t>
      </w:r>
      <w:r>
        <w:rPr>
          <w:rFonts w:ascii="Times New Roman" w:hAnsi="Times New Roman" w:eastAsia="宋体"/>
          <w:b w:val="0"/>
          <w:sz w:val="22"/>
        </w:rPr>
        <w:t>：先用大样本找相关性，再用案例检验机制（嵌套分析，Lieberman）。这是区域国别学最能体现“两边都被承认”的设计。</w:t>
      </w:r>
    </w:p>
    <w:p>
      <w:pPr>
        <w:spacing w:before="120"/>
      </w:pPr>
      <w:r>
        <w:rPr>
          <w:rFonts w:ascii="Times New Roman" w:hAnsi="Times New Roman" w:eastAsia="黑体"/>
          <w:b/>
          <w:color w:val="2E5C8A"/>
          <w:sz w:val="25"/>
        </w:rPr>
        <w:t>3.6 基础能力：数据获取与工程（聂辉华所说的“爬虫”）</w:t>
      </w:r>
    </w:p>
    <w:p>
      <w:pPr>
        <w:pStyle w:val="ListBullet"/>
      </w:pPr>
      <w:r>
        <w:rPr>
          <w:rFonts w:ascii="Times New Roman" w:hAnsi="Times New Roman" w:eastAsia="宋体"/>
          <w:b/>
          <w:sz w:val="22"/>
        </w:rPr>
        <w:t>Python数据获取</w:t>
      </w:r>
      <w:r>
        <w:rPr>
          <w:rFonts w:ascii="Times New Roman" w:hAnsi="Times New Roman" w:eastAsia="宋体"/>
          <w:b w:val="0"/>
          <w:sz w:val="22"/>
        </w:rPr>
        <w:t>：requests与BeautifulSoup抓取网页，Playwright处理动态网页，调用开放API（如Crossref、联合国数据、世界银行API），以及OAI-PMH批量抓取机构知识库（本次海外博士论文样本即用此方法获得）。</w:t>
      </w:r>
    </w:p>
    <w:p>
      <w:pPr>
        <w:pStyle w:val="ListBullet"/>
      </w:pPr>
      <w:r>
        <w:rPr>
          <w:rFonts w:ascii="Times New Roman" w:hAnsi="Times New Roman" w:eastAsia="宋体"/>
          <w:b/>
          <w:sz w:val="22"/>
        </w:rPr>
        <w:t>文档处理</w:t>
      </w:r>
      <w:r>
        <w:rPr>
          <w:rFonts w:ascii="Times New Roman" w:hAnsi="Times New Roman" w:eastAsia="宋体"/>
          <w:b w:val="0"/>
          <w:sz w:val="22"/>
        </w:rPr>
        <w:t>：用pdfplumber解析PDF，OCR处理扫描档案；多语种文本清洗。</w:t>
      </w:r>
    </w:p>
    <w:p>
      <w:pPr>
        <w:pStyle w:val="ListBullet"/>
      </w:pPr>
      <w:r>
        <w:rPr>
          <w:rFonts w:ascii="Times New Roman" w:hAnsi="Times New Roman" w:eastAsia="宋体"/>
          <w:b/>
          <w:sz w:val="22"/>
        </w:rPr>
        <w:t>数据管理与复现</w:t>
      </w:r>
      <w:r>
        <w:rPr>
          <w:rFonts w:ascii="Times New Roman" w:hAnsi="Times New Roman" w:eastAsia="宋体"/>
          <w:b w:val="0"/>
          <w:sz w:val="22"/>
        </w:rPr>
        <w:t>：用Git做版本管理；按“原始数据—清洗脚本—分析脚本—输出”组织项目；每篇论文准备复制材料。这在国际期刊投稿中已成为标准要求。</w:t>
      </w:r>
    </w:p>
    <w:p>
      <w:pPr>
        <w:pStyle w:val="ListBullet"/>
      </w:pPr>
      <w:r>
        <w:rPr>
          <w:rFonts w:ascii="Times New Roman" w:hAnsi="Times New Roman" w:eastAsia="宋体"/>
          <w:b/>
          <w:sz w:val="22"/>
        </w:rPr>
        <w:t>语言选择</w:t>
      </w:r>
      <w:r>
        <w:rPr>
          <w:rFonts w:ascii="Times New Roman" w:hAnsi="Times New Roman" w:eastAsia="宋体"/>
          <w:b w:val="0"/>
          <w:sz w:val="22"/>
        </w:rPr>
        <w:t>：R（fixest、did、Synth、quanteda、statnet）与Python（pandas、statsmodels、scikit-learn、transformers、networkx）都可以，建议以一种为主、另一种为辅。若要做因果推断与网络推断，R的生态更成熟；若要做爬虫与大语言模型，Python更方便。</w:t>
      </w:r>
    </w:p>
    <w:p>
      <w:pPr>
        <w:pStyle w:val="ListBullet"/>
      </w:pPr>
      <w:r>
        <w:rPr>
          <w:rFonts w:ascii="Times New Roman" w:hAnsi="Times New Roman" w:eastAsia="宋体"/>
          <w:b/>
          <w:sz w:val="22"/>
        </w:rPr>
        <w:t>遵守规范</w:t>
      </w:r>
      <w:r>
        <w:rPr>
          <w:rFonts w:ascii="Times New Roman" w:hAnsi="Times New Roman" w:eastAsia="宋体"/>
          <w:b w:val="0"/>
          <w:sz w:val="22"/>
        </w:rPr>
        <w:t>：遵守网站的robots协议与服务条款，控制访问频率；涉及个人信息的数据要做伦理审查。</w:t>
      </w:r>
    </w:p>
    <w:p>
      <w:pPr>
        <w:spacing w:before="120"/>
      </w:pPr>
      <w:r>
        <w:rPr>
          <w:rFonts w:ascii="Times New Roman" w:hAnsi="Times New Roman" w:eastAsia="黑体"/>
          <w:b/>
          <w:color w:val="2E5C8A"/>
          <w:sz w:val="25"/>
        </w:rPr>
        <w:t>3.7 进阶：机器学习与地理空间</w:t>
      </w:r>
    </w:p>
    <w:p>
      <w:pPr>
        <w:pStyle w:val="ListBullet"/>
      </w:pPr>
      <w:r>
        <w:rPr>
          <w:rFonts w:ascii="Times New Roman" w:hAnsi="Times New Roman" w:eastAsia="宋体"/>
          <w:b/>
          <w:sz w:val="22"/>
        </w:rPr>
        <w:t>机器学习</w:t>
      </w:r>
      <w:r>
        <w:rPr>
          <w:rFonts w:ascii="Times New Roman" w:hAnsi="Times New Roman" w:eastAsia="宋体"/>
          <w:b w:val="0"/>
          <w:sz w:val="22"/>
        </w:rPr>
        <w:t>：用于预测与分类（随机森林、梯度提升）、异质性处理效应（因果森林）、大规模文本分类。原则是</w:t>
      </w:r>
      <w:r>
        <w:rPr>
          <w:rFonts w:ascii="Times New Roman" w:hAnsi="Times New Roman" w:eastAsia="宋体"/>
          <w:b/>
          <w:sz w:val="22"/>
        </w:rPr>
        <w:t>机器学习服务于测量和异质性分析，不替代识别策略</w:t>
      </w:r>
      <w:r>
        <w:rPr>
          <w:rFonts w:ascii="Times New Roman" w:hAnsi="Times New Roman" w:eastAsia="宋体"/>
          <w:b w:val="0"/>
          <w:sz w:val="22"/>
        </w:rPr>
        <w:t>。</w:t>
      </w:r>
    </w:p>
    <w:p>
      <w:pPr>
        <w:pStyle w:val="ListBullet"/>
      </w:pPr>
      <w:r>
        <w:rPr>
          <w:rFonts w:ascii="Times New Roman" w:hAnsi="Times New Roman" w:eastAsia="宋体"/>
          <w:b/>
          <w:sz w:val="22"/>
        </w:rPr>
        <w:t>地理空间</w:t>
      </w:r>
      <w:r>
        <w:rPr>
          <w:rFonts w:ascii="Times New Roman" w:hAnsi="Times New Roman" w:eastAsia="宋体"/>
          <w:b w:val="0"/>
          <w:sz w:val="22"/>
        </w:rPr>
        <w:t>：用QGIS或R的sf包；使用AidData地理编码项目数据、夜间灯光、冲突事件数据（ACLED、UCDP），分析援助、基础设施的在地效果。</w:t>
      </w:r>
    </w:p>
    <w:p>
      <w:pPr>
        <w:spacing w:before="240"/>
      </w:pPr>
      <w:r>
        <w:rPr>
          <w:rFonts w:ascii="Times New Roman" w:hAnsi="Times New Roman" w:eastAsia="黑体"/>
          <w:b/>
          <w:color w:val="1F4E79"/>
          <w:sz w:val="30"/>
        </w:rPr>
        <w:t>四、全球与区域治理研究的数据资源清单（起步用）</w:t>
      </w:r>
    </w:p>
    <w:tbl>
      <w:tblPr>
        <w:tblStyle w:val="TableGrid"/>
        <w:tblW w:type="auto" w:w="0"/>
        <w:tblLook w:firstColumn="1" w:firstRow="1" w:lastColumn="0" w:lastRow="0" w:noHBand="0" w:noVBand="1" w:val="04A0"/>
      </w:tblPr>
      <w:tblGrid>
        <w:gridCol w:w="3249"/>
        <w:gridCol w:w="3249"/>
        <w:gridCol w:w="3249"/>
      </w:tblGrid>
      <w:tr>
        <w:tc>
          <w:tcPr>
            <w:tcW w:type="dxa" w:w="3249"/>
            <w:shd w:val="clear" w:fill="1F4E79"/>
          </w:tcPr>
          <w:p>
            <w:r/>
            <w:r>
              <w:rPr>
                <w:rFonts w:ascii="Times New Roman" w:hAnsi="Times New Roman" w:eastAsia="宋体"/>
                <w:b/>
                <w:color w:val="FFFFFF"/>
                <w:sz w:val="19"/>
              </w:rPr>
              <w:t>类别</w:t>
            </w:r>
          </w:p>
        </w:tc>
        <w:tc>
          <w:tcPr>
            <w:tcW w:type="dxa" w:w="3249"/>
            <w:shd w:val="clear" w:fill="1F4E79"/>
          </w:tcPr>
          <w:p>
            <w:r/>
            <w:r>
              <w:rPr>
                <w:rFonts w:ascii="Times New Roman" w:hAnsi="Times New Roman" w:eastAsia="宋体"/>
                <w:b/>
                <w:color w:val="FFFFFF"/>
                <w:sz w:val="19"/>
              </w:rPr>
              <w:t>数据</w:t>
            </w:r>
          </w:p>
        </w:tc>
        <w:tc>
          <w:tcPr>
            <w:tcW w:type="dxa" w:w="3249"/>
            <w:shd w:val="clear" w:fill="1F4E79"/>
          </w:tcPr>
          <w:p>
            <w:r/>
            <w:r>
              <w:rPr>
                <w:rFonts w:ascii="Times New Roman" w:hAnsi="Times New Roman" w:eastAsia="宋体"/>
                <w:b/>
                <w:color w:val="FFFFFF"/>
                <w:sz w:val="19"/>
              </w:rPr>
              <w:t>用途</w:t>
            </w:r>
          </w:p>
        </w:tc>
      </w:tr>
      <w:tr>
        <w:tc>
          <w:tcPr>
            <w:tcW w:type="dxa" w:w="3249"/>
          </w:tcPr>
          <w:p>
            <w:r/>
            <w:r>
              <w:rPr>
                <w:rFonts w:ascii="Times New Roman" w:hAnsi="Times New Roman" w:eastAsia="宋体"/>
                <w:b w:val="0"/>
                <w:sz w:val="19"/>
              </w:rPr>
              <w:t>中国对外融资</w:t>
            </w:r>
          </w:p>
        </w:tc>
        <w:tc>
          <w:tcPr>
            <w:tcW w:type="dxa" w:w="3249"/>
          </w:tcPr>
          <w:p>
            <w:r/>
            <w:r>
              <w:rPr>
                <w:rFonts w:ascii="Times New Roman" w:hAnsi="Times New Roman" w:eastAsia="宋体"/>
                <w:b w:val="0"/>
                <w:sz w:val="19"/>
              </w:rPr>
              <w:t>AidData全球中国官方融资数据集（GCDF）；波士顿大学全球发展政策中心的中国海外发展融资与中国对非贷款数据库</w:t>
            </w:r>
          </w:p>
        </w:tc>
        <w:tc>
          <w:tcPr>
            <w:tcW w:type="dxa" w:w="3249"/>
          </w:tcPr>
          <w:p>
            <w:r/>
            <w:r>
              <w:rPr>
                <w:rFonts w:ascii="Times New Roman" w:hAnsi="Times New Roman" w:eastAsia="宋体"/>
                <w:b w:val="0"/>
                <w:sz w:val="19"/>
              </w:rPr>
              <w:t>新兴供给者研究</w:t>
            </w:r>
          </w:p>
        </w:tc>
      </w:tr>
      <w:tr>
        <w:tc>
          <w:tcPr>
            <w:tcW w:type="dxa" w:w="3249"/>
          </w:tcPr>
          <w:p>
            <w:r/>
            <w:r>
              <w:rPr>
                <w:rFonts w:ascii="Times New Roman" w:hAnsi="Times New Roman" w:eastAsia="宋体"/>
                <w:b w:val="0"/>
                <w:sz w:val="19"/>
              </w:rPr>
              <w:t>国际组织</w:t>
            </w:r>
          </w:p>
        </w:tc>
        <w:tc>
          <w:tcPr>
            <w:tcW w:type="dxa" w:w="3249"/>
          </w:tcPr>
          <w:p>
            <w:r/>
            <w:r>
              <w:rPr>
                <w:rFonts w:ascii="Times New Roman" w:hAnsi="Times New Roman" w:eastAsia="宋体"/>
                <w:b w:val="0"/>
                <w:sz w:val="19"/>
              </w:rPr>
              <w:t>Hooghe与Marks的国际权威测量数据（MIA）；COW政府间组织数据；政府间政策产出数据集（IPOD，RIO 2024）</w:t>
            </w:r>
          </w:p>
        </w:tc>
        <w:tc>
          <w:tcPr>
            <w:tcW w:type="dxa" w:w="3249"/>
          </w:tcPr>
          <w:p>
            <w:r/>
            <w:r>
              <w:rPr>
                <w:rFonts w:ascii="Times New Roman" w:hAnsi="Times New Roman" w:eastAsia="宋体"/>
                <w:b w:val="0"/>
                <w:sz w:val="19"/>
              </w:rPr>
              <w:t>国际组织权威、成员与产出</w:t>
            </w:r>
          </w:p>
        </w:tc>
      </w:tr>
      <w:tr>
        <w:tc>
          <w:tcPr>
            <w:tcW w:type="dxa" w:w="3249"/>
          </w:tcPr>
          <w:p>
            <w:r/>
            <w:r>
              <w:rPr>
                <w:rFonts w:ascii="Times New Roman" w:hAnsi="Times New Roman" w:eastAsia="宋体"/>
                <w:b w:val="0"/>
                <w:sz w:val="19"/>
              </w:rPr>
              <w:t>联合国</w:t>
            </w:r>
          </w:p>
        </w:tc>
        <w:tc>
          <w:tcPr>
            <w:tcW w:type="dxa" w:w="3249"/>
          </w:tcPr>
          <w:p>
            <w:r/>
            <w:r>
              <w:rPr>
                <w:rFonts w:ascii="Times New Roman" w:hAnsi="Times New Roman" w:eastAsia="宋体"/>
                <w:b w:val="0"/>
                <w:sz w:val="19"/>
              </w:rPr>
              <w:t>联大投票数据（Bailey, Strezhnev &amp; Voeten理想点）；联合国一般性辩论语料库（Baturo, Dasandi &amp; Mikhaylov）</w:t>
            </w:r>
          </w:p>
        </w:tc>
        <w:tc>
          <w:tcPr>
            <w:tcW w:type="dxa" w:w="3249"/>
          </w:tcPr>
          <w:p>
            <w:r/>
            <w:r>
              <w:rPr>
                <w:rFonts w:ascii="Times New Roman" w:hAnsi="Times New Roman" w:eastAsia="宋体"/>
                <w:b w:val="0"/>
                <w:sz w:val="19"/>
              </w:rPr>
              <w:t>秩序偏好、话语</w:t>
            </w:r>
          </w:p>
        </w:tc>
      </w:tr>
      <w:tr>
        <w:tc>
          <w:tcPr>
            <w:tcW w:type="dxa" w:w="3249"/>
          </w:tcPr>
          <w:p>
            <w:r/>
            <w:r>
              <w:rPr>
                <w:rFonts w:ascii="Times New Roman" w:hAnsi="Times New Roman" w:eastAsia="宋体"/>
                <w:b w:val="0"/>
                <w:sz w:val="19"/>
              </w:rPr>
              <w:t>贸易协定</w:t>
            </w:r>
          </w:p>
        </w:tc>
        <w:tc>
          <w:tcPr>
            <w:tcW w:type="dxa" w:w="3249"/>
          </w:tcPr>
          <w:p>
            <w:r/>
            <w:r>
              <w:rPr>
                <w:rFonts w:ascii="Times New Roman" w:hAnsi="Times New Roman" w:eastAsia="宋体"/>
                <w:b w:val="0"/>
                <w:sz w:val="19"/>
              </w:rPr>
              <w:t>DESTA（贸易协定设计）；WTO区域贸易协定数据库；WTO争端案件</w:t>
            </w:r>
          </w:p>
        </w:tc>
        <w:tc>
          <w:tcPr>
            <w:tcW w:type="dxa" w:w="3249"/>
          </w:tcPr>
          <w:p>
            <w:r/>
            <w:r>
              <w:rPr>
                <w:rFonts w:ascii="Times New Roman" w:hAnsi="Times New Roman" w:eastAsia="宋体"/>
                <w:b w:val="0"/>
                <w:sz w:val="19"/>
              </w:rPr>
              <w:t>规则深度、规则对接</w:t>
            </w:r>
          </w:p>
        </w:tc>
      </w:tr>
      <w:tr>
        <w:tc>
          <w:tcPr>
            <w:tcW w:type="dxa" w:w="3249"/>
          </w:tcPr>
          <w:p>
            <w:r/>
            <w:r>
              <w:rPr>
                <w:rFonts w:ascii="Times New Roman" w:hAnsi="Times New Roman" w:eastAsia="宋体"/>
                <w:b w:val="0"/>
                <w:sz w:val="19"/>
              </w:rPr>
              <w:t>冲突与事件</w:t>
            </w:r>
          </w:p>
        </w:tc>
        <w:tc>
          <w:tcPr>
            <w:tcW w:type="dxa" w:w="3249"/>
          </w:tcPr>
          <w:p>
            <w:r/>
            <w:r>
              <w:rPr>
                <w:rFonts w:ascii="Times New Roman" w:hAnsi="Times New Roman" w:eastAsia="宋体"/>
                <w:b w:val="0"/>
                <w:sz w:val="19"/>
              </w:rPr>
              <w:t>UCDP、ACLED、GDELT</w:t>
            </w:r>
          </w:p>
        </w:tc>
        <w:tc>
          <w:tcPr>
            <w:tcW w:type="dxa" w:w="3249"/>
          </w:tcPr>
          <w:p>
            <w:r/>
            <w:r>
              <w:rPr>
                <w:rFonts w:ascii="Times New Roman" w:hAnsi="Times New Roman" w:eastAsia="宋体"/>
                <w:b w:val="0"/>
                <w:sz w:val="19"/>
              </w:rPr>
              <w:t>安全与冲突</w:t>
            </w:r>
          </w:p>
        </w:tc>
      </w:tr>
      <w:tr>
        <w:tc>
          <w:tcPr>
            <w:tcW w:type="dxa" w:w="3249"/>
          </w:tcPr>
          <w:p>
            <w:r/>
            <w:r>
              <w:rPr>
                <w:rFonts w:ascii="Times New Roman" w:hAnsi="Times New Roman" w:eastAsia="宋体"/>
                <w:b w:val="0"/>
                <w:sz w:val="19"/>
              </w:rPr>
              <w:t>中文资源</w:t>
            </w:r>
          </w:p>
        </w:tc>
        <w:tc>
          <w:tcPr>
            <w:tcW w:type="dxa" w:w="3249"/>
          </w:tcPr>
          <w:p>
            <w:r/>
            <w:r>
              <w:rPr>
                <w:rFonts w:ascii="Times New Roman" w:hAnsi="Times New Roman" w:eastAsia="宋体"/>
                <w:b w:val="0"/>
                <w:sz w:val="19"/>
              </w:rPr>
              <w:t>外交部例行记者会、政府白皮书、领导人出访记录（可自建数据集）、清华大学中外关系数据</w:t>
            </w:r>
          </w:p>
        </w:tc>
        <w:tc>
          <w:tcPr>
            <w:tcW w:type="dxa" w:w="3249"/>
          </w:tcPr>
          <w:p>
            <w:r/>
            <w:r>
              <w:rPr>
                <w:rFonts w:ascii="Times New Roman" w:hAnsi="Times New Roman" w:eastAsia="宋体"/>
                <w:b w:val="0"/>
                <w:sz w:val="19"/>
              </w:rPr>
              <w:t>中国外交与供给行为</w:t>
            </w:r>
          </w:p>
        </w:tc>
      </w:tr>
      <w:tr>
        <w:tc>
          <w:tcPr>
            <w:tcW w:type="dxa" w:w="3249"/>
          </w:tcPr>
          <w:p>
            <w:r/>
            <w:r>
              <w:rPr>
                <w:rFonts w:ascii="Times New Roman" w:hAnsi="Times New Roman" w:eastAsia="宋体"/>
                <w:b w:val="0"/>
                <w:sz w:val="19"/>
              </w:rPr>
              <w:t>宏观金融</w:t>
            </w:r>
          </w:p>
        </w:tc>
        <w:tc>
          <w:tcPr>
            <w:tcW w:type="dxa" w:w="3249"/>
          </w:tcPr>
          <w:p>
            <w:r/>
            <w:r>
              <w:rPr>
                <w:rFonts w:ascii="Times New Roman" w:hAnsi="Times New Roman" w:eastAsia="宋体"/>
                <w:b w:val="0"/>
                <w:sz w:val="19"/>
              </w:rPr>
              <w:t>Aizenman、Chinn与Ito的三元悖论指数；IMF与世界银行数据库</w:t>
            </w:r>
          </w:p>
        </w:tc>
        <w:tc>
          <w:tcPr>
            <w:tcW w:type="dxa" w:w="3249"/>
          </w:tcPr>
          <w:p>
            <w:r/>
            <w:r>
              <w:rPr>
                <w:rFonts w:ascii="Times New Roman" w:hAnsi="Times New Roman" w:eastAsia="宋体"/>
                <w:b w:val="0"/>
                <w:sz w:val="19"/>
              </w:rPr>
              <w:t>开放、金融安全网</w:t>
            </w:r>
          </w:p>
        </w:tc>
      </w:tr>
    </w:tbl>
    <w:p/>
    <w:p>
      <w:pPr>
        <w:ind w:left="454"/>
      </w:pPr>
      <w:r>
        <w:rPr>
          <w:rFonts w:ascii="Times New Roman" w:hAnsi="Times New Roman" w:eastAsia="楷体"/>
          <w:b w:val="0"/>
          <w:color w:val="404040"/>
          <w:sz w:val="21"/>
        </w:rPr>
        <w:t>使用前请逐一核对数据的最新版本、覆盖范围与授权条款。</w:t>
      </w:r>
    </w:p>
    <w:p>
      <w:pPr>
        <w:spacing w:before="240"/>
      </w:pPr>
      <w:r>
        <w:rPr>
          <w:rFonts w:ascii="Times New Roman" w:hAnsi="Times New Roman" w:eastAsia="黑体"/>
          <w:b/>
          <w:color w:val="1F4E79"/>
          <w:sz w:val="30"/>
        </w:rPr>
        <w:t>五、两年学习路线：问题驱动，而非教材驱动</w:t>
      </w:r>
    </w:p>
    <w:p>
      <w:pPr>
        <w:ind w:firstLine="440"/>
      </w:pPr>
      <w:r>
        <w:rPr>
          <w:rFonts w:ascii="Times New Roman" w:hAnsi="Times New Roman" w:eastAsia="宋体"/>
          <w:b w:val="0"/>
          <w:sz w:val="22"/>
        </w:rPr>
        <w:t>“先补研究设计和因果推断的逻辑，再围绕一个具体问题去学工具”这一原则完全正确。下面把它细化为可执行的四个阶段，每个阶段都绑定一个具体产出。</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fill="1F4E79"/>
          </w:tcPr>
          <w:p>
            <w:r/>
            <w:r>
              <w:rPr>
                <w:rFonts w:ascii="Times New Roman" w:hAnsi="Times New Roman" w:eastAsia="宋体"/>
                <w:b/>
                <w:color w:val="FFFFFF"/>
                <w:sz w:val="19"/>
              </w:rPr>
              <w:t>阶段</w:t>
            </w:r>
          </w:p>
        </w:tc>
        <w:tc>
          <w:tcPr>
            <w:tcW w:type="dxa" w:w="2436"/>
            <w:shd w:val="clear" w:fill="1F4E79"/>
          </w:tcPr>
          <w:p>
            <w:r/>
            <w:r>
              <w:rPr>
                <w:rFonts w:ascii="Times New Roman" w:hAnsi="Times New Roman" w:eastAsia="宋体"/>
                <w:b/>
                <w:color w:val="FFFFFF"/>
                <w:sz w:val="19"/>
              </w:rPr>
              <w:t>时间</w:t>
            </w:r>
          </w:p>
        </w:tc>
        <w:tc>
          <w:tcPr>
            <w:tcW w:type="dxa" w:w="2436"/>
            <w:shd w:val="clear" w:fill="1F4E79"/>
          </w:tcPr>
          <w:p>
            <w:r/>
            <w:r>
              <w:rPr>
                <w:rFonts w:ascii="Times New Roman" w:hAnsi="Times New Roman" w:eastAsia="宋体"/>
                <w:b/>
                <w:color w:val="FFFFFF"/>
                <w:sz w:val="19"/>
              </w:rPr>
              <w:t>学什么</w:t>
            </w:r>
          </w:p>
        </w:tc>
        <w:tc>
          <w:tcPr>
            <w:tcW w:type="dxa" w:w="2436"/>
            <w:shd w:val="clear" w:fill="1F4E79"/>
          </w:tcPr>
          <w:p>
            <w:r/>
            <w:r>
              <w:rPr>
                <w:rFonts w:ascii="Times New Roman" w:hAnsi="Times New Roman" w:eastAsia="宋体"/>
                <w:b/>
                <w:color w:val="FFFFFF"/>
                <w:sz w:val="19"/>
              </w:rPr>
              <w:t>绑定的具体产出</w:t>
            </w:r>
          </w:p>
        </w:tc>
      </w:tr>
      <w:tr>
        <w:tc>
          <w:tcPr>
            <w:tcW w:type="dxa" w:w="2436"/>
          </w:tcPr>
          <w:p>
            <w:r/>
            <w:r>
              <w:rPr>
                <w:rFonts w:ascii="Times New Roman" w:hAnsi="Times New Roman" w:eastAsia="宋体"/>
                <w:b w:val="0"/>
                <w:sz w:val="19"/>
              </w:rPr>
              <w:t>1 设计与基础</w:t>
            </w:r>
          </w:p>
        </w:tc>
        <w:tc>
          <w:tcPr>
            <w:tcW w:type="dxa" w:w="2436"/>
          </w:tcPr>
          <w:p>
            <w:r/>
            <w:r>
              <w:rPr>
                <w:rFonts w:ascii="Times New Roman" w:hAnsi="Times New Roman" w:eastAsia="宋体"/>
                <w:b w:val="0"/>
                <w:sz w:val="19"/>
              </w:rPr>
              <w:t>第1—4个月</w:t>
            </w:r>
          </w:p>
        </w:tc>
        <w:tc>
          <w:tcPr>
            <w:tcW w:type="dxa" w:w="2436"/>
          </w:tcPr>
          <w:p>
            <w:r/>
            <w:r>
              <w:rPr>
                <w:rFonts w:ascii="Times New Roman" w:hAnsi="Times New Roman" w:eastAsia="宋体"/>
                <w:b w:val="0"/>
                <w:sz w:val="19"/>
              </w:rPr>
              <w:t>因果推断逻辑（潜在结果、DAG）、案例选择逻辑；R或Python基础；Git</w:t>
            </w:r>
          </w:p>
        </w:tc>
        <w:tc>
          <w:tcPr>
            <w:tcW w:type="dxa" w:w="2436"/>
          </w:tcPr>
          <w:p>
            <w:r/>
            <w:r>
              <w:rPr>
                <w:rFonts w:ascii="Times New Roman" w:hAnsi="Times New Roman" w:eastAsia="宋体"/>
                <w:b w:val="0"/>
                <w:sz w:val="19"/>
              </w:rPr>
              <w:t>用一篇RIO/JCE论文的复制材料完整复现，写一页复现笔记</w:t>
            </w:r>
          </w:p>
        </w:tc>
      </w:tr>
      <w:tr>
        <w:tc>
          <w:tcPr>
            <w:tcW w:type="dxa" w:w="2436"/>
          </w:tcPr>
          <w:p>
            <w:r/>
            <w:r>
              <w:rPr>
                <w:rFonts w:ascii="Times New Roman" w:hAnsi="Times New Roman" w:eastAsia="宋体"/>
                <w:b w:val="0"/>
                <w:sz w:val="19"/>
              </w:rPr>
              <w:t>2 核心定量</w:t>
            </w:r>
          </w:p>
        </w:tc>
        <w:tc>
          <w:tcPr>
            <w:tcW w:type="dxa" w:w="2436"/>
          </w:tcPr>
          <w:p>
            <w:r/>
            <w:r>
              <w:rPr>
                <w:rFonts w:ascii="Times New Roman" w:hAnsi="Times New Roman" w:eastAsia="宋体"/>
                <w:b w:val="0"/>
                <w:sz w:val="19"/>
              </w:rPr>
              <w:t>第5—10个月</w:t>
            </w:r>
          </w:p>
        </w:tc>
        <w:tc>
          <w:tcPr>
            <w:tcW w:type="dxa" w:w="2436"/>
          </w:tcPr>
          <w:p>
            <w:r/>
            <w:r>
              <w:rPr>
                <w:rFonts w:ascii="Times New Roman" w:hAnsi="Times New Roman" w:eastAsia="宋体"/>
                <w:b w:val="0"/>
                <w:sz w:val="19"/>
              </w:rPr>
              <w:t>面板固定效应、交错DID、事件研究、合成控制；二元数据与聚类</w:t>
            </w:r>
          </w:p>
        </w:tc>
        <w:tc>
          <w:tcPr>
            <w:tcW w:type="dxa" w:w="2436"/>
          </w:tcPr>
          <w:p>
            <w:r/>
            <w:r>
              <w:rPr>
                <w:rFonts w:ascii="Times New Roman" w:hAnsi="Times New Roman" w:eastAsia="宋体"/>
                <w:b w:val="0"/>
                <w:sz w:val="19"/>
              </w:rPr>
              <w:t>围绕主线问题做一个小型实证，例如“中国货币互换协议签署对伙伴国外汇储备或资本管制的影响”，形成工作论文初稿</w:t>
            </w:r>
          </w:p>
        </w:tc>
      </w:tr>
      <w:tr>
        <w:tc>
          <w:tcPr>
            <w:tcW w:type="dxa" w:w="2436"/>
          </w:tcPr>
          <w:p>
            <w:r/>
            <w:r>
              <w:rPr>
                <w:rFonts w:ascii="Times New Roman" w:hAnsi="Times New Roman" w:eastAsia="宋体"/>
                <w:b w:val="0"/>
                <w:sz w:val="19"/>
              </w:rPr>
              <w:t>3 文本与网络</w:t>
            </w:r>
          </w:p>
        </w:tc>
        <w:tc>
          <w:tcPr>
            <w:tcW w:type="dxa" w:w="2436"/>
          </w:tcPr>
          <w:p>
            <w:r/>
            <w:r>
              <w:rPr>
                <w:rFonts w:ascii="Times New Roman" w:hAnsi="Times New Roman" w:eastAsia="宋体"/>
                <w:b w:val="0"/>
                <w:sz w:val="19"/>
              </w:rPr>
              <w:t>第11—16个月</w:t>
            </w:r>
          </w:p>
        </w:tc>
        <w:tc>
          <w:tcPr>
            <w:tcW w:type="dxa" w:w="2436"/>
          </w:tcPr>
          <w:p>
            <w:r/>
            <w:r>
              <w:rPr>
                <w:rFonts w:ascii="Times New Roman" w:hAnsi="Times New Roman" w:eastAsia="宋体"/>
                <w:b w:val="0"/>
                <w:sz w:val="19"/>
              </w:rPr>
              <w:t>爬虫与API、文本即数据（主题模型、监督分类、大模型标注与验证）、网络描述与推断</w:t>
            </w:r>
          </w:p>
        </w:tc>
        <w:tc>
          <w:tcPr>
            <w:tcW w:type="dxa" w:w="2436"/>
          </w:tcPr>
          <w:p>
            <w:r/>
            <w:r>
              <w:rPr>
                <w:rFonts w:ascii="Times New Roman" w:hAnsi="Times New Roman" w:eastAsia="宋体"/>
                <w:b w:val="0"/>
                <w:sz w:val="19"/>
              </w:rPr>
              <w:t>自建一个小型原创数据集，例如中国对外金融合作网络或区域协定条款库，并配套数据说明文档</w:t>
            </w:r>
          </w:p>
        </w:tc>
      </w:tr>
      <w:tr>
        <w:tc>
          <w:tcPr>
            <w:tcW w:type="dxa" w:w="2436"/>
          </w:tcPr>
          <w:p>
            <w:r/>
            <w:r>
              <w:rPr>
                <w:rFonts w:ascii="Times New Roman" w:hAnsi="Times New Roman" w:eastAsia="宋体"/>
                <w:b w:val="0"/>
                <w:sz w:val="19"/>
              </w:rPr>
              <w:t>4 形式模型与定性严谨化</w:t>
            </w:r>
          </w:p>
        </w:tc>
        <w:tc>
          <w:tcPr>
            <w:tcW w:type="dxa" w:w="2436"/>
          </w:tcPr>
          <w:p>
            <w:r/>
            <w:r>
              <w:rPr>
                <w:rFonts w:ascii="Times New Roman" w:hAnsi="Times New Roman" w:eastAsia="宋体"/>
                <w:b w:val="0"/>
                <w:sz w:val="19"/>
              </w:rPr>
              <w:t>第17—24个月</w:t>
            </w:r>
          </w:p>
        </w:tc>
        <w:tc>
          <w:tcPr>
            <w:tcW w:type="dxa" w:w="2436"/>
          </w:tcPr>
          <w:p>
            <w:r/>
            <w:r>
              <w:rPr>
                <w:rFonts w:ascii="Times New Roman" w:hAnsi="Times New Roman" w:eastAsia="宋体"/>
                <w:b w:val="0"/>
                <w:sz w:val="19"/>
              </w:rPr>
              <w:t>简单博弈模型（层级选择、俱乐部供给）；过程追踪与案例选择；访谈设计</w:t>
            </w:r>
          </w:p>
        </w:tc>
        <w:tc>
          <w:tcPr>
            <w:tcW w:type="dxa" w:w="2436"/>
          </w:tcPr>
          <w:p>
            <w:r/>
            <w:r>
              <w:rPr>
                <w:rFonts w:ascii="Times New Roman" w:hAnsi="Times New Roman" w:eastAsia="宋体"/>
                <w:b w:val="0"/>
                <w:sz w:val="19"/>
              </w:rPr>
              <w:t>一篇“模型+大样本+案例”多方法论文，投国际会议（PEIO、IPES、ISA）</w:t>
            </w:r>
          </w:p>
        </w:tc>
      </w:tr>
    </w:tbl>
    <w:p/>
    <w:p>
      <w:pPr>
        <w:ind w:firstLine="440"/>
      </w:pPr>
      <w:r>
        <w:rPr>
          <w:rFonts w:ascii="Times New Roman" w:hAnsi="Times New Roman" w:eastAsia="宋体"/>
          <w:b/>
          <w:sz w:val="22"/>
        </w:rPr>
        <w:t>外部训练机会</w:t>
      </w:r>
      <w:r>
        <w:rPr>
          <w:rFonts w:ascii="Times New Roman" w:hAnsi="Times New Roman" w:eastAsia="宋体"/>
          <w:b w:val="0"/>
          <w:sz w:val="22"/>
        </w:rPr>
        <w:t>（需核实当年开课与申请时间）：</w:t>
      </w:r>
    </w:p>
    <w:p>
      <w:pPr>
        <w:pStyle w:val="ListBullet"/>
      </w:pPr>
      <w:r>
        <w:rPr>
          <w:rFonts w:ascii="Times New Roman" w:hAnsi="Times New Roman" w:eastAsia="宋体"/>
          <w:b w:val="0"/>
          <w:sz w:val="22"/>
        </w:rPr>
        <w:t>美国ICPSR暑期班（密歇根大学）；</w:t>
      </w:r>
    </w:p>
    <w:p>
      <w:pPr>
        <w:pStyle w:val="ListBullet"/>
      </w:pPr>
      <w:r>
        <w:rPr>
          <w:rFonts w:ascii="Times New Roman" w:hAnsi="Times New Roman" w:eastAsia="宋体"/>
          <w:b w:val="0"/>
          <w:sz w:val="22"/>
        </w:rPr>
        <w:t>英国埃塞克斯社会科学数据分析暑期学校；</w:t>
      </w:r>
    </w:p>
    <w:p>
      <w:pPr>
        <w:pStyle w:val="ListBullet"/>
      </w:pPr>
      <w:r>
        <w:rPr>
          <w:rFonts w:ascii="Times New Roman" w:hAnsi="Times New Roman" w:eastAsia="宋体"/>
          <w:b w:val="0"/>
          <w:sz w:val="22"/>
        </w:rPr>
        <w:t>美国雪城大学定性与多方法研究研习营（IQMR）；</w:t>
      </w:r>
    </w:p>
    <w:p>
      <w:pPr>
        <w:pStyle w:val="ListBullet"/>
      </w:pPr>
      <w:r>
        <w:rPr>
          <w:rFonts w:ascii="Times New Roman" w:hAnsi="Times New Roman" w:eastAsia="宋体"/>
          <w:b w:val="0"/>
          <w:sz w:val="22"/>
        </w:rPr>
        <w:t>牛津大学定量方法春季学校；</w:t>
      </w:r>
    </w:p>
    <w:p>
      <w:pPr>
        <w:pStyle w:val="ListBullet"/>
      </w:pPr>
      <w:r>
        <w:rPr>
          <w:rFonts w:ascii="Times New Roman" w:hAnsi="Times New Roman" w:eastAsia="宋体"/>
          <w:b w:val="0"/>
          <w:sz w:val="22"/>
        </w:rPr>
        <w:t>德国GESIS的方法课程；</w:t>
      </w:r>
    </w:p>
    <w:p>
      <w:pPr>
        <w:pStyle w:val="ListBullet"/>
      </w:pPr>
      <w:r>
        <w:rPr>
          <w:rFonts w:ascii="Times New Roman" w:hAnsi="Times New Roman" w:eastAsia="宋体"/>
          <w:b w:val="0"/>
          <w:sz w:val="22"/>
        </w:rPr>
        <w:t>国内各高校与学会的方法工作坊。</w:t>
      </w:r>
    </w:p>
    <w:p>
      <w:pPr>
        <w:spacing w:before="240"/>
      </w:pPr>
      <w:r>
        <w:rPr>
          <w:rFonts w:ascii="Times New Roman" w:hAnsi="Times New Roman" w:eastAsia="黑体"/>
          <w:b/>
          <w:color w:val="1F4E79"/>
          <w:sz w:val="30"/>
        </w:rPr>
        <w:t>六、与你的选题对应的三种方法组合（示例）</w:t>
      </w:r>
    </w:p>
    <w:tbl>
      <w:tblPr>
        <w:tblStyle w:val="TableGrid"/>
        <w:tblW w:type="auto" w:w="0"/>
        <w:tblLook w:firstColumn="1" w:firstRow="1" w:lastColumn="0" w:lastRow="0" w:noHBand="0" w:noVBand="1" w:val="04A0"/>
      </w:tblPr>
      <w:tblGrid>
        <w:gridCol w:w="3249"/>
        <w:gridCol w:w="3249"/>
        <w:gridCol w:w="3249"/>
      </w:tblGrid>
      <w:tr>
        <w:tc>
          <w:tcPr>
            <w:tcW w:type="dxa" w:w="3249"/>
            <w:shd w:val="clear" w:fill="1F4E79"/>
          </w:tcPr>
          <w:p>
            <w:r/>
            <w:r>
              <w:rPr>
                <w:rFonts w:ascii="Times New Roman" w:hAnsi="Times New Roman" w:eastAsia="宋体"/>
                <w:b/>
                <w:color w:val="FFFFFF"/>
                <w:sz w:val="19"/>
              </w:rPr>
              <w:t>选题</w:t>
            </w:r>
          </w:p>
        </w:tc>
        <w:tc>
          <w:tcPr>
            <w:tcW w:type="dxa" w:w="3249"/>
            <w:shd w:val="clear" w:fill="1F4E79"/>
          </w:tcPr>
          <w:p>
            <w:r/>
            <w:r>
              <w:rPr>
                <w:rFonts w:ascii="Times New Roman" w:hAnsi="Times New Roman" w:eastAsia="宋体"/>
                <w:b/>
                <w:color w:val="FFFFFF"/>
                <w:sz w:val="19"/>
              </w:rPr>
              <w:t>设计</w:t>
            </w:r>
          </w:p>
        </w:tc>
        <w:tc>
          <w:tcPr>
            <w:tcW w:type="dxa" w:w="3249"/>
            <w:shd w:val="clear" w:fill="1F4E79"/>
          </w:tcPr>
          <w:p>
            <w:r/>
            <w:r>
              <w:rPr>
                <w:rFonts w:ascii="Times New Roman" w:hAnsi="Times New Roman" w:eastAsia="宋体"/>
                <w:b/>
                <w:color w:val="FFFFFF"/>
                <w:sz w:val="19"/>
              </w:rPr>
              <w:t>方法组合</w:t>
            </w:r>
          </w:p>
        </w:tc>
      </w:tr>
      <w:tr>
        <w:tc>
          <w:tcPr>
            <w:tcW w:type="dxa" w:w="3249"/>
          </w:tcPr>
          <w:p>
            <w:r/>
            <w:r>
              <w:rPr>
                <w:rFonts w:ascii="Times New Roman" w:hAnsi="Times New Roman" w:eastAsia="宋体"/>
                <w:b w:val="0"/>
                <w:sz w:val="19"/>
              </w:rPr>
              <w:t>新兴供给者的层级选择：为何有的公共产品以双边方式供给，有的以多边方式供给</w:t>
            </w:r>
          </w:p>
        </w:tc>
        <w:tc>
          <w:tcPr>
            <w:tcW w:type="dxa" w:w="3249"/>
          </w:tcPr>
          <w:p>
            <w:r/>
            <w:r>
              <w:rPr>
                <w:rFonts w:ascii="Times New Roman" w:hAnsi="Times New Roman" w:eastAsia="宋体"/>
                <w:b w:val="0"/>
                <w:sz w:val="19"/>
              </w:rPr>
              <w:t>理论模型推导命题，大样本检验，案例展示机制</w:t>
            </w:r>
          </w:p>
        </w:tc>
        <w:tc>
          <w:tcPr>
            <w:tcW w:type="dxa" w:w="3249"/>
          </w:tcPr>
          <w:p>
            <w:r/>
            <w:r>
              <w:rPr>
                <w:rFonts w:ascii="Times New Roman" w:hAnsi="Times New Roman" w:eastAsia="宋体"/>
                <w:b w:val="0"/>
                <w:sz w:val="19"/>
              </w:rPr>
              <w:t>简单博弈模型 + 项目层面面板/离散选择模型 + 两到三个过程追踪案例</w:t>
            </w:r>
          </w:p>
        </w:tc>
      </w:tr>
      <w:tr>
        <w:tc>
          <w:tcPr>
            <w:tcW w:type="dxa" w:w="3249"/>
          </w:tcPr>
          <w:p>
            <w:r/>
            <w:r>
              <w:rPr>
                <w:rFonts w:ascii="Times New Roman" w:hAnsi="Times New Roman" w:eastAsia="宋体"/>
                <w:b w:val="0"/>
                <w:sz w:val="19"/>
              </w:rPr>
              <w:t>货币互换网络与南方国家的开放空间</w:t>
            </w:r>
          </w:p>
        </w:tc>
        <w:tc>
          <w:tcPr>
            <w:tcW w:type="dxa" w:w="3249"/>
          </w:tcPr>
          <w:p>
            <w:r/>
            <w:r>
              <w:rPr>
                <w:rFonts w:ascii="Times New Roman" w:hAnsi="Times New Roman" w:eastAsia="宋体"/>
                <w:b w:val="0"/>
                <w:sz w:val="19"/>
              </w:rPr>
              <w:t>网络位置作为解释变量，开放政策作为结果变量</w:t>
            </w:r>
          </w:p>
        </w:tc>
        <w:tc>
          <w:tcPr>
            <w:tcW w:type="dxa" w:w="3249"/>
          </w:tcPr>
          <w:p>
            <w:r/>
            <w:r>
              <w:rPr>
                <w:rFonts w:ascii="Times New Roman" w:hAnsi="Times New Roman" w:eastAsia="宋体"/>
                <w:b w:val="0"/>
                <w:sz w:val="19"/>
              </w:rPr>
              <w:t>网络中心性测量 + 交错DID/事件研究 + 合成控制（个别国家）</w:t>
            </w:r>
          </w:p>
        </w:tc>
      </w:tr>
      <w:tr>
        <w:tc>
          <w:tcPr>
            <w:tcW w:type="dxa" w:w="3249"/>
          </w:tcPr>
          <w:p>
            <w:r/>
            <w:r>
              <w:rPr>
                <w:rFonts w:ascii="Times New Roman" w:hAnsi="Times New Roman" w:eastAsia="宋体"/>
                <w:b w:val="0"/>
                <w:sz w:val="19"/>
              </w:rPr>
              <w:t>区域协定与全球规则的对接深度</w:t>
            </w:r>
          </w:p>
        </w:tc>
        <w:tc>
          <w:tcPr>
            <w:tcW w:type="dxa" w:w="3249"/>
          </w:tcPr>
          <w:p>
            <w:r/>
            <w:r>
              <w:rPr>
                <w:rFonts w:ascii="Times New Roman" w:hAnsi="Times New Roman" w:eastAsia="宋体"/>
                <w:b w:val="0"/>
                <w:sz w:val="19"/>
              </w:rPr>
              <w:t>条款编码，文本复用，规则来源追踪</w:t>
            </w:r>
          </w:p>
        </w:tc>
        <w:tc>
          <w:tcPr>
            <w:tcW w:type="dxa" w:w="3249"/>
          </w:tcPr>
          <w:p>
            <w:r/>
            <w:r>
              <w:rPr>
                <w:rFonts w:ascii="Times New Roman" w:hAnsi="Times New Roman" w:eastAsia="宋体"/>
                <w:b w:val="0"/>
                <w:sz w:val="19"/>
              </w:rPr>
              <w:t>文本即数据（复用与相似度）+ 原创条款数据库 + 谈判过程访谈</w:t>
            </w:r>
          </w:p>
        </w:tc>
      </w:tr>
    </w:tbl>
    <w:p/>
    <w:p>
      <w:pPr>
        <w:spacing w:before="240"/>
      </w:pPr>
      <w:r>
        <w:rPr>
          <w:rFonts w:ascii="Times New Roman" w:hAnsi="Times New Roman" w:eastAsia="黑体"/>
          <w:b/>
          <w:color w:val="1F4E79"/>
          <w:sz w:val="30"/>
        </w:rPr>
        <w:t>七、常见的方法陷阱</w:t>
      </w:r>
    </w:p>
    <w:p>
      <w:pPr>
        <w:pStyle w:val="ListBullet"/>
      </w:pPr>
      <w:r>
        <w:rPr>
          <w:rFonts w:ascii="Times New Roman" w:hAnsi="Times New Roman" w:eastAsia="宋体"/>
          <w:b/>
          <w:sz w:val="22"/>
        </w:rPr>
        <w:t>交错DID仍用传统双向固定效应</w:t>
      </w:r>
      <w:r>
        <w:rPr>
          <w:rFonts w:ascii="Times New Roman" w:hAnsi="Times New Roman" w:eastAsia="宋体"/>
          <w:b w:val="0"/>
          <w:sz w:val="22"/>
        </w:rPr>
        <w:t>：审稿人会直接要求重做。</w:t>
      </w:r>
    </w:p>
    <w:p>
      <w:pPr>
        <w:pStyle w:val="ListBullet"/>
      </w:pPr>
      <w:r>
        <w:rPr>
          <w:rFonts w:ascii="Times New Roman" w:hAnsi="Times New Roman" w:eastAsia="宋体"/>
          <w:b/>
          <w:sz w:val="22"/>
        </w:rPr>
        <w:t>国家—年份面板中的小样本与单位异质</w:t>
      </w:r>
      <w:r>
        <w:rPr>
          <w:rFonts w:ascii="Times New Roman" w:hAnsi="Times New Roman" w:eastAsia="宋体"/>
          <w:b w:val="0"/>
          <w:sz w:val="22"/>
        </w:rPr>
        <w:t>：要报告稳健性，避免过度依赖显著性星号。</w:t>
      </w:r>
    </w:p>
    <w:p>
      <w:pPr>
        <w:pStyle w:val="ListBullet"/>
      </w:pPr>
      <w:r>
        <w:rPr>
          <w:rFonts w:ascii="Times New Roman" w:hAnsi="Times New Roman" w:eastAsia="宋体"/>
          <w:b/>
          <w:sz w:val="22"/>
        </w:rPr>
        <w:t>二元数据不处理观测依赖</w:t>
      </w:r>
      <w:r>
        <w:rPr>
          <w:rFonts w:ascii="Times New Roman" w:hAnsi="Times New Roman" w:eastAsia="宋体"/>
          <w:b w:val="0"/>
          <w:sz w:val="22"/>
        </w:rPr>
        <w:t>：标准误会被严重低估。</w:t>
      </w:r>
    </w:p>
    <w:p>
      <w:pPr>
        <w:pStyle w:val="ListBullet"/>
      </w:pPr>
      <w:r>
        <w:rPr>
          <w:rFonts w:ascii="Times New Roman" w:hAnsi="Times New Roman" w:eastAsia="宋体"/>
          <w:b/>
          <w:sz w:val="22"/>
        </w:rPr>
        <w:t>GMM工具变量过多</w:t>
      </w:r>
      <w:r>
        <w:rPr>
          <w:rFonts w:ascii="Times New Roman" w:hAnsi="Times New Roman" w:eastAsia="宋体"/>
          <w:b w:val="0"/>
          <w:sz w:val="22"/>
        </w:rPr>
        <w:t>：Hansen检验失效，结论不可信。</w:t>
      </w:r>
    </w:p>
    <w:p>
      <w:pPr>
        <w:pStyle w:val="ListBullet"/>
      </w:pPr>
      <w:r>
        <w:rPr>
          <w:rFonts w:ascii="Times New Roman" w:hAnsi="Times New Roman" w:eastAsia="宋体"/>
          <w:b/>
          <w:sz w:val="22"/>
        </w:rPr>
        <w:t>把匹配当作识别</w:t>
      </w:r>
      <w:r>
        <w:rPr>
          <w:rFonts w:ascii="Times New Roman" w:hAnsi="Times New Roman" w:eastAsia="宋体"/>
          <w:b w:val="0"/>
          <w:sz w:val="22"/>
        </w:rPr>
        <w:t>：匹配无法处理不可观测混杂。</w:t>
      </w:r>
    </w:p>
    <w:p>
      <w:pPr>
        <w:pStyle w:val="ListBullet"/>
      </w:pPr>
      <w:r>
        <w:rPr>
          <w:rFonts w:ascii="Times New Roman" w:hAnsi="Times New Roman" w:eastAsia="宋体"/>
          <w:b/>
          <w:sz w:val="22"/>
        </w:rPr>
        <w:t>大语言模型标注不验证</w:t>
      </w:r>
      <w:r>
        <w:rPr>
          <w:rFonts w:ascii="Times New Roman" w:hAnsi="Times New Roman" w:eastAsia="宋体"/>
          <w:b w:val="0"/>
          <w:sz w:val="22"/>
        </w:rPr>
        <w:t>：一旦被质疑测量效度，整篇论文都会动摇。</w:t>
      </w:r>
    </w:p>
    <w:p>
      <w:pPr>
        <w:pStyle w:val="ListBullet"/>
      </w:pPr>
      <w:r>
        <w:rPr>
          <w:rFonts w:ascii="Times New Roman" w:hAnsi="Times New Roman" w:eastAsia="宋体"/>
          <w:b/>
          <w:sz w:val="22"/>
        </w:rPr>
        <w:t>按因变量选择案例</w:t>
      </w:r>
      <w:r>
        <w:rPr>
          <w:rFonts w:ascii="Times New Roman" w:hAnsi="Times New Roman" w:eastAsia="宋体"/>
          <w:b w:val="0"/>
          <w:sz w:val="22"/>
        </w:rPr>
        <w:t>：定性研究最常见的硬伤。</w:t>
      </w:r>
    </w:p>
    <w:p>
      <w:pPr>
        <w:pStyle w:val="ListBullet"/>
      </w:pPr>
      <w:r>
        <w:rPr>
          <w:rFonts w:ascii="Times New Roman" w:hAnsi="Times New Roman" w:eastAsia="宋体"/>
          <w:b/>
          <w:sz w:val="22"/>
        </w:rPr>
        <w:t>“设计不严谨的定性研究”</w:t>
      </w:r>
      <w:r>
        <w:rPr>
          <w:rFonts w:ascii="Times New Roman" w:hAnsi="Times New Roman" w:eastAsia="宋体"/>
          <w:b w:val="0"/>
          <w:sz w:val="22"/>
        </w:rPr>
        <w:t>：没有竞争性解释、没有说明证据力度的过程追踪，很难进入国际期刊。</w:t>
      </w:r>
    </w:p>
    <w:p>
      <w:pPr>
        <w:pStyle w:val="ListBullet"/>
      </w:pPr>
      <w:r>
        <w:rPr>
          <w:rFonts w:ascii="Times New Roman" w:hAnsi="Times New Roman" w:eastAsia="宋体"/>
          <w:b/>
          <w:sz w:val="22"/>
        </w:rPr>
        <w:t>只有方法没有问题</w:t>
      </w:r>
      <w:r>
        <w:rPr>
          <w:rFonts w:ascii="Times New Roman" w:hAnsi="Times New Roman" w:eastAsia="宋体"/>
          <w:b w:val="0"/>
          <w:sz w:val="22"/>
        </w:rPr>
        <w:t>：方法再复杂，问题不重要也不会被关注。这一点与聂辉华“选题比什么都重要”一致。</w:t>
      </w:r>
    </w:p>
    <w:p>
      <w:pPr>
        <w:spacing w:before="240"/>
      </w:pPr>
      <w:r>
        <w:rPr>
          <w:rFonts w:ascii="Times New Roman" w:hAnsi="Times New Roman" w:eastAsia="黑体"/>
          <w:b/>
          <w:color w:val="1F4E79"/>
          <w:sz w:val="30"/>
        </w:rPr>
        <w:t>八、一句话总结</w:t>
      </w:r>
    </w:p>
    <w:p>
      <w:pPr>
        <w:ind w:firstLine="440"/>
      </w:pPr>
      <w:r>
        <w:rPr>
          <w:rFonts w:ascii="Times New Roman" w:hAnsi="Times New Roman" w:eastAsia="宋体"/>
          <w:b w:val="0"/>
          <w:sz w:val="22"/>
        </w:rPr>
        <w:t>在全球与区域治理研究中，“一流”的方法能力不等于会用最复杂的模型，而是：</w:t>
      </w:r>
      <w:r>
        <w:rPr>
          <w:rFonts w:ascii="Times New Roman" w:hAnsi="Times New Roman" w:eastAsia="宋体"/>
          <w:b/>
          <w:sz w:val="22"/>
        </w:rPr>
        <w:t>一种拿得出手的定量核心（因果推断），一种严谨的定性方法（过程追踪），加上构建原创数据的能力（爬虫、文本与网络）</w:t>
      </w:r>
      <w:r>
        <w:rPr>
          <w:rFonts w:ascii="Times New Roman" w:hAnsi="Times New Roman" w:eastAsia="宋体"/>
          <w:b w:val="0"/>
          <w:sz w:val="22"/>
        </w:rPr>
        <w:t>。其中第三项最能把区域国别学的语言与在地优势，转化为国际同行无法替代的贡献。</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