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论文A底稿：六篇核心文献的论证图</w:t>
      </w:r>
    </w:p>
    <w:p>
      <w:pPr>
        <w:jc w:val="center"/>
      </w:pPr>
      <w:r>
        <w:rPr>
          <w:rFonts w:ascii="Times New Roman" w:hAnsi="Times New Roman" w:eastAsia="宋体"/>
          <w:b w:val="0"/>
          <w:color w:val="595959"/>
          <w:sz w:val="20"/>
        </w:rPr>
        <w:t>服务于《多边主义的本质与运行形态：兼论关系型多边主义》第二、三节</w:t>
      </w:r>
    </w:p>
    <w:p>
      <w:pPr>
        <w:jc w:val="center"/>
      </w:pPr>
      <w:r>
        <w:rPr>
          <w:rFonts w:ascii="Times New Roman" w:hAnsi="Times New Roman" w:eastAsia="宋体"/>
          <w:b w:val="0"/>
          <w:color w:val="595959"/>
          <w:sz w:val="20"/>
        </w:rPr>
        <w:t>每篇：出处 → 核心问题 → 核心论点 → 关键概念 → 论证链 → 证据与方法 → 与四层次框架的对接 → 可借用之处 → 张力与推进空间 → 在论文A中的位置 → 精读核对清单</w:t>
      </w:r>
    </w:p>
    <w:p>
      <w:pPr>
        <w:spacing w:before="240"/>
      </w:pPr>
      <w:r>
        <w:rPr>
          <w:rFonts w:ascii="Times New Roman" w:hAnsi="Times New Roman" w:eastAsia="黑体"/>
          <w:b/>
          <w:color w:val="1F4E79"/>
          <w:sz w:val="30"/>
        </w:rPr>
        <w:t>使用说明</w:t>
      </w:r>
    </w:p>
    <w:p>
      <w:pPr>
        <w:pStyle w:val="ListBullet"/>
      </w:pPr>
      <w:r>
        <w:rPr>
          <w:rFonts w:ascii="Times New Roman" w:hAnsi="Times New Roman" w:eastAsia="宋体"/>
          <w:b w:val="0"/>
          <w:sz w:val="22"/>
        </w:rPr>
        <w:t>以下内容依据各文的公开摘要、学界的通行理解与本人对这些文献的掌握整理，</w:t>
      </w:r>
      <w:r>
        <w:rPr>
          <w:rFonts w:ascii="Times New Roman" w:hAnsi="Times New Roman" w:eastAsia="宋体"/>
          <w:b/>
          <w:sz w:val="22"/>
        </w:rPr>
        <w:t>均为转述而非引文</w:t>
      </w:r>
      <w:r>
        <w:rPr>
          <w:rFonts w:ascii="Times New Roman" w:hAnsi="Times New Roman" w:eastAsia="宋体"/>
          <w:b w:val="0"/>
          <w:sz w:val="22"/>
        </w:rPr>
        <w:t>。凡标“待核”处，请精读原文后确认或修正，引用时以原文为准。</w:t>
      </w:r>
    </w:p>
    <w:p>
      <w:pPr>
        <w:pStyle w:val="ListBullet"/>
      </w:pPr>
      <w:r>
        <w:rPr>
          <w:rFonts w:ascii="Times New Roman" w:hAnsi="Times New Roman" w:eastAsia="宋体"/>
          <w:b w:val="0"/>
          <w:sz w:val="22"/>
        </w:rPr>
        <w:t>四层次框架回顾：</w:t>
      </w:r>
      <w:r>
        <w:rPr>
          <w:rFonts w:ascii="Times New Roman" w:hAnsi="Times New Roman" w:eastAsia="宋体"/>
          <w:b/>
          <w:sz w:val="22"/>
        </w:rPr>
        <w:t>①原则层</w:t>
      </w:r>
      <w:r>
        <w:rPr>
          <w:rFonts w:ascii="Times New Roman" w:hAnsi="Times New Roman" w:eastAsia="宋体"/>
          <w:b w:val="0"/>
          <w:sz w:val="22"/>
        </w:rPr>
        <w:t>（普遍性原则与公共性关切）；</w:t>
      </w:r>
      <w:r>
        <w:rPr>
          <w:rFonts w:ascii="Times New Roman" w:hAnsi="Times New Roman" w:eastAsia="宋体"/>
          <w:b/>
          <w:sz w:val="22"/>
        </w:rPr>
        <w:t>②制度框架层</w:t>
      </w:r>
      <w:r>
        <w:rPr>
          <w:rFonts w:ascii="Times New Roman" w:hAnsi="Times New Roman" w:eastAsia="宋体"/>
          <w:b w:val="0"/>
          <w:sz w:val="22"/>
        </w:rPr>
        <w:t>（构成性规则）；</w:t>
      </w:r>
      <w:r>
        <w:rPr>
          <w:rFonts w:ascii="Times New Roman" w:hAnsi="Times New Roman" w:eastAsia="宋体"/>
          <w:b/>
          <w:sz w:val="22"/>
        </w:rPr>
        <w:t>③运行机制层</w:t>
      </w:r>
      <w:r>
        <w:rPr>
          <w:rFonts w:ascii="Times New Roman" w:hAnsi="Times New Roman" w:eastAsia="宋体"/>
          <w:b w:val="0"/>
          <w:sz w:val="22"/>
        </w:rPr>
        <w:t>（调节性规则、关系网络、实践惯例的组合）；</w:t>
      </w:r>
      <w:r>
        <w:rPr>
          <w:rFonts w:ascii="Times New Roman" w:hAnsi="Times New Roman" w:eastAsia="宋体"/>
          <w:b/>
          <w:sz w:val="22"/>
        </w:rPr>
        <w:t>④结构层</w:t>
      </w:r>
      <w:r>
        <w:rPr>
          <w:rFonts w:ascii="Times New Roman" w:hAnsi="Times New Roman" w:eastAsia="宋体"/>
          <w:b w:val="0"/>
          <w:sz w:val="22"/>
        </w:rPr>
        <w:t>（形式平等与实际差序）。</w:t>
      </w:r>
    </w:p>
    <w:p>
      <w:pPr>
        <w:spacing w:before="240"/>
      </w:pPr>
      <w:r>
        <w:rPr>
          <w:rFonts w:ascii="Times New Roman" w:hAnsi="Times New Roman" w:eastAsia="黑体"/>
          <w:b/>
          <w:color w:val="1F4E79"/>
          <w:sz w:val="30"/>
        </w:rPr>
        <w:t>总览</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1F4E79"/>
          </w:tcPr>
          <w:p>
            <w:r/>
            <w:r>
              <w:rPr>
                <w:rFonts w:ascii="Times New Roman" w:hAnsi="Times New Roman" w:eastAsia="宋体"/>
                <w:b/>
                <w:color w:val="FFFFFF"/>
                <w:sz w:val="19"/>
              </w:rPr>
              <w:t>文献</w:t>
            </w:r>
          </w:p>
        </w:tc>
        <w:tc>
          <w:tcPr>
            <w:tcW w:type="dxa" w:w="2436"/>
            <w:shd w:val="clear" w:fill="1F4E79"/>
          </w:tcPr>
          <w:p>
            <w:r/>
            <w:r>
              <w:rPr>
                <w:rFonts w:ascii="Times New Roman" w:hAnsi="Times New Roman" w:eastAsia="宋体"/>
                <w:b/>
                <w:color w:val="FFFFFF"/>
                <w:sz w:val="19"/>
              </w:rPr>
              <w:t>一句话要点</w:t>
            </w:r>
          </w:p>
        </w:tc>
        <w:tc>
          <w:tcPr>
            <w:tcW w:type="dxa" w:w="2436"/>
            <w:shd w:val="clear" w:fill="1F4E79"/>
          </w:tcPr>
          <w:p>
            <w:r/>
            <w:r>
              <w:rPr>
                <w:rFonts w:ascii="Times New Roman" w:hAnsi="Times New Roman" w:eastAsia="宋体"/>
                <w:b/>
                <w:color w:val="FFFFFF"/>
                <w:sz w:val="19"/>
              </w:rPr>
              <w:t>主要对接层次</w:t>
            </w:r>
          </w:p>
        </w:tc>
        <w:tc>
          <w:tcPr>
            <w:tcW w:type="dxa" w:w="2436"/>
            <w:shd w:val="clear" w:fill="1F4E79"/>
          </w:tcPr>
          <w:p>
            <w:r/>
            <w:r>
              <w:rPr>
                <w:rFonts w:ascii="Times New Roman" w:hAnsi="Times New Roman" w:eastAsia="宋体"/>
                <w:b/>
                <w:color w:val="FFFFFF"/>
                <w:sz w:val="19"/>
              </w:rPr>
              <w:t>在论文A中的用途</w:t>
            </w:r>
          </w:p>
        </w:tc>
      </w:tr>
      <w:tr>
        <w:tc>
          <w:tcPr>
            <w:tcW w:type="dxa" w:w="2436"/>
          </w:tcPr>
          <w:p>
            <w:r/>
            <w:r>
              <w:rPr>
                <w:rFonts w:ascii="Times New Roman" w:hAnsi="Times New Roman" w:eastAsia="宋体"/>
                <w:b w:val="0"/>
                <w:sz w:val="19"/>
              </w:rPr>
              <w:t>Keohane 1986</w:t>
            </w:r>
          </w:p>
        </w:tc>
        <w:tc>
          <w:tcPr>
            <w:tcW w:type="dxa" w:w="2436"/>
          </w:tcPr>
          <w:p>
            <w:r/>
            <w:r>
              <w:rPr>
                <w:rFonts w:ascii="Times New Roman" w:hAnsi="Times New Roman" w:eastAsia="宋体"/>
                <w:b w:val="0"/>
                <w:sz w:val="19"/>
              </w:rPr>
              <w:t>区分特定互惠与扩散互惠；扩散互惠依赖义务感与持续关系</w:t>
            </w:r>
          </w:p>
        </w:tc>
        <w:tc>
          <w:tcPr>
            <w:tcW w:type="dxa" w:w="2436"/>
          </w:tcPr>
          <w:p>
            <w:r/>
            <w:r>
              <w:rPr>
                <w:rFonts w:ascii="Times New Roman" w:hAnsi="Times New Roman" w:eastAsia="宋体"/>
                <w:b w:val="0"/>
                <w:sz w:val="19"/>
              </w:rPr>
              <w:t>③（并触及①）</w:t>
            </w:r>
          </w:p>
        </w:tc>
        <w:tc>
          <w:tcPr>
            <w:tcW w:type="dxa" w:w="2436"/>
          </w:tcPr>
          <w:p>
            <w:r/>
            <w:r>
              <w:rPr>
                <w:rFonts w:ascii="Times New Roman" w:hAnsi="Times New Roman" w:eastAsia="宋体"/>
                <w:b w:val="0"/>
                <w:sz w:val="19"/>
              </w:rPr>
              <w:t>证明关系性是多边主义运行的内在成分</w:t>
            </w:r>
          </w:p>
        </w:tc>
      </w:tr>
      <w:tr>
        <w:tc>
          <w:tcPr>
            <w:tcW w:type="dxa" w:w="2436"/>
          </w:tcPr>
          <w:p>
            <w:r/>
            <w:r>
              <w:rPr>
                <w:rFonts w:ascii="Times New Roman" w:hAnsi="Times New Roman" w:eastAsia="宋体"/>
                <w:b w:val="0"/>
                <w:sz w:val="19"/>
              </w:rPr>
              <w:t>Ruggie 1992</w:t>
            </w:r>
          </w:p>
        </w:tc>
        <w:tc>
          <w:tcPr>
            <w:tcW w:type="dxa" w:w="2436"/>
          </w:tcPr>
          <w:p>
            <w:r/>
            <w:r>
              <w:rPr>
                <w:rFonts w:ascii="Times New Roman" w:hAnsi="Times New Roman" w:eastAsia="宋体"/>
                <w:b w:val="0"/>
                <w:sz w:val="19"/>
              </w:rPr>
              <w:t>多边主义是依据广义行为原则协调国家关系的制度形式，三大特征</w:t>
            </w:r>
          </w:p>
        </w:tc>
        <w:tc>
          <w:tcPr>
            <w:tcW w:type="dxa" w:w="2436"/>
          </w:tcPr>
          <w:p>
            <w:r/>
            <w:r>
              <w:rPr>
                <w:rFonts w:ascii="Times New Roman" w:hAnsi="Times New Roman" w:eastAsia="宋体"/>
                <w:b w:val="0"/>
                <w:sz w:val="19"/>
              </w:rPr>
              <w:t>①②③</w:t>
            </w:r>
          </w:p>
        </w:tc>
        <w:tc>
          <w:tcPr>
            <w:tcW w:type="dxa" w:w="2436"/>
          </w:tcPr>
          <w:p>
            <w:r/>
            <w:r>
              <w:rPr>
                <w:rFonts w:ascii="Times New Roman" w:hAnsi="Times New Roman" w:eastAsia="宋体"/>
                <w:b w:val="0"/>
                <w:sz w:val="19"/>
              </w:rPr>
              <w:t>多边主义本质的核心依据；“扩散互惠”的定位</w:t>
            </w:r>
          </w:p>
        </w:tc>
      </w:tr>
      <w:tr>
        <w:tc>
          <w:tcPr>
            <w:tcW w:type="dxa" w:w="2436"/>
          </w:tcPr>
          <w:p>
            <w:r/>
            <w:r>
              <w:rPr>
                <w:rFonts w:ascii="Times New Roman" w:hAnsi="Times New Roman" w:eastAsia="宋体"/>
                <w:b w:val="0"/>
                <w:sz w:val="19"/>
              </w:rPr>
              <w:t>Caporaso 1992</w:t>
            </w:r>
          </w:p>
        </w:tc>
        <w:tc>
          <w:tcPr>
            <w:tcW w:type="dxa" w:w="2436"/>
          </w:tcPr>
          <w:p>
            <w:r/>
            <w:r>
              <w:rPr>
                <w:rFonts w:ascii="Times New Roman" w:hAnsi="Times New Roman" w:eastAsia="宋体"/>
                <w:b w:val="0"/>
                <w:sz w:val="19"/>
              </w:rPr>
              <w:t>追问多边主义为何在理论中被忽视，比较不同理论基础</w:t>
            </w:r>
          </w:p>
        </w:tc>
        <w:tc>
          <w:tcPr>
            <w:tcW w:type="dxa" w:w="2436"/>
          </w:tcPr>
          <w:p>
            <w:r/>
            <w:r>
              <w:rPr>
                <w:rFonts w:ascii="Times New Roman" w:hAnsi="Times New Roman" w:eastAsia="宋体"/>
                <w:b w:val="0"/>
                <w:sz w:val="19"/>
              </w:rPr>
              <w:t>①（认识论）</w:t>
            </w:r>
          </w:p>
        </w:tc>
        <w:tc>
          <w:tcPr>
            <w:tcW w:type="dxa" w:w="2436"/>
          </w:tcPr>
          <w:p>
            <w:r/>
            <w:r>
              <w:rPr>
                <w:rFonts w:ascii="Times New Roman" w:hAnsi="Times New Roman" w:eastAsia="宋体"/>
                <w:b w:val="0"/>
                <w:sz w:val="19"/>
              </w:rPr>
              <w:t>说明仅靠个体主义理性难以解释多边主义，为关系理论留出位置</w:t>
            </w:r>
          </w:p>
        </w:tc>
      </w:tr>
      <w:tr>
        <w:tc>
          <w:tcPr>
            <w:tcW w:type="dxa" w:w="2436"/>
          </w:tcPr>
          <w:p>
            <w:r/>
            <w:r>
              <w:rPr>
                <w:rFonts w:ascii="Times New Roman" w:hAnsi="Times New Roman" w:eastAsia="宋体"/>
                <w:b w:val="0"/>
                <w:sz w:val="19"/>
              </w:rPr>
              <w:t>Ruggie 1998</w:t>
            </w:r>
          </w:p>
        </w:tc>
        <w:tc>
          <w:tcPr>
            <w:tcW w:type="dxa" w:w="2436"/>
          </w:tcPr>
          <w:p>
            <w:r/>
            <w:r>
              <w:rPr>
                <w:rFonts w:ascii="Times New Roman" w:hAnsi="Times New Roman" w:eastAsia="宋体"/>
                <w:b w:val="0"/>
                <w:sz w:val="19"/>
              </w:rPr>
              <w:t>建构主义与新功利主义之辩；构成性规则与调节性规则</w:t>
            </w:r>
          </w:p>
        </w:tc>
        <w:tc>
          <w:tcPr>
            <w:tcW w:type="dxa" w:w="2436"/>
          </w:tcPr>
          <w:p>
            <w:r/>
            <w:r>
              <w:rPr>
                <w:rFonts w:ascii="Times New Roman" w:hAnsi="Times New Roman" w:eastAsia="宋体"/>
                <w:b w:val="0"/>
                <w:sz w:val="19"/>
              </w:rPr>
              <w:t>②③的区分</w:t>
            </w:r>
          </w:p>
        </w:tc>
        <w:tc>
          <w:tcPr>
            <w:tcW w:type="dxa" w:w="2436"/>
          </w:tcPr>
          <w:p>
            <w:r/>
            <w:r>
              <w:rPr>
                <w:rFonts w:ascii="Times New Roman" w:hAnsi="Times New Roman" w:eastAsia="宋体"/>
                <w:b w:val="0"/>
                <w:sz w:val="19"/>
              </w:rPr>
              <w:t>支撑“规则的三种含义”与层次划分</w:t>
            </w:r>
          </w:p>
        </w:tc>
      </w:tr>
      <w:tr>
        <w:tc>
          <w:tcPr>
            <w:tcW w:type="dxa" w:w="2436"/>
          </w:tcPr>
          <w:p>
            <w:r/>
            <w:r>
              <w:rPr>
                <w:rFonts w:ascii="Times New Roman" w:hAnsi="Times New Roman" w:eastAsia="宋体"/>
                <w:b w:val="0"/>
                <w:sz w:val="19"/>
              </w:rPr>
              <w:t>Qin 2011</w:t>
            </w:r>
          </w:p>
        </w:tc>
        <w:tc>
          <w:tcPr>
            <w:tcW w:type="dxa" w:w="2436"/>
          </w:tcPr>
          <w:p>
            <w:r/>
            <w:r>
              <w:rPr>
                <w:rFonts w:ascii="Times New Roman" w:hAnsi="Times New Roman" w:eastAsia="宋体"/>
                <w:b w:val="0"/>
                <w:sz w:val="19"/>
              </w:rPr>
              <w:t>规则治理与关系治理的综合</w:t>
            </w:r>
          </w:p>
        </w:tc>
        <w:tc>
          <w:tcPr>
            <w:tcW w:type="dxa" w:w="2436"/>
          </w:tcPr>
          <w:p>
            <w:r/>
            <w:r>
              <w:rPr>
                <w:rFonts w:ascii="Times New Roman" w:hAnsi="Times New Roman" w:eastAsia="宋体"/>
                <w:b w:val="0"/>
                <w:sz w:val="19"/>
              </w:rPr>
              <w:t>③④（及其与②的关系）</w:t>
            </w:r>
          </w:p>
        </w:tc>
        <w:tc>
          <w:tcPr>
            <w:tcW w:type="dxa" w:w="2436"/>
          </w:tcPr>
          <w:p>
            <w:r/>
            <w:r>
              <w:rPr>
                <w:rFonts w:ascii="Times New Roman" w:hAnsi="Times New Roman" w:eastAsia="宋体"/>
                <w:b w:val="0"/>
                <w:sz w:val="19"/>
              </w:rPr>
              <w:t>最近的近亲；明确继承与推进</w:t>
            </w:r>
          </w:p>
        </w:tc>
      </w:tr>
      <w:tr>
        <w:tc>
          <w:tcPr>
            <w:tcW w:type="dxa" w:w="2436"/>
          </w:tcPr>
          <w:p>
            <w:r/>
            <w:r>
              <w:rPr>
                <w:rFonts w:ascii="Times New Roman" w:hAnsi="Times New Roman" w:eastAsia="宋体"/>
                <w:b w:val="0"/>
                <w:sz w:val="19"/>
              </w:rPr>
              <w:t>Poppo与Zenger 2002</w:t>
            </w:r>
          </w:p>
        </w:tc>
        <w:tc>
          <w:tcPr>
            <w:tcW w:type="dxa" w:w="2436"/>
          </w:tcPr>
          <w:p>
            <w:r/>
            <w:r>
              <w:rPr>
                <w:rFonts w:ascii="Times New Roman" w:hAnsi="Times New Roman" w:eastAsia="宋体"/>
                <w:b w:val="0"/>
                <w:sz w:val="19"/>
              </w:rPr>
              <w:t>正式合同与关系治理是互补而非替代</w:t>
            </w:r>
          </w:p>
        </w:tc>
        <w:tc>
          <w:tcPr>
            <w:tcW w:type="dxa" w:w="2436"/>
          </w:tcPr>
          <w:p>
            <w:r/>
            <w:r>
              <w:rPr>
                <w:rFonts w:ascii="Times New Roman" w:hAnsi="Times New Roman" w:eastAsia="宋体"/>
                <w:b w:val="0"/>
                <w:sz w:val="19"/>
              </w:rPr>
              <w:t>③</w:t>
            </w:r>
          </w:p>
        </w:tc>
        <w:tc>
          <w:tcPr>
            <w:tcW w:type="dxa" w:w="2436"/>
          </w:tcPr>
          <w:p>
            <w:r/>
            <w:r>
              <w:rPr>
                <w:rFonts w:ascii="Times New Roman" w:hAnsi="Times New Roman" w:eastAsia="宋体"/>
                <w:b w:val="0"/>
                <w:sz w:val="19"/>
              </w:rPr>
              <w:t>提供“互补”命题的跨学科证据与检验思路</w:t>
            </w:r>
          </w:p>
        </w:tc>
      </w:tr>
    </w:tbl>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一、Keohane（1986）“Reciprocity in International Relations”</w:t>
      </w:r>
    </w:p>
    <w:p>
      <w:pPr>
        <w:ind w:firstLine="440"/>
      </w:pPr>
      <w:r>
        <w:rPr>
          <w:rFonts w:ascii="Times New Roman" w:hAnsi="Times New Roman" w:eastAsia="宋体"/>
          <w:b/>
          <w:sz w:val="22"/>
        </w:rPr>
        <w:t>出处</w:t>
      </w:r>
      <w:r>
        <w:rPr>
          <w:rFonts w:ascii="Times New Roman" w:hAnsi="Times New Roman" w:eastAsia="宋体"/>
          <w:b w:val="0"/>
          <w:sz w:val="22"/>
        </w:rPr>
        <w:t>：*International Organization* 40(1)：1—27</w:t>
      </w:r>
    </w:p>
    <w:p>
      <w:pPr>
        <w:ind w:firstLine="440"/>
      </w:pPr>
      <w:r>
        <w:rPr>
          <w:rFonts w:ascii="Times New Roman" w:hAnsi="Times New Roman" w:eastAsia="宋体"/>
          <w:b/>
          <w:sz w:val="22"/>
        </w:rPr>
        <w:t>核心问题</w:t>
      </w:r>
      <w:r>
        <w:rPr>
          <w:rFonts w:ascii="Times New Roman" w:hAnsi="Times New Roman" w:eastAsia="宋体"/>
          <w:b w:val="0"/>
          <w:sz w:val="22"/>
        </w:rPr>
        <w:t>：在缺乏共同政府的国际体系中，合作如何在不违背主权与自助原则的前提下产生？互惠作为一种合作机制，有哪些类型、各有什么条件与局限？</w:t>
      </w:r>
    </w:p>
    <w:p>
      <w:pPr>
        <w:ind w:firstLine="440"/>
      </w:pPr>
      <w:r>
        <w:rPr>
          <w:rFonts w:ascii="Times New Roman" w:hAnsi="Times New Roman" w:eastAsia="宋体"/>
          <w:b/>
          <w:sz w:val="22"/>
        </w:rPr>
        <w:t>核心论点（转述）</w:t>
      </w:r>
      <w:r>
        <w:rPr>
          <w:rFonts w:ascii="Times New Roman" w:hAnsi="Times New Roman" w:eastAsia="宋体"/>
          <w:b w:val="0"/>
          <w:sz w:val="22"/>
        </w:rPr>
        <w:t>：</w:t>
      </w:r>
    </w:p>
    <w:p>
      <w:pPr>
        <w:pStyle w:val="ListBullet"/>
      </w:pPr>
      <w:r>
        <w:rPr>
          <w:rFonts w:ascii="Times New Roman" w:hAnsi="Times New Roman" w:eastAsia="宋体"/>
          <w:b w:val="0"/>
          <w:sz w:val="22"/>
        </w:rPr>
        <w:t>互惠是一种以大致对等的价值交换为基础、各方行为以对方先前行为为条件的安排。</w:t>
      </w:r>
    </w:p>
    <w:p>
      <w:pPr>
        <w:pStyle w:val="ListBullet"/>
      </w:pPr>
      <w:r>
        <w:rPr>
          <w:rFonts w:ascii="Times New Roman" w:hAnsi="Times New Roman" w:eastAsia="宋体"/>
          <w:b w:val="0"/>
          <w:sz w:val="22"/>
        </w:rPr>
        <w:t>应区分</w:t>
      </w:r>
      <w:r>
        <w:rPr>
          <w:rFonts w:ascii="Times New Roman" w:hAnsi="Times New Roman" w:eastAsia="宋体"/>
          <w:b/>
          <w:sz w:val="22"/>
        </w:rPr>
        <w:t>特定互惠</w:t>
      </w:r>
      <w:r>
        <w:rPr>
          <w:rFonts w:ascii="Times New Roman" w:hAnsi="Times New Roman" w:eastAsia="宋体"/>
          <w:b w:val="0"/>
          <w:sz w:val="22"/>
        </w:rPr>
        <w:t>（与特定对象进行严格对等、按顺序进行的交换）与</w:t>
      </w:r>
      <w:r>
        <w:rPr>
          <w:rFonts w:ascii="Times New Roman" w:hAnsi="Times New Roman" w:eastAsia="宋体"/>
          <w:b/>
          <w:sz w:val="22"/>
        </w:rPr>
        <w:t>扩散互惠</w:t>
      </w:r>
      <w:r>
        <w:rPr>
          <w:rFonts w:ascii="Times New Roman" w:hAnsi="Times New Roman" w:eastAsia="宋体"/>
          <w:b w:val="0"/>
          <w:sz w:val="22"/>
        </w:rPr>
        <w:t>（对等的界定较宽松，交换对象可以是一个群体，时间顺序也不严格，更多依赖义务感与共同规范）。</w:t>
      </w:r>
    </w:p>
    <w:p>
      <w:pPr>
        <w:pStyle w:val="ListBullet"/>
      </w:pPr>
      <w:r>
        <w:rPr>
          <w:rFonts w:ascii="Times New Roman" w:hAnsi="Times New Roman" w:eastAsia="宋体"/>
          <w:b w:val="0"/>
          <w:sz w:val="22"/>
        </w:rPr>
        <w:t>特定互惠在无政府状态下较易维持，但难以支撑范围广泛的合作；扩散互惠能支撑更广泛的合作，却依赖信任与持续关系，也容易被搭便车者利用。两者需要结合（具体论证待核）。</w:t>
      </w:r>
    </w:p>
    <w:p>
      <w:pPr>
        <w:ind w:firstLine="440"/>
      </w:pPr>
      <w:r>
        <w:rPr>
          <w:rFonts w:ascii="Times New Roman" w:hAnsi="Times New Roman" w:eastAsia="宋体"/>
          <w:b/>
          <w:sz w:val="22"/>
        </w:rPr>
        <w:t>关键概念</w:t>
      </w:r>
      <w:r>
        <w:rPr>
          <w:rFonts w:ascii="Times New Roman" w:hAnsi="Times New Roman" w:eastAsia="宋体"/>
          <w:b w:val="0"/>
          <w:sz w:val="22"/>
        </w:rPr>
        <w:t>：特定互惠、扩散互惠、义务、信任。</w:t>
      </w:r>
    </w:p>
    <w:p>
      <w:pPr>
        <w:ind w:firstLine="440"/>
      </w:pPr>
      <w:r>
        <w:rPr>
          <w:rFonts w:ascii="Times New Roman" w:hAnsi="Times New Roman" w:eastAsia="宋体"/>
          <w:b/>
          <w:sz w:val="22"/>
        </w:rPr>
        <w:t>论证链</w:t>
      </w:r>
      <w:r>
        <w:rPr>
          <w:rFonts w:ascii="Times New Roman" w:hAnsi="Times New Roman" w:eastAsia="宋体"/>
          <w:b w:val="0"/>
          <w:sz w:val="22"/>
        </w:rPr>
        <w:t>：无政府状态 → 合作不能依赖等级与集中执行 → 互惠是与主权相容的合作机制 → 互惠有两种形态，各有条件 → 扩散互惠需要社会关系与规范的支撑。</w:t>
      </w:r>
    </w:p>
    <w:p>
      <w:pPr>
        <w:ind w:firstLine="440"/>
      </w:pPr>
      <w:r>
        <w:rPr>
          <w:rFonts w:ascii="Times New Roman" w:hAnsi="Times New Roman" w:eastAsia="宋体"/>
          <w:b/>
          <w:sz w:val="22"/>
        </w:rPr>
        <w:t>证据与方法</w:t>
      </w:r>
      <w:r>
        <w:rPr>
          <w:rFonts w:ascii="Times New Roman" w:hAnsi="Times New Roman" w:eastAsia="宋体"/>
          <w:b w:val="0"/>
          <w:sz w:val="22"/>
        </w:rPr>
        <w:t>：概念分析，配合国际经济与安全领域的历史例子（具体例子待核）。</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val="0"/>
          <w:sz w:val="22"/>
        </w:rPr>
        <w:t>主要在</w:t>
      </w:r>
      <w:r>
        <w:rPr>
          <w:rFonts w:ascii="Times New Roman" w:hAnsi="Times New Roman" w:eastAsia="宋体"/>
          <w:b/>
          <w:sz w:val="22"/>
        </w:rPr>
        <w:t>③运行机制层</w:t>
      </w:r>
      <w:r>
        <w:rPr>
          <w:rFonts w:ascii="Times New Roman" w:hAnsi="Times New Roman" w:eastAsia="宋体"/>
          <w:b w:val="0"/>
          <w:sz w:val="22"/>
        </w:rPr>
        <w:t>：扩散互惠是合作的运行机制；</w:t>
      </w:r>
    </w:p>
    <w:p>
      <w:pPr>
        <w:pStyle w:val="ListBullet"/>
      </w:pPr>
      <w:r>
        <w:rPr>
          <w:rFonts w:ascii="Times New Roman" w:hAnsi="Times New Roman" w:eastAsia="宋体"/>
          <w:b w:val="0"/>
          <w:sz w:val="22"/>
        </w:rPr>
        <w:t>也触及</w:t>
      </w:r>
      <w:r>
        <w:rPr>
          <w:rFonts w:ascii="Times New Roman" w:hAnsi="Times New Roman" w:eastAsia="宋体"/>
          <w:b/>
          <w:sz w:val="22"/>
        </w:rPr>
        <w:t>①原则层</w:t>
      </w:r>
      <w:r>
        <w:rPr>
          <w:rFonts w:ascii="Times New Roman" w:hAnsi="Times New Roman" w:eastAsia="宋体"/>
          <w:b w:val="0"/>
          <w:sz w:val="22"/>
        </w:rPr>
        <w:t>：扩散互惠依赖共同规范与义务感。</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val="0"/>
          <w:sz w:val="22"/>
        </w:rPr>
        <w:t>“扩散互惠依赖长期关系”是论文A论证“关系性是多边主义内在成分”的关键依据；</w:t>
      </w:r>
    </w:p>
    <w:p>
      <w:pPr>
        <w:pStyle w:val="ListBullet"/>
      </w:pPr>
      <w:r>
        <w:rPr>
          <w:rFonts w:ascii="Times New Roman" w:hAnsi="Times New Roman" w:eastAsia="宋体"/>
          <w:b w:val="0"/>
          <w:sz w:val="22"/>
        </w:rPr>
        <w:t>特定与扩散的区分，可以对应关系型多边主义内部的“差序”：关系近的成员之间更多扩散互惠，关系远的成员之间更多特定互惠。</w:t>
      </w:r>
    </w:p>
    <w:p>
      <w:pPr>
        <w:ind w:firstLine="440"/>
      </w:pPr>
      <w:r>
        <w:rPr>
          <w:rFonts w:ascii="Times New Roman" w:hAnsi="Times New Roman" w:eastAsia="宋体"/>
          <w:b/>
          <w:sz w:val="22"/>
        </w:rPr>
        <w:t>张力与推进空间</w:t>
      </w:r>
      <w:r>
        <w:rPr>
          <w:rFonts w:ascii="Times New Roman" w:hAnsi="Times New Roman" w:eastAsia="宋体"/>
          <w:b w:val="0"/>
          <w:sz w:val="22"/>
        </w:rPr>
        <w:t>：</w:t>
      </w:r>
    </w:p>
    <w:p>
      <w:pPr>
        <w:pStyle w:val="ListBullet"/>
      </w:pPr>
      <w:r>
        <w:rPr>
          <w:rFonts w:ascii="Times New Roman" w:hAnsi="Times New Roman" w:eastAsia="宋体"/>
          <w:b w:val="0"/>
          <w:sz w:val="22"/>
        </w:rPr>
        <w:t>Keohane把扩散互惠的风险主要理解为被利用；关系理论可以补充说明，关系网络本身就是约束利用行为的机制（声誉、关系损失的代价）。</w:t>
      </w:r>
    </w:p>
    <w:p>
      <w:pPr>
        <w:pStyle w:val="ListBullet"/>
      </w:pPr>
      <w:r>
        <w:rPr>
          <w:rFonts w:ascii="Times New Roman" w:hAnsi="Times New Roman" w:eastAsia="宋体"/>
          <w:b w:val="0"/>
          <w:sz w:val="22"/>
        </w:rPr>
        <w:t>他没有讨论扩散互惠的网络结构；这正是网络分析可以补充之处。</w:t>
      </w:r>
    </w:p>
    <w:p>
      <w:pPr>
        <w:ind w:firstLine="440"/>
      </w:pPr>
      <w:r>
        <w:rPr>
          <w:rFonts w:ascii="Times New Roman" w:hAnsi="Times New Roman" w:eastAsia="宋体"/>
          <w:b/>
          <w:sz w:val="22"/>
        </w:rPr>
        <w:t>在论文A中的位置</w:t>
      </w:r>
      <w:r>
        <w:rPr>
          <w:rFonts w:ascii="Times New Roman" w:hAnsi="Times New Roman" w:eastAsia="宋体"/>
          <w:b w:val="0"/>
          <w:sz w:val="22"/>
        </w:rPr>
        <w:t>：第二节（多边主义的本质）与第三节（四层次框架中的运行层）。</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两种互惠的准确定义与区分标准</w:t>
      </w:r>
    </w:p>
    <w:p>
      <w:pPr>
        <w:pStyle w:val="ListBullet"/>
      </w:pPr>
      <w:r>
        <w:rPr>
          <w:rFonts w:ascii="Times New Roman" w:hAnsi="Times New Roman" w:eastAsia="宋体"/>
          <w:b w:val="0"/>
          <w:sz w:val="22"/>
        </w:rPr>
        <w:t>[ ] 他对两种互惠如何结合的具体主张</w:t>
      </w:r>
    </w:p>
    <w:p>
      <w:pPr>
        <w:pStyle w:val="ListBullet"/>
      </w:pPr>
      <w:r>
        <w:rPr>
          <w:rFonts w:ascii="Times New Roman" w:hAnsi="Times New Roman" w:eastAsia="宋体"/>
          <w:b w:val="0"/>
          <w:sz w:val="22"/>
        </w:rPr>
        <w:t>[ ] 所举的历史例子</w:t>
      </w:r>
    </w:p>
    <w:p>
      <w:pPr>
        <w:pStyle w:val="ListBullet"/>
      </w:pPr>
      <w:r>
        <w:rPr>
          <w:rFonts w:ascii="Times New Roman" w:hAnsi="Times New Roman" w:eastAsia="宋体"/>
          <w:b w:val="0"/>
          <w:sz w:val="22"/>
        </w:rPr>
        <w:t>[ ] 是否明确把扩散互惠与多边主义联系起来</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二、Ruggie（1992）“Multilateralism: The Anatomy of an Institution”</w:t>
      </w:r>
    </w:p>
    <w:p>
      <w:pPr>
        <w:ind w:firstLine="440"/>
      </w:pPr>
      <w:r>
        <w:rPr>
          <w:rFonts w:ascii="Times New Roman" w:hAnsi="Times New Roman" w:eastAsia="宋体"/>
          <w:b/>
          <w:sz w:val="22"/>
        </w:rPr>
        <w:t>出处</w:t>
      </w:r>
      <w:r>
        <w:rPr>
          <w:rFonts w:ascii="Times New Roman" w:hAnsi="Times New Roman" w:eastAsia="宋体"/>
          <w:b w:val="0"/>
          <w:sz w:val="22"/>
        </w:rPr>
        <w:t>：*International Organization* 46(3)：561—598</w:t>
      </w:r>
    </w:p>
    <w:p>
      <w:pPr>
        <w:ind w:firstLine="440"/>
      </w:pPr>
      <w:r>
        <w:rPr>
          <w:rFonts w:ascii="Times New Roman" w:hAnsi="Times New Roman" w:eastAsia="宋体"/>
          <w:b/>
          <w:sz w:val="22"/>
        </w:rPr>
        <w:t>核心问题</w:t>
      </w:r>
      <w:r>
        <w:rPr>
          <w:rFonts w:ascii="Times New Roman" w:hAnsi="Times New Roman" w:eastAsia="宋体"/>
          <w:b w:val="0"/>
          <w:sz w:val="22"/>
        </w:rPr>
        <w:t>：冷战结束时，多边规范与制度似乎在稳定国际变局中发挥了作用。多边主义作为一种制度形式究竟是什么？它为何在二战后得到广泛采用？</w:t>
      </w:r>
    </w:p>
    <w:p>
      <w:pPr>
        <w:ind w:firstLine="440"/>
      </w:pPr>
      <w:r>
        <w:rPr>
          <w:rFonts w:ascii="Times New Roman" w:hAnsi="Times New Roman" w:eastAsia="宋体"/>
          <w:b/>
          <w:sz w:val="22"/>
        </w:rPr>
        <w:t>核心论点（转述）</w:t>
      </w:r>
      <w:r>
        <w:rPr>
          <w:rFonts w:ascii="Times New Roman" w:hAnsi="Times New Roman" w:eastAsia="宋体"/>
          <w:b w:val="0"/>
          <w:sz w:val="22"/>
        </w:rPr>
        <w:t>：</w:t>
      </w:r>
    </w:p>
    <w:p>
      <w:pPr>
        <w:pStyle w:val="ListBullet"/>
      </w:pPr>
      <w:r>
        <w:rPr>
          <w:rFonts w:ascii="Times New Roman" w:hAnsi="Times New Roman" w:eastAsia="宋体"/>
          <w:b w:val="0"/>
          <w:sz w:val="22"/>
        </w:rPr>
        <w:t>区分多边主义的</w:t>
      </w:r>
      <w:r>
        <w:rPr>
          <w:rFonts w:ascii="Times New Roman" w:hAnsi="Times New Roman" w:eastAsia="宋体"/>
          <w:b/>
          <w:sz w:val="22"/>
        </w:rPr>
        <w:t>名义定义</w:t>
      </w:r>
      <w:r>
        <w:rPr>
          <w:rFonts w:ascii="Times New Roman" w:hAnsi="Times New Roman" w:eastAsia="宋体"/>
          <w:b w:val="0"/>
          <w:sz w:val="22"/>
        </w:rPr>
        <w:t>（三方以上协调）与</w:t>
      </w:r>
      <w:r>
        <w:rPr>
          <w:rFonts w:ascii="Times New Roman" w:hAnsi="Times New Roman" w:eastAsia="宋体"/>
          <w:b/>
          <w:sz w:val="22"/>
        </w:rPr>
        <w:t>质的定义</w:t>
      </w:r>
      <w:r>
        <w:rPr>
          <w:rFonts w:ascii="Times New Roman" w:hAnsi="Times New Roman" w:eastAsia="宋体"/>
          <w:b w:val="0"/>
          <w:sz w:val="22"/>
        </w:rPr>
        <w:t>：多边主义是一种依据</w:t>
      </w:r>
      <w:r>
        <w:rPr>
          <w:rFonts w:ascii="Times New Roman" w:hAnsi="Times New Roman" w:eastAsia="宋体"/>
          <w:b/>
          <w:sz w:val="22"/>
        </w:rPr>
        <w:t>广义行为原则</w:t>
      </w:r>
      <w:r>
        <w:rPr>
          <w:rFonts w:ascii="Times New Roman" w:hAnsi="Times New Roman" w:eastAsia="宋体"/>
          <w:b w:val="0"/>
          <w:sz w:val="22"/>
        </w:rPr>
        <w:t>协调三个或更多国家之间关系的制度形式。</w:t>
      </w:r>
    </w:p>
    <w:p>
      <w:pPr>
        <w:pStyle w:val="ListBullet"/>
      </w:pPr>
      <w:r>
        <w:rPr>
          <w:rFonts w:ascii="Times New Roman" w:hAnsi="Times New Roman" w:eastAsia="宋体"/>
          <w:b w:val="0"/>
          <w:sz w:val="22"/>
        </w:rPr>
        <w:t>多边主义的三个特征：</w:t>
      </w:r>
      <w:r>
        <w:rPr>
          <w:rFonts w:ascii="Times New Roman" w:hAnsi="Times New Roman" w:eastAsia="宋体"/>
          <w:b/>
          <w:sz w:val="22"/>
        </w:rPr>
        <w:t>广义行为原则</w:t>
      </w:r>
      <w:r>
        <w:rPr>
          <w:rFonts w:ascii="Times New Roman" w:hAnsi="Times New Roman" w:eastAsia="宋体"/>
          <w:b w:val="0"/>
          <w:sz w:val="22"/>
        </w:rPr>
        <w:t>（不因对象而异）、</w:t>
      </w:r>
      <w:r>
        <w:rPr>
          <w:rFonts w:ascii="Times New Roman" w:hAnsi="Times New Roman" w:eastAsia="宋体"/>
          <w:b/>
          <w:sz w:val="22"/>
        </w:rPr>
        <w:t>不可分割性</w:t>
      </w:r>
      <w:r>
        <w:rPr>
          <w:rFonts w:ascii="Times New Roman" w:hAnsi="Times New Roman" w:eastAsia="宋体"/>
          <w:b w:val="0"/>
          <w:sz w:val="22"/>
        </w:rPr>
        <w:t>（成员在相关问题上利益相连）、</w:t>
      </w:r>
      <w:r>
        <w:rPr>
          <w:rFonts w:ascii="Times New Roman" w:hAnsi="Times New Roman" w:eastAsia="宋体"/>
          <w:b/>
          <w:sz w:val="22"/>
        </w:rPr>
        <w:t>扩散互惠</w:t>
      </w:r>
      <w:r>
        <w:rPr>
          <w:rFonts w:ascii="Times New Roman" w:hAnsi="Times New Roman" w:eastAsia="宋体"/>
          <w:b w:val="0"/>
          <w:sz w:val="22"/>
        </w:rPr>
        <w:t>。</w:t>
      </w:r>
    </w:p>
    <w:p>
      <w:pPr>
        <w:pStyle w:val="ListBullet"/>
      </w:pPr>
      <w:r>
        <w:rPr>
          <w:rFonts w:ascii="Times New Roman" w:hAnsi="Times New Roman" w:eastAsia="宋体"/>
          <w:b w:val="0"/>
          <w:sz w:val="22"/>
        </w:rPr>
        <w:t>要区分作为一般制度形式的多边主义与具体的多边组织；多边主义可与双边主义、帝国式安排相对照。</w:t>
      </w:r>
    </w:p>
    <w:p>
      <w:pPr>
        <w:pStyle w:val="ListBullet"/>
      </w:pPr>
      <w:r>
        <w:rPr>
          <w:rFonts w:ascii="Times New Roman" w:hAnsi="Times New Roman" w:eastAsia="宋体"/>
          <w:b w:val="0"/>
          <w:sz w:val="22"/>
        </w:rPr>
        <w:t>二战后多边主义的盛行，与美国霸权及其国内政治秩序的特点有关：并非任何霸权都会选择多边形式（具体论证待核）。</w:t>
      </w:r>
    </w:p>
    <w:p>
      <w:pPr>
        <w:ind w:firstLine="440"/>
      </w:pPr>
      <w:r>
        <w:rPr>
          <w:rFonts w:ascii="Times New Roman" w:hAnsi="Times New Roman" w:eastAsia="宋体"/>
          <w:b/>
          <w:sz w:val="22"/>
        </w:rPr>
        <w:t>关键概念</w:t>
      </w:r>
      <w:r>
        <w:rPr>
          <w:rFonts w:ascii="Times New Roman" w:hAnsi="Times New Roman" w:eastAsia="宋体"/>
          <w:b w:val="0"/>
          <w:sz w:val="22"/>
        </w:rPr>
        <w:t>：广义行为原则、不可分割性、扩散互惠、制度形式。</w:t>
      </w:r>
    </w:p>
    <w:p>
      <w:pPr>
        <w:ind w:firstLine="440"/>
      </w:pPr>
      <w:r>
        <w:rPr>
          <w:rFonts w:ascii="Times New Roman" w:hAnsi="Times New Roman" w:eastAsia="宋体"/>
          <w:b/>
          <w:sz w:val="22"/>
        </w:rPr>
        <w:t>论证链</w:t>
      </w:r>
      <w:r>
        <w:rPr>
          <w:rFonts w:ascii="Times New Roman" w:hAnsi="Times New Roman" w:eastAsia="宋体"/>
          <w:b w:val="0"/>
          <w:sz w:val="22"/>
        </w:rPr>
        <w:t>：多边主义的经验重要性 → 现有理论只用名义定义 → 提出质的定义与三个特征 → 用历史比较说明其制度特性 → 解释战后多边主义的起源与韧性。</w:t>
      </w:r>
    </w:p>
    <w:p>
      <w:pPr>
        <w:ind w:firstLine="440"/>
      </w:pPr>
      <w:r>
        <w:rPr>
          <w:rFonts w:ascii="Times New Roman" w:hAnsi="Times New Roman" w:eastAsia="宋体"/>
          <w:b/>
          <w:sz w:val="22"/>
        </w:rPr>
        <w:t>证据与方法</w:t>
      </w:r>
      <w:r>
        <w:rPr>
          <w:rFonts w:ascii="Times New Roman" w:hAnsi="Times New Roman" w:eastAsia="宋体"/>
          <w:b w:val="0"/>
          <w:sz w:val="22"/>
        </w:rPr>
        <w:t>：概念分析与历史比较（不同时期的国际秩序安排）。</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sz w:val="22"/>
        </w:rPr>
        <w:t>①原则层</w:t>
      </w:r>
      <w:r>
        <w:rPr>
          <w:rFonts w:ascii="Times New Roman" w:hAnsi="Times New Roman" w:eastAsia="宋体"/>
          <w:b w:val="0"/>
          <w:sz w:val="22"/>
        </w:rPr>
        <w:t>：“广义行为原则”与“不可分割性”正是多边主义的内核；</w:t>
      </w:r>
    </w:p>
    <w:p>
      <w:pPr>
        <w:pStyle w:val="ListBullet"/>
      </w:pPr>
      <w:r>
        <w:rPr>
          <w:rFonts w:ascii="Times New Roman" w:hAnsi="Times New Roman" w:eastAsia="宋体"/>
          <w:b/>
          <w:sz w:val="22"/>
        </w:rPr>
        <w:t>②制度框架层</w:t>
      </w:r>
      <w:r>
        <w:rPr>
          <w:rFonts w:ascii="Times New Roman" w:hAnsi="Times New Roman" w:eastAsia="宋体"/>
          <w:b w:val="0"/>
          <w:sz w:val="22"/>
        </w:rPr>
        <w:t>：多边主义作为一种制度形式；</w:t>
      </w:r>
    </w:p>
    <w:p>
      <w:pPr>
        <w:pStyle w:val="ListBullet"/>
      </w:pPr>
      <w:r>
        <w:rPr>
          <w:rFonts w:ascii="Times New Roman" w:hAnsi="Times New Roman" w:eastAsia="宋体"/>
          <w:b/>
          <w:sz w:val="22"/>
        </w:rPr>
        <w:t>③运行机制层</w:t>
      </w:r>
      <w:r>
        <w:rPr>
          <w:rFonts w:ascii="Times New Roman" w:hAnsi="Times New Roman" w:eastAsia="宋体"/>
          <w:b w:val="0"/>
          <w:sz w:val="22"/>
        </w:rPr>
        <w:t>：“扩散互惠”在他的定义中属于特征之一，但实际上是一种运行机制。</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val="0"/>
          <w:sz w:val="22"/>
        </w:rPr>
        <w:t>论文A关于“多边主义本质”的核心依据：多边主义本身就是一种“协调国家之间关系”的形式；</w:t>
      </w:r>
    </w:p>
    <w:p>
      <w:pPr>
        <w:pStyle w:val="ListBullet"/>
      </w:pPr>
      <w:r>
        <w:rPr>
          <w:rFonts w:ascii="Times New Roman" w:hAnsi="Times New Roman" w:eastAsia="宋体"/>
          <w:b w:val="0"/>
          <w:sz w:val="22"/>
        </w:rPr>
        <w:t>三个特征可以直接拆分到四层次框架中：前两者属于原则层，扩散互惠属于运行层。</w:t>
      </w:r>
      <w:r>
        <w:rPr>
          <w:rFonts w:ascii="Times New Roman" w:hAnsi="Times New Roman" w:eastAsia="宋体"/>
          <w:b/>
          <w:sz w:val="22"/>
        </w:rPr>
        <w:t>这一拆分本身就是论文A的一个理论动作。</w:t>
      </w:r>
    </w:p>
    <w:p>
      <w:pPr>
        <w:pStyle w:val="ListBullet"/>
      </w:pPr>
      <w:r>
        <w:rPr>
          <w:rFonts w:ascii="Times New Roman" w:hAnsi="Times New Roman" w:eastAsia="宋体"/>
          <w:b w:val="0"/>
          <w:sz w:val="22"/>
        </w:rPr>
        <w:t>“并非所有霸权都选择多边形式”的论点，可以与本文“分层组合”的思路对话。</w:t>
      </w:r>
    </w:p>
    <w:p>
      <w:pPr>
        <w:ind w:firstLine="440"/>
      </w:pPr>
      <w:r>
        <w:rPr>
          <w:rFonts w:ascii="Times New Roman" w:hAnsi="Times New Roman" w:eastAsia="宋体"/>
          <w:b/>
          <w:sz w:val="22"/>
        </w:rPr>
        <w:t>张力与推进空间</w:t>
      </w:r>
      <w:r>
        <w:rPr>
          <w:rFonts w:ascii="Times New Roman" w:hAnsi="Times New Roman" w:eastAsia="宋体"/>
          <w:b w:val="0"/>
          <w:sz w:val="22"/>
        </w:rPr>
        <w:t>：</w:t>
      </w:r>
    </w:p>
    <w:p>
      <w:pPr>
        <w:pStyle w:val="ListBullet"/>
      </w:pPr>
      <w:r>
        <w:rPr>
          <w:rFonts w:ascii="Times New Roman" w:hAnsi="Times New Roman" w:eastAsia="宋体"/>
          <w:b w:val="0"/>
          <w:sz w:val="22"/>
        </w:rPr>
        <w:t>鲁杰把三个特征并列，而本文主张它们处在不同层次：原则层的普遍性与运行层的关系性可以分开讨论，并以不同组合出现。</w:t>
      </w:r>
    </w:p>
    <w:p>
      <w:pPr>
        <w:pStyle w:val="ListBullet"/>
      </w:pPr>
      <w:r>
        <w:rPr>
          <w:rFonts w:ascii="Times New Roman" w:hAnsi="Times New Roman" w:eastAsia="宋体"/>
          <w:b w:val="0"/>
          <w:sz w:val="22"/>
        </w:rPr>
        <w:t>他的定义强调“广义原则”以区分双边与帝国，但没有讨论在广义原则之下，运行层可以有差异化的关系安排。这正是“理一分殊”可以切入之处。</w:t>
      </w:r>
    </w:p>
    <w:p>
      <w:pPr>
        <w:ind w:firstLine="440"/>
      </w:pPr>
      <w:r>
        <w:rPr>
          <w:rFonts w:ascii="Times New Roman" w:hAnsi="Times New Roman" w:eastAsia="宋体"/>
          <w:b/>
          <w:sz w:val="22"/>
        </w:rPr>
        <w:t>在论文A中的位置</w:t>
      </w:r>
      <w:r>
        <w:rPr>
          <w:rFonts w:ascii="Times New Roman" w:hAnsi="Times New Roman" w:eastAsia="宋体"/>
          <w:b w:val="0"/>
          <w:sz w:val="22"/>
        </w:rPr>
        <w:t>：第二节（本质）、第三节（四层次框架）的核心对话对象。</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质的定义的准确表述</w:t>
      </w:r>
    </w:p>
    <w:p>
      <w:pPr>
        <w:pStyle w:val="ListBullet"/>
      </w:pPr>
      <w:r>
        <w:rPr>
          <w:rFonts w:ascii="Times New Roman" w:hAnsi="Times New Roman" w:eastAsia="宋体"/>
          <w:b w:val="0"/>
          <w:sz w:val="22"/>
        </w:rPr>
        <w:t>[ ] 三个特征各自的含义，尤其“不可分割性”</w:t>
      </w:r>
    </w:p>
    <w:p>
      <w:pPr>
        <w:pStyle w:val="ListBullet"/>
      </w:pPr>
      <w:r>
        <w:rPr>
          <w:rFonts w:ascii="Times New Roman" w:hAnsi="Times New Roman" w:eastAsia="宋体"/>
          <w:b w:val="0"/>
          <w:sz w:val="22"/>
        </w:rPr>
        <w:t>[ ] 多边主义与多边组织的区分</w:t>
      </w:r>
    </w:p>
    <w:p>
      <w:pPr>
        <w:pStyle w:val="ListBullet"/>
      </w:pPr>
      <w:r>
        <w:rPr>
          <w:rFonts w:ascii="Times New Roman" w:hAnsi="Times New Roman" w:eastAsia="宋体"/>
          <w:b w:val="0"/>
          <w:sz w:val="22"/>
        </w:rPr>
        <w:t>[ ] 关于战后美国选择多边形式的解释</w:t>
      </w:r>
    </w:p>
    <w:p>
      <w:pPr>
        <w:pStyle w:val="ListBullet"/>
      </w:pPr>
      <w:r>
        <w:rPr>
          <w:rFonts w:ascii="Times New Roman" w:hAnsi="Times New Roman" w:eastAsia="宋体"/>
          <w:b w:val="0"/>
          <w:sz w:val="22"/>
        </w:rPr>
        <w:t>[ ] 文中是否讨论多边主义内部的等级或差异</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三、Caporaso（1992）“International Relations Theory and Multilateralism: The Search for Foundations”</w:t>
      </w:r>
    </w:p>
    <w:p>
      <w:pPr>
        <w:ind w:firstLine="440"/>
      </w:pPr>
      <w:r>
        <w:rPr>
          <w:rFonts w:ascii="Times New Roman" w:hAnsi="Times New Roman" w:eastAsia="宋体"/>
          <w:b/>
          <w:sz w:val="22"/>
        </w:rPr>
        <w:t>出处</w:t>
      </w:r>
      <w:r>
        <w:rPr>
          <w:rFonts w:ascii="Times New Roman" w:hAnsi="Times New Roman" w:eastAsia="宋体"/>
          <w:b w:val="0"/>
          <w:sz w:val="22"/>
        </w:rPr>
        <w:t>：*International Organization* 46(3)：599—632</w:t>
      </w:r>
    </w:p>
    <w:p>
      <w:pPr>
        <w:ind w:firstLine="440"/>
      </w:pPr>
      <w:r>
        <w:rPr>
          <w:rFonts w:ascii="Times New Roman" w:hAnsi="Times New Roman" w:eastAsia="宋体"/>
          <w:b/>
          <w:sz w:val="22"/>
        </w:rPr>
        <w:t>核心问题</w:t>
      </w:r>
      <w:r>
        <w:rPr>
          <w:rFonts w:ascii="Times New Roman" w:hAnsi="Times New Roman" w:eastAsia="宋体"/>
          <w:b w:val="0"/>
          <w:sz w:val="22"/>
        </w:rPr>
        <w:t>：在相互依赖不断加深、许多问题本身具有国际“不可分割性”的情况下，多边主义为何在国际关系理论中没有占据更突出的位置？它的理论基础应当从哪里寻找？</w:t>
      </w:r>
    </w:p>
    <w:p>
      <w:pPr>
        <w:ind w:firstLine="440"/>
      </w:pPr>
      <w:r>
        <w:rPr>
          <w:rFonts w:ascii="Times New Roman" w:hAnsi="Times New Roman" w:eastAsia="宋体"/>
          <w:b/>
          <w:sz w:val="22"/>
        </w:rPr>
        <w:t>核心论点（转述，待核）</w:t>
      </w:r>
      <w:r>
        <w:rPr>
          <w:rFonts w:ascii="Times New Roman" w:hAnsi="Times New Roman" w:eastAsia="宋体"/>
          <w:b w:val="0"/>
          <w:sz w:val="22"/>
        </w:rPr>
        <w:t>：</w:t>
      </w:r>
    </w:p>
    <w:p>
      <w:pPr>
        <w:pStyle w:val="ListBullet"/>
      </w:pPr>
      <w:r>
        <w:rPr>
          <w:rFonts w:ascii="Times New Roman" w:hAnsi="Times New Roman" w:eastAsia="宋体"/>
          <w:b w:val="0"/>
          <w:sz w:val="22"/>
        </w:rPr>
        <w:t>多边主义可以从不同层面理解：多边组织、多边主义作为一种制度、多边主义作为一种信念或意识形态。</w:t>
      </w:r>
    </w:p>
    <w:p>
      <w:pPr>
        <w:pStyle w:val="ListBullet"/>
      </w:pPr>
      <w:r>
        <w:rPr>
          <w:rFonts w:ascii="Times New Roman" w:hAnsi="Times New Roman" w:eastAsia="宋体"/>
          <w:b w:val="0"/>
          <w:sz w:val="22"/>
        </w:rPr>
        <w:t>比较不同的理论基础：以个体主义理性选择为基础的路径（集体行动、合作博弈）、社会与沟通的路径，以及制度主义路径。</w:t>
      </w:r>
    </w:p>
    <w:p>
      <w:pPr>
        <w:pStyle w:val="ListBullet"/>
      </w:pPr>
      <w:r>
        <w:rPr>
          <w:rFonts w:ascii="Times New Roman" w:hAnsi="Times New Roman" w:eastAsia="宋体"/>
          <w:b w:val="0"/>
          <w:sz w:val="22"/>
        </w:rPr>
        <w:t>个体主义路径在解释多边主义的规范性特征（如不可分割性、广义原则）方面存在困难，需要更多考虑社会互动、沟通与共享理解。</w:t>
      </w:r>
    </w:p>
    <w:p>
      <w:pPr>
        <w:ind w:firstLine="440"/>
      </w:pPr>
      <w:r>
        <w:rPr>
          <w:rFonts w:ascii="Times New Roman" w:hAnsi="Times New Roman" w:eastAsia="宋体"/>
          <w:b/>
          <w:sz w:val="22"/>
        </w:rPr>
        <w:t>关键概念</w:t>
      </w:r>
      <w:r>
        <w:rPr>
          <w:rFonts w:ascii="Times New Roman" w:hAnsi="Times New Roman" w:eastAsia="宋体"/>
          <w:b w:val="0"/>
          <w:sz w:val="22"/>
        </w:rPr>
        <w:t>：多边主义的层次、个体主义与社会—沟通路径、不可分割性。</w:t>
      </w:r>
    </w:p>
    <w:p>
      <w:pPr>
        <w:ind w:firstLine="440"/>
      </w:pPr>
      <w:r>
        <w:rPr>
          <w:rFonts w:ascii="Times New Roman" w:hAnsi="Times New Roman" w:eastAsia="宋体"/>
          <w:b/>
          <w:sz w:val="22"/>
        </w:rPr>
        <w:t>论证链</w:t>
      </w:r>
      <w:r>
        <w:rPr>
          <w:rFonts w:ascii="Times New Roman" w:hAnsi="Times New Roman" w:eastAsia="宋体"/>
          <w:b w:val="0"/>
          <w:sz w:val="22"/>
        </w:rPr>
        <w:t>：相互依赖与外部性使许多问题必须多边处理 → 但理论对多边主义重视不足 → 检视不同理论基础 → 个体主义基础不足以完全解释 → 需要社会性的基础。</w:t>
      </w:r>
    </w:p>
    <w:p>
      <w:pPr>
        <w:ind w:firstLine="440"/>
      </w:pPr>
      <w:r>
        <w:rPr>
          <w:rFonts w:ascii="Times New Roman" w:hAnsi="Times New Roman" w:eastAsia="宋体"/>
          <w:b/>
          <w:sz w:val="22"/>
        </w:rPr>
        <w:t>证据与方法</w:t>
      </w:r>
      <w:r>
        <w:rPr>
          <w:rFonts w:ascii="Times New Roman" w:hAnsi="Times New Roman" w:eastAsia="宋体"/>
          <w:b w:val="0"/>
          <w:sz w:val="22"/>
        </w:rPr>
        <w:t>：理论比较与概念分析。</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sz w:val="22"/>
        </w:rPr>
        <w:t>①原则层（认识论意义）</w:t>
      </w:r>
      <w:r>
        <w:rPr>
          <w:rFonts w:ascii="Times New Roman" w:hAnsi="Times New Roman" w:eastAsia="宋体"/>
          <w:b w:val="0"/>
          <w:sz w:val="22"/>
        </w:rPr>
        <w:t>：多边主义的规范性内核需要社会性的理论基础；</w:t>
      </w:r>
    </w:p>
    <w:p>
      <w:pPr>
        <w:pStyle w:val="ListBullet"/>
      </w:pPr>
      <w:r>
        <w:rPr>
          <w:rFonts w:ascii="Times New Roman" w:hAnsi="Times New Roman" w:eastAsia="宋体"/>
          <w:b w:val="0"/>
          <w:sz w:val="22"/>
        </w:rPr>
        <w:t>他对“层次”的区分可以与本文四层次框架对照。</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val="0"/>
          <w:sz w:val="22"/>
        </w:rPr>
        <w:t>为论文A提供“为什么需要关系理论”的理论动机：既然多边主义的基础不只是个体理性计算，社会关系与互动就应当进入理论；</w:t>
      </w:r>
    </w:p>
    <w:p>
      <w:pPr>
        <w:pStyle w:val="ListBullet"/>
      </w:pPr>
      <w:r>
        <w:rPr>
          <w:rFonts w:ascii="Times New Roman" w:hAnsi="Times New Roman" w:eastAsia="宋体"/>
          <w:b w:val="0"/>
          <w:sz w:val="22"/>
        </w:rPr>
        <w:t>他的“层次”区分是本文四层次框架的前驱，可以说明本文的分层并非凭空提出。</w:t>
      </w:r>
    </w:p>
    <w:p>
      <w:pPr>
        <w:ind w:firstLine="440"/>
      </w:pPr>
      <w:r>
        <w:rPr>
          <w:rFonts w:ascii="Times New Roman" w:hAnsi="Times New Roman" w:eastAsia="宋体"/>
          <w:b/>
          <w:sz w:val="22"/>
        </w:rPr>
        <w:t>张力与推进空间</w:t>
      </w:r>
      <w:r>
        <w:rPr>
          <w:rFonts w:ascii="Times New Roman" w:hAnsi="Times New Roman" w:eastAsia="宋体"/>
          <w:b w:val="0"/>
          <w:sz w:val="22"/>
        </w:rPr>
        <w:t>：</w:t>
      </w:r>
    </w:p>
    <w:p>
      <w:pPr>
        <w:pStyle w:val="ListBullet"/>
      </w:pPr>
      <w:r>
        <w:rPr>
          <w:rFonts w:ascii="Times New Roman" w:hAnsi="Times New Roman" w:eastAsia="宋体"/>
          <w:b w:val="0"/>
          <w:sz w:val="22"/>
        </w:rPr>
        <w:t>他指出了社会—沟通路径的必要性，但没有提出具体的关系机制与测量；关系社会学与网络分析可以接手。</w:t>
      </w:r>
    </w:p>
    <w:p>
      <w:pPr>
        <w:pStyle w:val="ListBullet"/>
      </w:pPr>
      <w:r>
        <w:rPr>
          <w:rFonts w:ascii="Times New Roman" w:hAnsi="Times New Roman" w:eastAsia="宋体"/>
          <w:b w:val="0"/>
          <w:sz w:val="22"/>
        </w:rPr>
        <w:t>他的层次划分是“组织—制度—信念”，本文是“原则—制度框架—运行—结构”，可以比较二者异同，说明本文的推进。</w:t>
      </w:r>
    </w:p>
    <w:p>
      <w:pPr>
        <w:ind w:firstLine="440"/>
      </w:pPr>
      <w:r>
        <w:rPr>
          <w:rFonts w:ascii="Times New Roman" w:hAnsi="Times New Roman" w:eastAsia="宋体"/>
          <w:b/>
          <w:sz w:val="22"/>
        </w:rPr>
        <w:t>在论文A中的位置</w:t>
      </w:r>
      <w:r>
        <w:rPr>
          <w:rFonts w:ascii="Times New Roman" w:hAnsi="Times New Roman" w:eastAsia="宋体"/>
          <w:b w:val="0"/>
          <w:sz w:val="22"/>
        </w:rPr>
        <w:t>：第二节（本质）与第三节开头（为何需要分层）。</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他提出的多边主义层次的准确表述</w:t>
      </w:r>
    </w:p>
    <w:p>
      <w:pPr>
        <w:pStyle w:val="ListBullet"/>
      </w:pPr>
      <w:r>
        <w:rPr>
          <w:rFonts w:ascii="Times New Roman" w:hAnsi="Times New Roman" w:eastAsia="宋体"/>
          <w:b w:val="0"/>
          <w:sz w:val="22"/>
        </w:rPr>
        <w:t>[ ] 对各理论基础的评价，尤其对个体主义路径的批评</w:t>
      </w:r>
    </w:p>
    <w:p>
      <w:pPr>
        <w:pStyle w:val="ListBullet"/>
      </w:pPr>
      <w:r>
        <w:rPr>
          <w:rFonts w:ascii="Times New Roman" w:hAnsi="Times New Roman" w:eastAsia="宋体"/>
          <w:b w:val="0"/>
          <w:sz w:val="22"/>
        </w:rPr>
        <w:t>[ ] 他是否提出了明确的替代路径</w:t>
      </w:r>
    </w:p>
    <w:p>
      <w:pPr>
        <w:pStyle w:val="ListBullet"/>
      </w:pPr>
      <w:r>
        <w:rPr>
          <w:rFonts w:ascii="Times New Roman" w:hAnsi="Times New Roman" w:eastAsia="宋体"/>
          <w:b w:val="0"/>
          <w:sz w:val="22"/>
        </w:rPr>
        <w:t>[ ] 与Ruggie同期文章的关系（二者同在一期专题）</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四、Ruggie（1998）“What Makes the World Hang Together? Neo-utilitarianism and the Social Constructivist Challenge”</w:t>
      </w:r>
    </w:p>
    <w:p>
      <w:pPr>
        <w:ind w:firstLine="440"/>
      </w:pPr>
      <w:r>
        <w:rPr>
          <w:rFonts w:ascii="Times New Roman" w:hAnsi="Times New Roman" w:eastAsia="宋体"/>
          <w:b/>
          <w:sz w:val="22"/>
        </w:rPr>
        <w:t>出处</w:t>
      </w:r>
      <w:r>
        <w:rPr>
          <w:rFonts w:ascii="Times New Roman" w:hAnsi="Times New Roman" w:eastAsia="宋体"/>
          <w:b w:val="0"/>
          <w:sz w:val="22"/>
        </w:rPr>
        <w:t>：*International Organization* 52(4)：855—885</w:t>
      </w:r>
    </w:p>
    <w:p>
      <w:pPr>
        <w:ind w:firstLine="440"/>
      </w:pPr>
      <w:r>
        <w:rPr>
          <w:rFonts w:ascii="Times New Roman" w:hAnsi="Times New Roman" w:eastAsia="宋体"/>
          <w:b/>
          <w:sz w:val="22"/>
        </w:rPr>
        <w:t>核心问题</w:t>
      </w:r>
      <w:r>
        <w:rPr>
          <w:rFonts w:ascii="Times New Roman" w:hAnsi="Times New Roman" w:eastAsia="宋体"/>
          <w:b w:val="0"/>
          <w:sz w:val="22"/>
        </w:rPr>
        <w:t>：社会建构主义与新现实主义、新自由制度主义（他称为“新功利主义”）的区别何在？建构主义能处理哪些对方以假设方式处理或无法处理的问题？</w:t>
      </w:r>
    </w:p>
    <w:p>
      <w:pPr>
        <w:ind w:firstLine="440"/>
      </w:pPr>
      <w:r>
        <w:rPr>
          <w:rFonts w:ascii="Times New Roman" w:hAnsi="Times New Roman" w:eastAsia="宋体"/>
          <w:b/>
          <w:sz w:val="22"/>
        </w:rPr>
        <w:t>核心论点（转述）</w:t>
      </w:r>
      <w:r>
        <w:rPr>
          <w:rFonts w:ascii="Times New Roman" w:hAnsi="Times New Roman" w:eastAsia="宋体"/>
          <w:b w:val="0"/>
          <w:sz w:val="22"/>
        </w:rPr>
        <w:t>：</w:t>
      </w:r>
    </w:p>
    <w:p>
      <w:pPr>
        <w:pStyle w:val="ListBullet"/>
      </w:pPr>
      <w:r>
        <w:rPr>
          <w:rFonts w:ascii="Times New Roman" w:hAnsi="Times New Roman" w:eastAsia="宋体"/>
          <w:b w:val="0"/>
          <w:sz w:val="22"/>
        </w:rPr>
        <w:t>新功利主义把行为体的利益与身份当作给定；建构主义追问利益与身份如何形成，强调社会行动与秩序的主体间基础，并把国际结构视为既约束行动、又在行动中被再生产和改变的实践。</w:t>
      </w:r>
    </w:p>
    <w:p>
      <w:pPr>
        <w:pStyle w:val="ListBullet"/>
      </w:pPr>
      <w:r>
        <w:rPr>
          <w:rFonts w:ascii="Times New Roman" w:hAnsi="Times New Roman" w:eastAsia="宋体"/>
          <w:b w:val="0"/>
          <w:sz w:val="22"/>
        </w:rPr>
        <w:t>关键区分：</w:t>
      </w:r>
      <w:r>
        <w:rPr>
          <w:rFonts w:ascii="Times New Roman" w:hAnsi="Times New Roman" w:eastAsia="宋体"/>
          <w:b/>
          <w:sz w:val="22"/>
        </w:rPr>
        <w:t>构成性规则</w:t>
      </w:r>
      <w:r>
        <w:rPr>
          <w:rFonts w:ascii="Times New Roman" w:hAnsi="Times New Roman" w:eastAsia="宋体"/>
          <w:b w:val="0"/>
          <w:sz w:val="22"/>
        </w:rPr>
        <w:t>（创造或界定某种实践与身份，使某种行为成为可能）与</w:t>
      </w:r>
      <w:r>
        <w:rPr>
          <w:rFonts w:ascii="Times New Roman" w:hAnsi="Times New Roman" w:eastAsia="宋体"/>
          <w:b/>
          <w:sz w:val="22"/>
        </w:rPr>
        <w:t>调节性规则</w:t>
      </w:r>
      <w:r>
        <w:rPr>
          <w:rFonts w:ascii="Times New Roman" w:hAnsi="Times New Roman" w:eastAsia="宋体"/>
          <w:b w:val="0"/>
          <w:sz w:val="22"/>
        </w:rPr>
        <w:t>（规范已经存在的行为）。新功利主义主要处理后者，难以把握前者（具体论证待核）。</w:t>
      </w:r>
    </w:p>
    <w:p>
      <w:pPr>
        <w:pStyle w:val="ListBullet"/>
      </w:pPr>
      <w:r>
        <w:rPr>
          <w:rFonts w:ascii="Times New Roman" w:hAnsi="Times New Roman" w:eastAsia="宋体"/>
          <w:b w:val="0"/>
          <w:sz w:val="22"/>
        </w:rPr>
        <w:t>对建构主义内部不同流派做了区分（待核）。</w:t>
      </w:r>
    </w:p>
    <w:p>
      <w:pPr>
        <w:ind w:firstLine="440"/>
      </w:pPr>
      <w:r>
        <w:rPr>
          <w:rFonts w:ascii="Times New Roman" w:hAnsi="Times New Roman" w:eastAsia="宋体"/>
          <w:b/>
          <w:sz w:val="22"/>
        </w:rPr>
        <w:t>关键概念</w:t>
      </w:r>
      <w:r>
        <w:rPr>
          <w:rFonts w:ascii="Times New Roman" w:hAnsi="Times New Roman" w:eastAsia="宋体"/>
          <w:b w:val="0"/>
          <w:sz w:val="22"/>
        </w:rPr>
        <w:t>：构成性规则、调节性规则、主体间性、社会事实。</w:t>
      </w:r>
    </w:p>
    <w:p>
      <w:pPr>
        <w:ind w:firstLine="440"/>
      </w:pPr>
      <w:r>
        <w:rPr>
          <w:rFonts w:ascii="Times New Roman" w:hAnsi="Times New Roman" w:eastAsia="宋体"/>
          <w:b/>
          <w:sz w:val="22"/>
        </w:rPr>
        <w:t>论证链</w:t>
      </w:r>
      <w:r>
        <w:rPr>
          <w:rFonts w:ascii="Times New Roman" w:hAnsi="Times New Roman" w:eastAsia="宋体"/>
          <w:b w:val="0"/>
          <w:sz w:val="22"/>
        </w:rPr>
        <w:t>：新功利主义的假设与局限 → 建构主义的问题域 → 构成性规则与调节性规则的区分 → 建构主义的研究议程。</w:t>
      </w:r>
    </w:p>
    <w:p>
      <w:pPr>
        <w:ind w:firstLine="440"/>
      </w:pPr>
      <w:r>
        <w:rPr>
          <w:rFonts w:ascii="Times New Roman" w:hAnsi="Times New Roman" w:eastAsia="宋体"/>
          <w:b/>
          <w:sz w:val="22"/>
        </w:rPr>
        <w:t>证据与方法</w:t>
      </w:r>
      <w:r>
        <w:rPr>
          <w:rFonts w:ascii="Times New Roman" w:hAnsi="Times New Roman" w:eastAsia="宋体"/>
          <w:b w:val="0"/>
          <w:sz w:val="22"/>
        </w:rPr>
        <w:t>：理论与元理论讨论。</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sz w:val="22"/>
        </w:rPr>
        <w:t>②制度框架层</w:t>
      </w:r>
      <w:r>
        <w:rPr>
          <w:rFonts w:ascii="Times New Roman" w:hAnsi="Times New Roman" w:eastAsia="宋体"/>
          <w:b w:val="0"/>
          <w:sz w:val="22"/>
        </w:rPr>
        <w:t>对应构成性规则（如主权、国际法的基本原则）；</w:t>
      </w:r>
    </w:p>
    <w:p>
      <w:pPr>
        <w:pStyle w:val="ListBullet"/>
      </w:pPr>
      <w:r>
        <w:rPr>
          <w:rFonts w:ascii="Times New Roman" w:hAnsi="Times New Roman" w:eastAsia="宋体"/>
          <w:b/>
          <w:sz w:val="22"/>
        </w:rPr>
        <w:t>③运行机制层</w:t>
      </w:r>
      <w:r>
        <w:rPr>
          <w:rFonts w:ascii="Times New Roman" w:hAnsi="Times New Roman" w:eastAsia="宋体"/>
          <w:b w:val="0"/>
          <w:sz w:val="22"/>
        </w:rPr>
        <w:t>中的“调节性规则”对应具体的法律化义务。</w:t>
      </w:r>
    </w:p>
    <w:p>
      <w:pPr>
        <w:pStyle w:val="ListBullet"/>
      </w:pPr>
      <w:r>
        <w:rPr>
          <w:rFonts w:ascii="Times New Roman" w:hAnsi="Times New Roman" w:eastAsia="宋体"/>
          <w:b w:val="0"/>
          <w:sz w:val="22"/>
        </w:rPr>
        <w:t>这为本文“规则的三种含义”提供了理论依据。</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val="0"/>
          <w:sz w:val="22"/>
        </w:rPr>
        <w:t>构成性与调节性规则的区分，是论文A澄清“中国坚持规则体系与采用关系型方式并不矛盾”的关键概念工具；</w:t>
      </w:r>
    </w:p>
    <w:p>
      <w:pPr>
        <w:pStyle w:val="ListBullet"/>
      </w:pPr>
      <w:r>
        <w:rPr>
          <w:rFonts w:ascii="Times New Roman" w:hAnsi="Times New Roman" w:eastAsia="宋体"/>
          <w:b w:val="0"/>
          <w:sz w:val="22"/>
        </w:rPr>
        <w:t>建构主义“结构在实践中被再生产”的观点，与关系理论的过程观相通。</w:t>
      </w:r>
    </w:p>
    <w:p>
      <w:pPr>
        <w:ind w:firstLine="440"/>
      </w:pPr>
      <w:r>
        <w:rPr>
          <w:rFonts w:ascii="Times New Roman" w:hAnsi="Times New Roman" w:eastAsia="宋体"/>
          <w:b/>
          <w:sz w:val="22"/>
        </w:rPr>
        <w:t>张力与推进空间</w:t>
      </w:r>
      <w:r>
        <w:rPr>
          <w:rFonts w:ascii="Times New Roman" w:hAnsi="Times New Roman" w:eastAsia="宋体"/>
          <w:b w:val="0"/>
          <w:sz w:val="22"/>
        </w:rPr>
        <w:t>：</w:t>
      </w:r>
    </w:p>
    <w:p>
      <w:pPr>
        <w:pStyle w:val="ListBullet"/>
      </w:pPr>
      <w:r>
        <w:rPr>
          <w:rFonts w:ascii="Times New Roman" w:hAnsi="Times New Roman" w:eastAsia="宋体"/>
          <w:b w:val="0"/>
          <w:sz w:val="22"/>
        </w:rPr>
        <w:t>鲁杰讨论规则的类型，但没有讨论关系网络作为与调节性规则并列的运行机制；本文把关系加入第③层。</w:t>
      </w:r>
    </w:p>
    <w:p>
      <w:pPr>
        <w:ind w:firstLine="440"/>
      </w:pPr>
      <w:r>
        <w:rPr>
          <w:rFonts w:ascii="Times New Roman" w:hAnsi="Times New Roman" w:eastAsia="宋体"/>
          <w:b/>
          <w:sz w:val="22"/>
        </w:rPr>
        <w:t>在论文A中的位置</w:t>
      </w:r>
      <w:r>
        <w:rPr>
          <w:rFonts w:ascii="Times New Roman" w:hAnsi="Times New Roman" w:eastAsia="宋体"/>
          <w:b w:val="0"/>
          <w:sz w:val="22"/>
        </w:rPr>
        <w:t>：第三节（规则的三种含义）。</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构成性与调节性规则的准确界定与出处（他所依据的哲学文献）</w:t>
      </w:r>
    </w:p>
    <w:p>
      <w:pPr>
        <w:pStyle w:val="ListBullet"/>
      </w:pPr>
      <w:r>
        <w:rPr>
          <w:rFonts w:ascii="Times New Roman" w:hAnsi="Times New Roman" w:eastAsia="宋体"/>
          <w:b w:val="0"/>
          <w:sz w:val="22"/>
        </w:rPr>
        <w:t>[ ] 对新功利主义局限的具体论述</w:t>
      </w:r>
    </w:p>
    <w:p>
      <w:pPr>
        <w:pStyle w:val="ListBullet"/>
      </w:pPr>
      <w:r>
        <w:rPr>
          <w:rFonts w:ascii="Times New Roman" w:hAnsi="Times New Roman" w:eastAsia="宋体"/>
          <w:b w:val="0"/>
          <w:sz w:val="22"/>
        </w:rPr>
        <w:t>[ ] 建构主义流派的划分</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五、Qin（2011）“Rule, Rules, and Relations: Towards a Synthetic Approach to Governance”</w:t>
      </w:r>
    </w:p>
    <w:p>
      <w:pPr>
        <w:ind w:firstLine="440"/>
      </w:pPr>
      <w:r>
        <w:rPr>
          <w:rFonts w:ascii="Times New Roman" w:hAnsi="Times New Roman" w:eastAsia="宋体"/>
          <w:b/>
          <w:sz w:val="22"/>
        </w:rPr>
        <w:t>出处</w:t>
      </w:r>
      <w:r>
        <w:rPr>
          <w:rFonts w:ascii="Times New Roman" w:hAnsi="Times New Roman" w:eastAsia="宋体"/>
          <w:b w:val="0"/>
          <w:sz w:val="22"/>
        </w:rPr>
        <w:t>：*The Chinese Journal of International Politics* 4(2)：117—145</w:t>
      </w:r>
    </w:p>
    <w:p>
      <w:pPr>
        <w:ind w:firstLine="440"/>
      </w:pPr>
      <w:r>
        <w:rPr>
          <w:rFonts w:ascii="Times New Roman" w:hAnsi="Times New Roman" w:eastAsia="宋体"/>
          <w:b/>
          <w:sz w:val="22"/>
        </w:rPr>
        <w:t>核心问题</w:t>
      </w:r>
      <w:r>
        <w:rPr>
          <w:rFonts w:ascii="Times New Roman" w:hAnsi="Times New Roman" w:eastAsia="宋体"/>
          <w:b w:val="0"/>
          <w:sz w:val="22"/>
        </w:rPr>
        <w:t>：以规则为基础的治理模式在全球治理中遇到了哪些局限？中国文化中的关系思想能否提供另一种治理思路？两者能否综合？</w:t>
      </w:r>
    </w:p>
    <w:p>
      <w:pPr>
        <w:ind w:firstLine="440"/>
      </w:pPr>
      <w:r>
        <w:rPr>
          <w:rFonts w:ascii="Times New Roman" w:hAnsi="Times New Roman" w:eastAsia="宋体"/>
          <w:b/>
          <w:sz w:val="22"/>
        </w:rPr>
        <w:t>核心论点（转述，待核）</w:t>
      </w:r>
      <w:r>
        <w:rPr>
          <w:rFonts w:ascii="Times New Roman" w:hAnsi="Times New Roman" w:eastAsia="宋体"/>
          <w:b w:val="0"/>
          <w:sz w:val="22"/>
        </w:rPr>
        <w:t>：</w:t>
      </w:r>
    </w:p>
    <w:p>
      <w:pPr>
        <w:pStyle w:val="ListBullet"/>
      </w:pPr>
      <w:r>
        <w:rPr>
          <w:rFonts w:ascii="Times New Roman" w:hAnsi="Times New Roman" w:eastAsia="宋体"/>
          <w:b w:val="0"/>
          <w:sz w:val="22"/>
        </w:rPr>
        <w:t>标题中的三个词可以理解为“治理（rule）”“以规则为基础的治理（rules）”与“关系治理（relations）”。</w:t>
      </w:r>
    </w:p>
    <w:p>
      <w:pPr>
        <w:pStyle w:val="ListBullet"/>
      </w:pPr>
      <w:r>
        <w:rPr>
          <w:rFonts w:ascii="Times New Roman" w:hAnsi="Times New Roman" w:eastAsia="宋体"/>
          <w:b w:val="0"/>
          <w:sz w:val="22"/>
        </w:rPr>
        <w:t>西方主流的治理模式以规则为核心，强调个体行为体在规则约束下的理性行为。</w:t>
      </w:r>
    </w:p>
    <w:p>
      <w:pPr>
        <w:pStyle w:val="ListBullet"/>
      </w:pPr>
      <w:r>
        <w:rPr>
          <w:rFonts w:ascii="Times New Roman" w:hAnsi="Times New Roman" w:eastAsia="宋体"/>
          <w:b w:val="0"/>
          <w:sz w:val="22"/>
        </w:rPr>
        <w:t>关系治理以对复杂关系的协商与管理为核心，目标是在成员之间形成基于信任与共享规范的互惠合作秩序。</w:t>
      </w:r>
    </w:p>
    <w:p>
      <w:pPr>
        <w:pStyle w:val="ListBullet"/>
      </w:pPr>
      <w:r>
        <w:rPr>
          <w:rFonts w:ascii="Times New Roman" w:hAnsi="Times New Roman" w:eastAsia="宋体"/>
          <w:b w:val="0"/>
          <w:sz w:val="22"/>
        </w:rPr>
        <w:t>两种治理模式各有长短，应当综合，而不是以一种取代另一种。</w:t>
      </w:r>
    </w:p>
    <w:p>
      <w:pPr>
        <w:ind w:firstLine="440"/>
      </w:pPr>
      <w:r>
        <w:rPr>
          <w:rFonts w:ascii="Times New Roman" w:hAnsi="Times New Roman" w:eastAsia="宋体"/>
          <w:b/>
          <w:sz w:val="22"/>
        </w:rPr>
        <w:t>关键概念</w:t>
      </w:r>
      <w:r>
        <w:rPr>
          <w:rFonts w:ascii="Times New Roman" w:hAnsi="Times New Roman" w:eastAsia="宋体"/>
          <w:b w:val="0"/>
          <w:sz w:val="22"/>
        </w:rPr>
        <w:t>：规则治理、关系治理、综合治理、信任、互惠。</w:t>
      </w:r>
    </w:p>
    <w:p>
      <w:pPr>
        <w:ind w:firstLine="440"/>
      </w:pPr>
      <w:r>
        <w:rPr>
          <w:rFonts w:ascii="Times New Roman" w:hAnsi="Times New Roman" w:eastAsia="宋体"/>
          <w:b/>
          <w:sz w:val="22"/>
        </w:rPr>
        <w:t>论证链</w:t>
      </w:r>
      <w:r>
        <w:rPr>
          <w:rFonts w:ascii="Times New Roman" w:hAnsi="Times New Roman" w:eastAsia="宋体"/>
          <w:b w:val="0"/>
          <w:sz w:val="22"/>
        </w:rPr>
        <w:t>：全球治理的困境 → 规则治理的局限 → 关系治理的思想资源与内涵 → 两者的互补性 → 综合治理的构想。</w:t>
      </w:r>
    </w:p>
    <w:p>
      <w:pPr>
        <w:ind w:firstLine="440"/>
      </w:pPr>
      <w:r>
        <w:rPr>
          <w:rFonts w:ascii="Times New Roman" w:hAnsi="Times New Roman" w:eastAsia="宋体"/>
          <w:b/>
          <w:sz w:val="22"/>
        </w:rPr>
        <w:t>证据与方法</w:t>
      </w:r>
      <w:r>
        <w:rPr>
          <w:rFonts w:ascii="Times New Roman" w:hAnsi="Times New Roman" w:eastAsia="宋体"/>
          <w:b w:val="0"/>
          <w:sz w:val="22"/>
        </w:rPr>
        <w:t>：理论建构与思想比较。</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val="0"/>
          <w:sz w:val="22"/>
        </w:rPr>
        <w:t>主要对应</w:t>
      </w:r>
      <w:r>
        <w:rPr>
          <w:rFonts w:ascii="Times New Roman" w:hAnsi="Times New Roman" w:eastAsia="宋体"/>
          <w:b/>
          <w:sz w:val="22"/>
        </w:rPr>
        <w:t>③运行机制层</w:t>
      </w:r>
      <w:r>
        <w:rPr>
          <w:rFonts w:ascii="Times New Roman" w:hAnsi="Times New Roman" w:eastAsia="宋体"/>
          <w:b w:val="0"/>
          <w:sz w:val="22"/>
        </w:rPr>
        <w:t>（规则与关系作为两种治理方式）与</w:t>
      </w:r>
      <w:r>
        <w:rPr>
          <w:rFonts w:ascii="Times New Roman" w:hAnsi="Times New Roman" w:eastAsia="宋体"/>
          <w:b/>
          <w:sz w:val="22"/>
        </w:rPr>
        <w:t>④结构层</w:t>
      </w:r>
      <w:r>
        <w:rPr>
          <w:rFonts w:ascii="Times New Roman" w:hAnsi="Times New Roman" w:eastAsia="宋体"/>
          <w:b w:val="0"/>
          <w:sz w:val="22"/>
        </w:rPr>
        <w:t>（关系的管理）；</w:t>
      </w:r>
    </w:p>
    <w:p>
      <w:pPr>
        <w:pStyle w:val="ListBullet"/>
      </w:pPr>
      <w:r>
        <w:rPr>
          <w:rFonts w:ascii="Times New Roman" w:hAnsi="Times New Roman" w:eastAsia="宋体"/>
          <w:b w:val="0"/>
          <w:sz w:val="22"/>
        </w:rPr>
        <w:t>他的“综合”主张与本文“互补”立场一致。</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val="0"/>
          <w:sz w:val="22"/>
        </w:rPr>
        <w:t>本文“规则与关系互补”的直接中国学术前驱，应在论文A中明确致敬与继承；</w:t>
      </w:r>
    </w:p>
    <w:p>
      <w:pPr>
        <w:pStyle w:val="ListBullet"/>
      </w:pPr>
      <w:r>
        <w:rPr>
          <w:rFonts w:ascii="Times New Roman" w:hAnsi="Times New Roman" w:eastAsia="宋体"/>
          <w:b w:val="0"/>
          <w:sz w:val="22"/>
        </w:rPr>
        <w:t>他对关系治理的界定，可以作为本文“关系机制”的理论来源之一。</w:t>
      </w:r>
    </w:p>
    <w:p>
      <w:pPr>
        <w:ind w:firstLine="440"/>
      </w:pPr>
      <w:r>
        <w:rPr>
          <w:rFonts w:ascii="Times New Roman" w:hAnsi="Times New Roman" w:eastAsia="宋体"/>
          <w:b/>
          <w:sz w:val="22"/>
        </w:rPr>
        <w:t>张力与推进空间</w:t>
      </w:r>
      <w:r>
        <w:rPr>
          <w:rFonts w:ascii="Times New Roman" w:hAnsi="Times New Roman" w:eastAsia="宋体"/>
          <w:b w:val="0"/>
          <w:sz w:val="22"/>
        </w:rPr>
        <w:t>（本文的推进所在）：</w:t>
      </w:r>
    </w:p>
    <w:p>
      <w:pPr>
        <w:ind w:firstLine="440"/>
      </w:pPr>
      <w:r>
        <w:rPr>
          <w:rFonts w:ascii="Times New Roman" w:hAnsi="Times New Roman" w:eastAsia="宋体"/>
          <w:b w:val="0"/>
          <w:sz w:val="22"/>
        </w:rPr>
        <w:t xml:space="preserve">1. </w:t>
      </w:r>
      <w:r>
        <w:rPr>
          <w:rFonts w:ascii="Times New Roman" w:hAnsi="Times New Roman" w:eastAsia="宋体"/>
          <w:b/>
          <w:sz w:val="22"/>
        </w:rPr>
        <w:t>从一般治理到多边主义的层次结构</w:t>
      </w:r>
      <w:r>
        <w:rPr>
          <w:rFonts w:ascii="Times New Roman" w:hAnsi="Times New Roman" w:eastAsia="宋体"/>
          <w:b w:val="0"/>
          <w:sz w:val="22"/>
        </w:rPr>
        <w:t>：他讨论的是一般意义上的治理模式；本文把规则与关系定位到多边主义的不同层次，指出构成性规则位于原则与框架层，关系与调节性规则在运行层组合。</w:t>
      </w:r>
    </w:p>
    <w:p>
      <w:pPr>
        <w:ind w:firstLine="440"/>
      </w:pPr>
      <w:r>
        <w:rPr>
          <w:rFonts w:ascii="Times New Roman" w:hAnsi="Times New Roman" w:eastAsia="宋体"/>
          <w:b w:val="0"/>
          <w:sz w:val="22"/>
        </w:rPr>
        <w:t xml:space="preserve">2. </w:t>
      </w:r>
      <w:r>
        <w:rPr>
          <w:rFonts w:ascii="Times New Roman" w:hAnsi="Times New Roman" w:eastAsia="宋体"/>
          <w:b/>
          <w:sz w:val="22"/>
        </w:rPr>
        <w:t>可测量化</w:t>
      </w:r>
      <w:r>
        <w:rPr>
          <w:rFonts w:ascii="Times New Roman" w:hAnsi="Times New Roman" w:eastAsia="宋体"/>
          <w:b w:val="0"/>
          <w:sz w:val="22"/>
        </w:rPr>
        <w:t>：给出关系密度、多重性、网络结构等指标。</w:t>
      </w:r>
    </w:p>
    <w:p>
      <w:pPr>
        <w:ind w:firstLine="440"/>
      </w:pPr>
      <w:r>
        <w:rPr>
          <w:rFonts w:ascii="Times New Roman" w:hAnsi="Times New Roman" w:eastAsia="宋体"/>
          <w:b w:val="0"/>
          <w:sz w:val="22"/>
        </w:rPr>
        <w:t xml:space="preserve">3. </w:t>
      </w:r>
      <w:r>
        <w:rPr>
          <w:rFonts w:ascii="Times New Roman" w:hAnsi="Times New Roman" w:eastAsia="宋体"/>
          <w:b/>
          <w:sz w:val="22"/>
        </w:rPr>
        <w:t>可证伪化</w:t>
      </w:r>
      <w:r>
        <w:rPr>
          <w:rFonts w:ascii="Times New Roman" w:hAnsi="Times New Roman" w:eastAsia="宋体"/>
          <w:b w:val="0"/>
          <w:sz w:val="22"/>
        </w:rPr>
        <w:t>：提出P1—P7等条件命题。</w:t>
      </w:r>
    </w:p>
    <w:p>
      <w:pPr>
        <w:ind w:firstLine="440"/>
      </w:pPr>
      <w:r>
        <w:rPr>
          <w:rFonts w:ascii="Times New Roman" w:hAnsi="Times New Roman" w:eastAsia="宋体"/>
          <w:b w:val="0"/>
          <w:sz w:val="22"/>
        </w:rPr>
        <w:t xml:space="preserve">4. </w:t>
      </w:r>
      <w:r>
        <w:rPr>
          <w:rFonts w:ascii="Times New Roman" w:hAnsi="Times New Roman" w:eastAsia="宋体"/>
          <w:b/>
          <w:sz w:val="22"/>
        </w:rPr>
        <w:t>跨区域检验</w:t>
      </w:r>
      <w:r>
        <w:rPr>
          <w:rFonts w:ascii="Times New Roman" w:hAnsi="Times New Roman" w:eastAsia="宋体"/>
          <w:b w:val="0"/>
          <w:sz w:val="22"/>
        </w:rPr>
        <w:t>：在非中国案例中检验，避免文化特殊论。</w:t>
      </w:r>
    </w:p>
    <w:p>
      <w:pPr>
        <w:ind w:firstLine="440"/>
      </w:pPr>
      <w:r>
        <w:rPr>
          <w:rFonts w:ascii="Times New Roman" w:hAnsi="Times New Roman" w:eastAsia="宋体"/>
          <w:b w:val="0"/>
          <w:sz w:val="22"/>
        </w:rPr>
        <w:t xml:space="preserve">5. </w:t>
      </w:r>
      <w:r>
        <w:rPr>
          <w:rFonts w:ascii="Times New Roman" w:hAnsi="Times New Roman" w:eastAsia="宋体"/>
          <w:b/>
          <w:sz w:val="22"/>
        </w:rPr>
        <w:t>处理差序与闭合问题</w:t>
      </w:r>
      <w:r>
        <w:rPr>
          <w:rFonts w:ascii="Times New Roman" w:hAnsi="Times New Roman" w:eastAsia="宋体"/>
          <w:b w:val="0"/>
          <w:sz w:val="22"/>
        </w:rPr>
        <w:t>：明确回应关系逻辑可能导向小圈子的问题。</w:t>
      </w:r>
    </w:p>
    <w:p>
      <w:pPr>
        <w:ind w:firstLine="440"/>
      </w:pPr>
      <w:r>
        <w:rPr>
          <w:rFonts w:ascii="Times New Roman" w:hAnsi="Times New Roman" w:eastAsia="宋体"/>
          <w:b/>
          <w:sz w:val="22"/>
        </w:rPr>
        <w:t>在论文A中的位置</w:t>
      </w:r>
      <w:r>
        <w:rPr>
          <w:rFonts w:ascii="Times New Roman" w:hAnsi="Times New Roman" w:eastAsia="宋体"/>
          <w:b w:val="0"/>
          <w:sz w:val="22"/>
        </w:rPr>
        <w:t>：第二节末与第四节（再界定）中，作为最直接的对话对象。</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三个关键词的准确含义</w:t>
      </w:r>
    </w:p>
    <w:p>
      <w:pPr>
        <w:pStyle w:val="ListBullet"/>
      </w:pPr>
      <w:r>
        <w:rPr>
          <w:rFonts w:ascii="Times New Roman" w:hAnsi="Times New Roman" w:eastAsia="宋体"/>
          <w:b w:val="0"/>
          <w:sz w:val="22"/>
        </w:rPr>
        <w:t>[ ] 关系治理的定义原文</w:t>
      </w:r>
    </w:p>
    <w:p>
      <w:pPr>
        <w:pStyle w:val="ListBullet"/>
      </w:pPr>
      <w:r>
        <w:rPr>
          <w:rFonts w:ascii="Times New Roman" w:hAnsi="Times New Roman" w:eastAsia="宋体"/>
          <w:b w:val="0"/>
          <w:sz w:val="22"/>
        </w:rPr>
        <w:t>[ ] “综合”的具体方式：分领域、分层次还是混合</w:t>
      </w:r>
    </w:p>
    <w:p>
      <w:pPr>
        <w:pStyle w:val="ListBullet"/>
      </w:pPr>
      <w:r>
        <w:rPr>
          <w:rFonts w:ascii="Times New Roman" w:hAnsi="Times New Roman" w:eastAsia="宋体"/>
          <w:b w:val="0"/>
          <w:sz w:val="22"/>
        </w:rPr>
        <w:t>[ ] 是否讨论多边主义或具体国际制度</w:t>
      </w:r>
    </w:p>
    <w:p>
      <w:pPr>
        <w:pStyle w:val="ListBullet"/>
      </w:pPr>
      <w:r>
        <w:rPr>
          <w:rFonts w:ascii="Times New Roman" w:hAnsi="Times New Roman" w:eastAsia="宋体"/>
          <w:b w:val="0"/>
          <w:sz w:val="22"/>
        </w:rPr>
        <w:t>[ ] 是否提出可检验的命题或经验例证</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六、Poppo与Zenger（2002）“Do Formal Contracts and Relational Governance Function as Substitutes or Complements?”</w:t>
      </w:r>
    </w:p>
    <w:p>
      <w:pPr>
        <w:ind w:firstLine="440"/>
      </w:pPr>
      <w:r>
        <w:rPr>
          <w:rFonts w:ascii="Times New Roman" w:hAnsi="Times New Roman" w:eastAsia="宋体"/>
          <w:b/>
          <w:sz w:val="22"/>
        </w:rPr>
        <w:t>出处</w:t>
      </w:r>
      <w:r>
        <w:rPr>
          <w:rFonts w:ascii="Times New Roman" w:hAnsi="Times New Roman" w:eastAsia="宋体"/>
          <w:b w:val="0"/>
          <w:sz w:val="22"/>
        </w:rPr>
        <w:t>：*Strategic Management Journal* 23(8)：707—725</w:t>
      </w:r>
    </w:p>
    <w:p>
      <w:pPr>
        <w:ind w:firstLine="440"/>
      </w:pPr>
      <w:r>
        <w:rPr>
          <w:rFonts w:ascii="Times New Roman" w:hAnsi="Times New Roman" w:eastAsia="宋体"/>
          <w:b/>
          <w:sz w:val="22"/>
        </w:rPr>
        <w:t>核心问题</w:t>
      </w:r>
      <w:r>
        <w:rPr>
          <w:rFonts w:ascii="Times New Roman" w:hAnsi="Times New Roman" w:eastAsia="宋体"/>
          <w:b w:val="0"/>
          <w:sz w:val="22"/>
        </w:rPr>
        <w:t>：在组织间交换中，以信任为基础的关系治理通常被视为复杂合同的替代品，甚至有人认为正式合同会削弱信任。正式合同与关系治理究竟是替代还是互补？</w:t>
      </w:r>
    </w:p>
    <w:p>
      <w:pPr>
        <w:ind w:firstLine="440"/>
      </w:pPr>
      <w:r>
        <w:rPr>
          <w:rFonts w:ascii="Times New Roman" w:hAnsi="Times New Roman" w:eastAsia="宋体"/>
          <w:b/>
          <w:sz w:val="22"/>
        </w:rPr>
        <w:t>核心论点（据公开摘要转述）</w:t>
      </w:r>
      <w:r>
        <w:rPr>
          <w:rFonts w:ascii="Times New Roman" w:hAnsi="Times New Roman" w:eastAsia="宋体"/>
          <w:b w:val="0"/>
          <w:sz w:val="22"/>
        </w:rPr>
        <w:t>：</w:t>
      </w:r>
    </w:p>
    <w:p>
      <w:pPr>
        <w:pStyle w:val="ListBullet"/>
      </w:pPr>
      <w:r>
        <w:rPr>
          <w:rFonts w:ascii="Times New Roman" w:hAnsi="Times New Roman" w:eastAsia="宋体"/>
          <w:b w:val="0"/>
          <w:sz w:val="22"/>
        </w:rPr>
        <w:t>提出并检验另一种观点：正式合同与关系治理是互补的。</w:t>
      </w:r>
    </w:p>
    <w:p>
      <w:pPr>
        <w:pStyle w:val="ListBullet"/>
      </w:pPr>
      <w:r>
        <w:rPr>
          <w:rFonts w:ascii="Times New Roman" w:hAnsi="Times New Roman" w:eastAsia="宋体"/>
          <w:b w:val="0"/>
          <w:sz w:val="22"/>
        </w:rPr>
        <w:t>基于信息服务交换的样本数据，发现经理人倾向于把日益定制化的合同与高水平的关系治理结合使用（反之亦然）。</w:t>
      </w:r>
    </w:p>
    <w:p>
      <w:pPr>
        <w:pStyle w:val="ListBullet"/>
      </w:pPr>
      <w:r>
        <w:rPr>
          <w:rFonts w:ascii="Times New Roman" w:hAnsi="Times New Roman" w:eastAsia="宋体"/>
          <w:b w:val="0"/>
          <w:sz w:val="22"/>
        </w:rPr>
        <w:t>这种相互依存是提高交换绩效的基础；两种治理方式的决定因素不同，这进一步增强了它们在实践中的互补性。</w:t>
      </w:r>
    </w:p>
    <w:p>
      <w:pPr>
        <w:ind w:firstLine="440"/>
      </w:pPr>
      <w:r>
        <w:rPr>
          <w:rFonts w:ascii="Times New Roman" w:hAnsi="Times New Roman" w:eastAsia="宋体"/>
          <w:b/>
          <w:sz w:val="22"/>
        </w:rPr>
        <w:t>关键概念</w:t>
      </w:r>
      <w:r>
        <w:rPr>
          <w:rFonts w:ascii="Times New Roman" w:hAnsi="Times New Roman" w:eastAsia="宋体"/>
          <w:b w:val="0"/>
          <w:sz w:val="22"/>
        </w:rPr>
        <w:t>：正式合同、关系治理、替代、互补、交换绩效。</w:t>
      </w:r>
    </w:p>
    <w:p>
      <w:pPr>
        <w:ind w:firstLine="440"/>
      </w:pPr>
      <w:r>
        <w:rPr>
          <w:rFonts w:ascii="Times New Roman" w:hAnsi="Times New Roman" w:eastAsia="宋体"/>
          <w:b/>
          <w:sz w:val="22"/>
        </w:rPr>
        <w:t>论证链</w:t>
      </w:r>
      <w:r>
        <w:rPr>
          <w:rFonts w:ascii="Times New Roman" w:hAnsi="Times New Roman" w:eastAsia="宋体"/>
          <w:b w:val="0"/>
          <w:sz w:val="22"/>
        </w:rPr>
        <w:t>：替代论的主流观点 → 提出互补的理论逻辑 → 实证检验 → 互补关系与绩效改善相关。</w:t>
      </w:r>
    </w:p>
    <w:p>
      <w:pPr>
        <w:ind w:firstLine="440"/>
      </w:pPr>
      <w:r>
        <w:rPr>
          <w:rFonts w:ascii="Times New Roman" w:hAnsi="Times New Roman" w:eastAsia="宋体"/>
          <w:b/>
          <w:sz w:val="22"/>
        </w:rPr>
        <w:t>证据与方法</w:t>
      </w:r>
      <w:r>
        <w:rPr>
          <w:rFonts w:ascii="Times New Roman" w:hAnsi="Times New Roman" w:eastAsia="宋体"/>
          <w:b w:val="0"/>
          <w:sz w:val="22"/>
        </w:rPr>
        <w:t>：问卷数据与统计分析（样本与测量细节待核）。</w:t>
      </w:r>
    </w:p>
    <w:p>
      <w:pPr>
        <w:ind w:firstLine="440"/>
      </w:pPr>
      <w:r>
        <w:rPr>
          <w:rFonts w:ascii="Times New Roman" w:hAnsi="Times New Roman" w:eastAsia="宋体"/>
          <w:b/>
          <w:sz w:val="22"/>
        </w:rPr>
        <w:t>与四层次框架的对接</w:t>
      </w:r>
      <w:r>
        <w:rPr>
          <w:rFonts w:ascii="Times New Roman" w:hAnsi="Times New Roman" w:eastAsia="宋体"/>
          <w:b w:val="0"/>
          <w:sz w:val="22"/>
        </w:rPr>
        <w:t>：</w:t>
      </w:r>
    </w:p>
    <w:p>
      <w:pPr>
        <w:pStyle w:val="ListBullet"/>
      </w:pPr>
      <w:r>
        <w:rPr>
          <w:rFonts w:ascii="Times New Roman" w:hAnsi="Times New Roman" w:eastAsia="宋体"/>
          <w:b/>
          <w:sz w:val="22"/>
        </w:rPr>
        <w:t>③运行机制层</w:t>
      </w:r>
      <w:r>
        <w:rPr>
          <w:rFonts w:ascii="Times New Roman" w:hAnsi="Times New Roman" w:eastAsia="宋体"/>
          <w:b w:val="0"/>
          <w:sz w:val="22"/>
        </w:rPr>
        <w:t>：正式合同对应调节性规则，关系治理对应关系网络；</w:t>
      </w:r>
    </w:p>
    <w:p>
      <w:pPr>
        <w:pStyle w:val="ListBullet"/>
      </w:pPr>
      <w:r>
        <w:rPr>
          <w:rFonts w:ascii="Times New Roman" w:hAnsi="Times New Roman" w:eastAsia="宋体"/>
          <w:b w:val="0"/>
          <w:sz w:val="22"/>
        </w:rPr>
        <w:t>为本文“运行层中规则与关系互补”（P3）提供最直接的跨学科证据。</w:t>
      </w:r>
    </w:p>
    <w:p>
      <w:pPr>
        <w:ind w:firstLine="440"/>
      </w:pPr>
      <w:r>
        <w:rPr>
          <w:rFonts w:ascii="Times New Roman" w:hAnsi="Times New Roman" w:eastAsia="宋体"/>
          <w:b/>
          <w:sz w:val="22"/>
        </w:rPr>
        <w:t>可借用之处</w:t>
      </w:r>
      <w:r>
        <w:rPr>
          <w:rFonts w:ascii="Times New Roman" w:hAnsi="Times New Roman" w:eastAsia="宋体"/>
          <w:b w:val="0"/>
          <w:sz w:val="22"/>
        </w:rPr>
        <w:t>：</w:t>
      </w:r>
    </w:p>
    <w:p>
      <w:pPr>
        <w:pStyle w:val="ListBullet"/>
      </w:pPr>
      <w:r>
        <w:rPr>
          <w:rFonts w:ascii="Times New Roman" w:hAnsi="Times New Roman" w:eastAsia="宋体"/>
          <w:b/>
          <w:sz w:val="22"/>
        </w:rPr>
        <w:t>问题框架</w:t>
      </w:r>
      <w:r>
        <w:rPr>
          <w:rFonts w:ascii="Times New Roman" w:hAnsi="Times New Roman" w:eastAsia="宋体"/>
          <w:b w:val="0"/>
          <w:sz w:val="22"/>
        </w:rPr>
        <w:t>：“替代还是互补”可以直接移植到多边主义研究；</w:t>
      </w:r>
    </w:p>
    <w:p>
      <w:pPr>
        <w:pStyle w:val="ListBullet"/>
      </w:pPr>
      <w:r>
        <w:rPr>
          <w:rFonts w:ascii="Times New Roman" w:hAnsi="Times New Roman" w:eastAsia="宋体"/>
          <w:b/>
          <w:sz w:val="22"/>
        </w:rPr>
        <w:t>测量思路</w:t>
      </w:r>
      <w:r>
        <w:rPr>
          <w:rFonts w:ascii="Times New Roman" w:hAnsi="Times New Roman" w:eastAsia="宋体"/>
          <w:b w:val="0"/>
          <w:sz w:val="22"/>
        </w:rPr>
        <w:t>：其关系治理与合同复杂度的测量方式，可以启发多边机制中“关系密度”与“法律化程度”的测量；</w:t>
      </w:r>
    </w:p>
    <w:p>
      <w:pPr>
        <w:pStyle w:val="ListBullet"/>
      </w:pPr>
      <w:r>
        <w:rPr>
          <w:rFonts w:ascii="Times New Roman" w:hAnsi="Times New Roman" w:eastAsia="宋体"/>
          <w:b/>
          <w:sz w:val="22"/>
        </w:rPr>
        <w:t>反驳文化特殊论</w:t>
      </w:r>
      <w:r>
        <w:rPr>
          <w:rFonts w:ascii="Times New Roman" w:hAnsi="Times New Roman" w:eastAsia="宋体"/>
          <w:b w:val="0"/>
          <w:sz w:val="22"/>
        </w:rPr>
        <w:t>：证明关系治理是普遍的组织机制。</w:t>
      </w:r>
    </w:p>
    <w:p>
      <w:pPr>
        <w:ind w:firstLine="440"/>
      </w:pPr>
      <w:r>
        <w:rPr>
          <w:rFonts w:ascii="Times New Roman" w:hAnsi="Times New Roman" w:eastAsia="宋体"/>
          <w:b/>
          <w:sz w:val="22"/>
        </w:rPr>
        <w:t>张力与推进空间</w:t>
      </w:r>
      <w:r>
        <w:rPr>
          <w:rFonts w:ascii="Times New Roman" w:hAnsi="Times New Roman" w:eastAsia="宋体"/>
          <w:b w:val="0"/>
          <w:sz w:val="22"/>
        </w:rPr>
        <w:t>：</w:t>
      </w:r>
    </w:p>
    <w:p>
      <w:pPr>
        <w:pStyle w:val="ListBullet"/>
      </w:pPr>
      <w:r>
        <w:rPr>
          <w:rFonts w:ascii="Times New Roman" w:hAnsi="Times New Roman" w:eastAsia="宋体"/>
          <w:b w:val="0"/>
          <w:sz w:val="22"/>
        </w:rPr>
        <w:t>企业间交换有可执行的合同与法院，国际关系中缺少第三方执行，关系的作用可能更大；</w:t>
      </w:r>
    </w:p>
    <w:p>
      <w:pPr>
        <w:pStyle w:val="ListBullet"/>
      </w:pPr>
      <w:r>
        <w:rPr>
          <w:rFonts w:ascii="Times New Roman" w:hAnsi="Times New Roman" w:eastAsia="宋体"/>
          <w:b w:val="0"/>
          <w:sz w:val="22"/>
        </w:rPr>
        <w:t>企业交换多为双边，多边情境下的关系网络结构更复杂，需要网络分析补充。</w:t>
      </w:r>
    </w:p>
    <w:p>
      <w:pPr>
        <w:ind w:firstLine="440"/>
      </w:pPr>
      <w:r>
        <w:rPr>
          <w:rFonts w:ascii="Times New Roman" w:hAnsi="Times New Roman" w:eastAsia="宋体"/>
          <w:b/>
          <w:sz w:val="22"/>
        </w:rPr>
        <w:t>在论文A中的位置</w:t>
      </w:r>
      <w:r>
        <w:rPr>
          <w:rFonts w:ascii="Times New Roman" w:hAnsi="Times New Roman" w:eastAsia="宋体"/>
          <w:b w:val="0"/>
          <w:sz w:val="22"/>
        </w:rPr>
        <w:t>：第六节（理论命题）作为互补命题的跨学科依据。</w:t>
      </w:r>
    </w:p>
    <w:p>
      <w:pPr>
        <w:ind w:firstLine="440"/>
      </w:pPr>
      <w:r>
        <w:rPr>
          <w:rFonts w:ascii="Times New Roman" w:hAnsi="Times New Roman" w:eastAsia="宋体"/>
          <w:b/>
          <w:sz w:val="22"/>
        </w:rPr>
        <w:t>精读核对清单</w:t>
      </w:r>
      <w:r>
        <w:rPr>
          <w:rFonts w:ascii="Times New Roman" w:hAnsi="Times New Roman" w:eastAsia="宋体"/>
          <w:b w:val="0"/>
          <w:sz w:val="22"/>
        </w:rPr>
        <w:t>：</w:t>
      </w:r>
    </w:p>
    <w:p>
      <w:pPr>
        <w:pStyle w:val="ListBullet"/>
      </w:pPr>
      <w:r>
        <w:rPr>
          <w:rFonts w:ascii="Times New Roman" w:hAnsi="Times New Roman" w:eastAsia="宋体"/>
          <w:b w:val="0"/>
          <w:sz w:val="22"/>
        </w:rPr>
        <w:t>[ ] 样本与数据来源</w:t>
      </w:r>
    </w:p>
    <w:p>
      <w:pPr>
        <w:pStyle w:val="ListBullet"/>
      </w:pPr>
      <w:r>
        <w:rPr>
          <w:rFonts w:ascii="Times New Roman" w:hAnsi="Times New Roman" w:eastAsia="宋体"/>
          <w:b w:val="0"/>
          <w:sz w:val="22"/>
        </w:rPr>
        <w:t>[ ] 关系治理与合同复杂度的测量方法</w:t>
      </w:r>
    </w:p>
    <w:p>
      <w:pPr>
        <w:pStyle w:val="ListBullet"/>
      </w:pPr>
      <w:r>
        <w:rPr>
          <w:rFonts w:ascii="Times New Roman" w:hAnsi="Times New Roman" w:eastAsia="宋体"/>
          <w:b w:val="0"/>
          <w:sz w:val="22"/>
        </w:rPr>
        <w:t>[ ] 互补关系的检验方式（例如是否检验了交互效应）</w:t>
      </w:r>
    </w:p>
    <w:p>
      <w:pPr>
        <w:pStyle w:val="ListBullet"/>
      </w:pPr>
      <w:r>
        <w:rPr>
          <w:rFonts w:ascii="Times New Roman" w:hAnsi="Times New Roman" w:eastAsia="宋体"/>
          <w:b w:val="0"/>
          <w:sz w:val="22"/>
        </w:rPr>
        <w:t>[ ] 后续文献对该结论的检验与争论</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七、六篇文献如何串成论文A第二、三节</w:t>
      </w:r>
    </w:p>
    <w:p>
      <w:pPr>
        <w:ind w:firstLine="440"/>
      </w:pPr>
      <w:r>
        <w:rPr>
          <w:rFonts w:ascii="Times New Roman" w:hAnsi="Times New Roman" w:eastAsia="宋体"/>
          <w:b/>
          <w:sz w:val="22"/>
        </w:rPr>
        <w:t>第二节“多边主义的本质”</w:t>
      </w:r>
    </w:p>
    <w:p>
      <w:pPr>
        <w:ind w:firstLine="440"/>
      </w:pPr>
      <w:r>
        <w:rPr>
          <w:rFonts w:ascii="Times New Roman" w:hAnsi="Times New Roman" w:eastAsia="宋体"/>
          <w:b w:val="0"/>
          <w:sz w:val="22"/>
        </w:rPr>
        <w:t>1. 从Keohane（1990）的名义定义出发，指出其局限；</w:t>
      </w:r>
    </w:p>
    <w:p>
      <w:pPr>
        <w:ind w:firstLine="440"/>
      </w:pPr>
      <w:r>
        <w:rPr>
          <w:rFonts w:ascii="Times New Roman" w:hAnsi="Times New Roman" w:eastAsia="宋体"/>
          <w:b w:val="0"/>
          <w:sz w:val="22"/>
        </w:rPr>
        <w:t>2. 以Ruggie（1992）的质的定义为核心，强调多边主义是“依据广义原则协调国家之间关系”的形式；</w:t>
      </w:r>
    </w:p>
    <w:p>
      <w:pPr>
        <w:ind w:firstLine="440"/>
      </w:pPr>
      <w:r>
        <w:rPr>
          <w:rFonts w:ascii="Times New Roman" w:hAnsi="Times New Roman" w:eastAsia="宋体"/>
          <w:b w:val="0"/>
          <w:sz w:val="22"/>
        </w:rPr>
        <w:t>3. 引入Caporaso（1992），说明多边主义的规范性特征需要社会性的理论基础；</w:t>
      </w:r>
    </w:p>
    <w:p>
      <w:pPr>
        <w:ind w:firstLine="440"/>
      </w:pPr>
      <w:r>
        <w:rPr>
          <w:rFonts w:ascii="Times New Roman" w:hAnsi="Times New Roman" w:eastAsia="宋体"/>
          <w:b w:val="0"/>
          <w:sz w:val="22"/>
        </w:rPr>
        <w:t>4. 以Keohane（1986）说明扩散互惠依赖长期关系，从而得出：关系性是多边主义运行的内在成分；</w:t>
      </w:r>
    </w:p>
    <w:p>
      <w:pPr>
        <w:ind w:firstLine="440"/>
      </w:pPr>
      <w:r>
        <w:rPr>
          <w:rFonts w:ascii="Times New Roman" w:hAnsi="Times New Roman" w:eastAsia="宋体"/>
          <w:b w:val="0"/>
          <w:sz w:val="22"/>
        </w:rPr>
        <w:t>5. 引入Pouliot（2011）的实践视角，作为四种视角的最后一种；</w:t>
      </w:r>
    </w:p>
    <w:p>
      <w:pPr>
        <w:ind w:firstLine="440"/>
      </w:pPr>
      <w:r>
        <w:rPr>
          <w:rFonts w:ascii="Times New Roman" w:hAnsi="Times New Roman" w:eastAsia="宋体"/>
          <w:b w:val="0"/>
          <w:sz w:val="22"/>
        </w:rPr>
        <w:t>6. 小结：多边主义的内核是普遍性原则与公共性关切。</w:t>
      </w:r>
    </w:p>
    <w:p>
      <w:pPr>
        <w:ind w:firstLine="440"/>
      </w:pPr>
      <w:r>
        <w:rPr>
          <w:rFonts w:ascii="Times New Roman" w:hAnsi="Times New Roman" w:eastAsia="宋体"/>
          <w:b/>
          <w:sz w:val="22"/>
        </w:rPr>
        <w:t>第三节“四层次框架”</w:t>
      </w:r>
    </w:p>
    <w:p>
      <w:pPr>
        <w:ind w:firstLine="440"/>
      </w:pPr>
      <w:r>
        <w:rPr>
          <w:rFonts w:ascii="Times New Roman" w:hAnsi="Times New Roman" w:eastAsia="宋体"/>
          <w:b w:val="0"/>
          <w:sz w:val="22"/>
        </w:rPr>
        <w:t>1. 把Ruggie（1992）的三个特征拆分到不同层次：广义原则与不可分割性属于原则层，扩散互惠属于运行层；</w:t>
      </w:r>
    </w:p>
    <w:p>
      <w:pPr>
        <w:ind w:firstLine="440"/>
      </w:pPr>
      <w:r>
        <w:rPr>
          <w:rFonts w:ascii="Times New Roman" w:hAnsi="Times New Roman" w:eastAsia="宋体"/>
          <w:b w:val="0"/>
          <w:sz w:val="22"/>
        </w:rPr>
        <w:t>2. 以Ruggie（1998）的构成性规则与调节性规则区分，界定第②层与第③层；</w:t>
      </w:r>
    </w:p>
    <w:p>
      <w:pPr>
        <w:ind w:firstLine="440"/>
      </w:pPr>
      <w:r>
        <w:rPr>
          <w:rFonts w:ascii="Times New Roman" w:hAnsi="Times New Roman" w:eastAsia="宋体"/>
          <w:b w:val="0"/>
          <w:sz w:val="22"/>
        </w:rPr>
        <w:t>3. 提出“规则的三种含义”，澄清基于规则的秩序之争与中国立场的层次；</w:t>
      </w:r>
    </w:p>
    <w:p>
      <w:pPr>
        <w:ind w:firstLine="440"/>
      </w:pPr>
      <w:r>
        <w:rPr>
          <w:rFonts w:ascii="Times New Roman" w:hAnsi="Times New Roman" w:eastAsia="宋体"/>
          <w:b w:val="0"/>
          <w:sz w:val="22"/>
        </w:rPr>
        <w:t>4. 引入Qin（2011），说明规则与关系综合治理的思想，并指出本文把“综合”落实到层次结构上；</w:t>
      </w:r>
    </w:p>
    <w:p>
      <w:pPr>
        <w:ind w:firstLine="440"/>
      </w:pPr>
      <w:r>
        <w:rPr>
          <w:rFonts w:ascii="Times New Roman" w:hAnsi="Times New Roman" w:eastAsia="宋体"/>
          <w:b w:val="0"/>
          <w:sz w:val="22"/>
        </w:rPr>
        <w:t>5. 以Poppo与Zenger（2002）说明运行层中规则与关系的互补具有跨学科证据；</w:t>
      </w:r>
    </w:p>
    <w:p>
      <w:pPr>
        <w:ind w:firstLine="440"/>
      </w:pPr>
      <w:r>
        <w:rPr>
          <w:rFonts w:ascii="Times New Roman" w:hAnsi="Times New Roman" w:eastAsia="宋体"/>
          <w:b w:val="0"/>
          <w:sz w:val="22"/>
        </w:rPr>
        <w:t>6. 小结：规则与关系各在其位，互补而非替代。</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八、下一步建议</w:t>
      </w:r>
    </w:p>
    <w:p>
      <w:pPr>
        <w:ind w:firstLine="440"/>
      </w:pPr>
      <w:r>
        <w:rPr>
          <w:rFonts w:ascii="Times New Roman" w:hAnsi="Times New Roman" w:eastAsia="宋体"/>
          <w:b w:val="0"/>
          <w:sz w:val="22"/>
        </w:rPr>
        <w:t xml:space="preserve">1. </w:t>
      </w:r>
      <w:r>
        <w:rPr>
          <w:rFonts w:ascii="Times New Roman" w:hAnsi="Times New Roman" w:eastAsia="宋体"/>
          <w:b/>
          <w:sz w:val="22"/>
        </w:rPr>
        <w:t>精读与核对</w:t>
      </w:r>
      <w:r>
        <w:rPr>
          <w:rFonts w:ascii="Times New Roman" w:hAnsi="Times New Roman" w:eastAsia="宋体"/>
          <w:b w:val="0"/>
          <w:sz w:val="22"/>
        </w:rPr>
        <w:t>：按各篇“精读核对清单”逐项确认，尤其是Caporaso 1992与Qin 2011中标注“待核”的论点。</w:t>
      </w:r>
    </w:p>
    <w:p>
      <w:pPr>
        <w:ind w:firstLine="440"/>
      </w:pPr>
      <w:r>
        <w:rPr>
          <w:rFonts w:ascii="Times New Roman" w:hAnsi="Times New Roman" w:eastAsia="宋体"/>
          <w:b w:val="0"/>
          <w:sz w:val="22"/>
        </w:rPr>
        <w:t xml:space="preserve">2. </w:t>
      </w:r>
      <w:r>
        <w:rPr>
          <w:rFonts w:ascii="Times New Roman" w:hAnsi="Times New Roman" w:eastAsia="宋体"/>
          <w:b/>
          <w:sz w:val="22"/>
        </w:rPr>
        <w:t>补充三篇</w:t>
      </w:r>
      <w:r>
        <w:rPr>
          <w:rFonts w:ascii="Times New Roman" w:hAnsi="Times New Roman" w:eastAsia="宋体"/>
          <w:b w:val="0"/>
          <w:sz w:val="22"/>
        </w:rPr>
        <w:t>：Pouliot（2011）、Pouliot（2016）《国际啄序》、Christina Davis（2025，*World Politics*），可以按同样格式补做论证图。</w:t>
      </w:r>
    </w:p>
    <w:p>
      <w:pPr>
        <w:ind w:firstLine="440"/>
      </w:pPr>
      <w:r>
        <w:rPr>
          <w:rFonts w:ascii="Times New Roman" w:hAnsi="Times New Roman" w:eastAsia="宋体"/>
          <w:b w:val="0"/>
          <w:sz w:val="22"/>
        </w:rPr>
        <w:t xml:space="preserve">3. </w:t>
      </w:r>
      <w:r>
        <w:rPr>
          <w:rFonts w:ascii="Times New Roman" w:hAnsi="Times New Roman" w:eastAsia="宋体"/>
          <w:b/>
          <w:sz w:val="22"/>
        </w:rPr>
        <w:t>开始写作</w:t>
      </w:r>
      <w:r>
        <w:rPr>
          <w:rFonts w:ascii="Times New Roman" w:hAnsi="Times New Roman" w:eastAsia="宋体"/>
          <w:b w:val="0"/>
          <w:sz w:val="22"/>
        </w:rPr>
        <w:t>：按第七部分的段落顺序写第二、三节初稿，每段先写一句主题句，再补证据与引文。</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