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color w:val="173B57"/>
        </w:rPr>
        <w:t>消费金融经营分析月报（2026-09）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数据锚点：2026-09-30｜数据源：Home Credit 公开数据｜AI 辅助生成，发布前需人工复核</w:t>
      </w:r>
    </w:p>
    <w:p>
      <w:pPr>
        <w:pStyle w:val="Heading1"/>
      </w:pPr>
      <w:r>
        <w:rPr>
          <w:rFonts w:ascii="Microsoft YaHei" w:hAnsi="Microsoft YaHei" w:eastAsia="Microsoft YaHei"/>
          <w:color w:val="173B57"/>
        </w:rPr>
        <w:t>一、经营结论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19"/>
        </w:rPr>
        <w:t>1. 一句话结论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9月申请量环比回升26.2%（36,012 vs 28,537），但审批通过率降至22.9%（环比-6.5个百分点，稳健z值-7.11，触发高等级预警），放款金额仍增长32.1%至188,680.95，主要靠件均金额上升（23.38 vs 17.91）和期限拉长（15.97 vs 13.66个月）支撑，而非通过率改善。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19"/>
        </w:rPr>
        <w:t>2. 三个关键发现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发现一：通过率下滑主要是结构效应，不是审批能力恶化。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渠道分解显示，总通过率下降约6.5个百分点中，结构（mix）效应合计约-5.4个百分点，比率（rate）效应合计约-0.8个百分点。最大单一来源是 Country-wide 渠道权重从16.66%降至12.17%（结构效应 -2.75个百分点），叠加 Credit and cash offices 权重从60.26%升至65.06%（结构效应 -1.00个百分点）——后者通过率仅7.84%，属于低通过率渠道占比上升。真正的比率恶化集中在 AP+（Cash loan）渠道，通过率从39.09%降至23.08%（比率效应 -0.21个百分点）。结论：通过率下降主要是申请组合向低通过率渠道倾斜，不宜直接解读为风控标准收紧。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发现二：放款金额增长由件均和期限驱动，量的贡献有限。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9月放款8,070笔，环比仅增1.2%（7,975→8,070）；但放款金额从142,868.64增至188,680.95（+32.1%），件均从17.91升至23.38，平均期限从13.66升至15.97个月。同时使用率从95.01%升至97.88%，未使用额度从419降至175。这说明本月规模增长是"单笔更大、期限更长"的结构变化，需关注期限拉长对后续久期风险和利息收入的雙向影响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发现三：资产质量表观稳定，但新 cohort 样本尚不足以判断。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2026-09 cohort 在 mob 0 的 dpd30/60/90 均为0，但放款笔数仅5,375，且账龄为0，不能作为质量结论。可参考的成熟 cohort：2025-10 在 mob 11 的累计 dpd30 为0.60%、累计 dpd90 为0.03%；2025-11 在 mob 10 的累计 dpd30 为0.64%、累计 dpd90 为0.06%。区域维度上，region_rating 3 的 bad_rate 为11.10%，显著高于 rating 1 的4.82%和 rating 2 的7.89%，但 rating 3 客户数48,330、exposure 2,772,127.68，占比有限。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19"/>
        </w:rPr>
        <w:t>3. 两个风险提示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风险一：通过率预警与结构漂移的叠加风险。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审批通过率稳健z值-7.11属高等级异常。虽然分解显示主要为结构效应，但 Credit and cash offices 渠道申请量环比大增（17,197→23,430），该渠道通过率仅7.84%，若这一渠道占比继续上升，总通过率将被持续稀释，且该渠道件均60.26远高于全盘23.38，意味着"高件均、低通过"的组合在放大单笔风险敞口。需警惕申请端流量结构变化是否由渠道激励或营销策略驱动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风险二：期限拉长与利率上行的组合，对后续逾期表现的滞后影响不可忽视。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平均期限从13.66升至15.97个月，平均利率从11.70%升至12.86%。期限拉长会延后风险暴露时点，当前 vintage 数据（2026-06至2026-09 cohort 账龄均≤3）不足以验证新客群质量。同时 region_rating 3 的 bad_rate 11.10%提示低评级区域风险偏高，若新增放款向此类区域倾斜，将在6-12个月后体现。此为相关性观察，尚不能判定因果。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19"/>
        </w:rPr>
        <w:t>4. 三个行动建议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建议一：拆解 Credit and cash offices 渠道申请量激增的驱动因素。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责任部门：渠道管理部 + 风险管理部。验证指标：下月该渠道申请量占比是否回落至60%以下、该渠道通过率是否稳定在7%-9%区间、该渠道件均是否维持在60左右。若申请量继续上升而通过率不变，需评估渠道准入策略。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建议二：对 AP+（Cash loan）渠道通过率骤降（39.09%→23.08%）做专项归因。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责任部门：风险管理部（审批策略组）。验证指标：该渠道下月通过率是否回升至30%以上、拒绝原因分布（如评分不足/多头/资料不全）的占比变化、该渠道申请量（468）是否持续。这是本月唯一比率效应为负且幅度明显的渠道，需区分是客群变化还是策略调整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建议三：建立期限拉长后的早期预警监控，重点跟踪2026-07至2026-09 cohort。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 w:val="0"/>
          <w:color w:val="333D4A"/>
          <w:sz w:val="20"/>
        </w:rPr>
        <w:t>责任部门：资产监控部 + 数据管理部。验证指标：2026-07 cohort 在 mob 3 的累计 dpd30（当前 mob 2 为0.06%）、2026-08 cohort 在 mob 2 的累计 dpd30（当前 mob 1 为0.07%）、以及 region_rating 3 新增放款占比。建议按月输出 cohort 迁移表，在 mob 3-6 设置 dpd30 阈值告警。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73B57"/>
          <w:sz w:val="20"/>
        </w:rPr>
        <w:t>数据局限说明：</w:t>
      </w:r>
      <w:r>
        <w:rPr>
          <w:rFonts w:ascii="Microsoft YaHei" w:hAnsi="Microsoft YaHei" w:eastAsia="Microsoft YaHei"/>
          <w:b w:val="0"/>
          <w:color w:val="333D4A"/>
          <w:sz w:val="20"/>
        </w:rPr>
        <w:t xml:space="preserve"> 本月 vintage 最新 cohort（2026-09）账龄为0，2026-06至2026-09 cohort 账龄均≤3个月，无法支撑新客群质量结论；区域 bad_rate 为存量口径，与本月新增放款的对应关系需进一步匹配；通过率分解中的 mix/rate 效应基于渠道维度，产品维度（如 Cash loans XNA 通过率为0、申请19,435笔）的结构影响未纳入分解，可能低估结构效应。</w:t>
      </w:r>
    </w:p>
    <w:p>
      <w:pPr>
        <w:pStyle w:val="Heading1"/>
      </w:pPr>
      <w:r>
        <w:rPr>
          <w:rFonts w:ascii="Microsoft YaHei" w:hAnsi="Microsoft YaHei" w:eastAsia="Microsoft YaHei"/>
          <w:color w:val="173B57"/>
        </w:rPr>
        <w:t>二、核心指标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73B57"/>
          </w:tcPr>
          <w:p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484"/>
            <w:shd w:fill="173B57"/>
          </w:tcPr>
          <w:p>
            <w:r>
              <w:rPr>
                <w:b/>
                <w:color w:val="FFFFFF"/>
                <w:sz w:val="16"/>
              </w:rPr>
              <w:t>本期</w:t>
            </w:r>
          </w:p>
        </w:tc>
        <w:tc>
          <w:tcPr>
            <w:tcW w:type="dxa" w:w="2484"/>
            <w:shd w:fill="173B57"/>
          </w:tcPr>
          <w:p>
            <w:r>
              <w:rPr>
                <w:b/>
                <w:color w:val="FFFFFF"/>
                <w:sz w:val="16"/>
              </w:rPr>
              <w:t>上期</w:t>
            </w:r>
          </w:p>
        </w:tc>
        <w:tc>
          <w:tcPr>
            <w:tcW w:type="dxa" w:w="2484"/>
            <w:shd w:fill="173B57"/>
          </w:tcPr>
          <w:p>
            <w:r>
              <w:rPr>
                <w:b/>
                <w:color w:val="FFFFFF"/>
                <w:sz w:val="16"/>
              </w:rPr>
              <w:t>环比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进件量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36,012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28,537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+26.2%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审批通过率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22.90%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29.41%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-22.1%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用信率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97.88%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95.01%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+3.0%</w:t>
            </w:r>
          </w:p>
        </w:tc>
      </w:tr>
      <w:tr>
        <w:tc>
          <w:tcPr>
            <w:tcW w:type="dxa" w:w="2484"/>
          </w:tcPr>
          <w:p>
            <w:r>
              <w:rPr>
                <w:sz w:val="16"/>
              </w:rPr>
              <w:t>审批金额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188,681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142,869</w:t>
            </w:r>
          </w:p>
        </w:tc>
        <w:tc>
          <w:tcPr>
            <w:tcW w:type="dxa" w:w="2484"/>
          </w:tcPr>
          <w:p>
            <w:r>
              <w:rPr>
                <w:sz w:val="16"/>
              </w:rPr>
              <w:t>+32.1%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695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kpi_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95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Microsoft YaHei" w:hAnsi="Microsoft YaHei" w:eastAsia="Microsoft YaHei"/>
          <w:color w:val="173B57"/>
        </w:rPr>
        <w:t>三、渠道与产品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73B57"/>
          </w:tcPr>
          <w:p>
            <w:r>
              <w:rPr>
                <w:b/>
                <w:color w:val="FFFFFF"/>
                <w:sz w:val="16"/>
              </w:rPr>
              <w:t>渠道</w:t>
            </w:r>
          </w:p>
        </w:tc>
        <w:tc>
          <w:tcPr>
            <w:tcW w:type="dxa" w:w="1987"/>
            <w:shd w:fill="173B57"/>
          </w:tcPr>
          <w:p>
            <w:r>
              <w:rPr>
                <w:b/>
                <w:color w:val="FFFFFF"/>
                <w:sz w:val="16"/>
              </w:rPr>
              <w:t>进件量</w:t>
            </w:r>
          </w:p>
        </w:tc>
        <w:tc>
          <w:tcPr>
            <w:tcW w:type="dxa" w:w="1987"/>
            <w:shd w:fill="173B57"/>
          </w:tcPr>
          <w:p>
            <w:r>
              <w:rPr>
                <w:b/>
                <w:color w:val="FFFFFF"/>
                <w:sz w:val="16"/>
              </w:rPr>
              <w:t>通过率</w:t>
            </w:r>
          </w:p>
        </w:tc>
        <w:tc>
          <w:tcPr>
            <w:tcW w:type="dxa" w:w="1987"/>
            <w:shd w:fill="173B57"/>
          </w:tcPr>
          <w:p>
            <w:r>
              <w:rPr>
                <w:b/>
                <w:color w:val="FFFFFF"/>
                <w:sz w:val="16"/>
              </w:rPr>
              <w:t>用信率</w:t>
            </w:r>
          </w:p>
        </w:tc>
        <w:tc>
          <w:tcPr>
            <w:tcW w:type="dxa" w:w="1987"/>
            <w:shd w:fill="173B57"/>
          </w:tcPr>
          <w:p>
            <w:r>
              <w:rPr>
                <w:b/>
                <w:color w:val="FFFFFF"/>
                <w:sz w:val="16"/>
              </w:rPr>
              <w:t>审批金额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Credit and cash offices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23,430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7.84%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100.00%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110,701.40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Contact center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4,939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4.33%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100.00%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14,296.85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Country-wide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4,384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87.64%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95.45%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33,625.32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Stone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1,397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88.12%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100.00%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14,169.40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Regional / Local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1,075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87.44%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100.00%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10,505.76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AP+ (Cash loan)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468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23.08%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100.00%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3,859.70</w:t>
            </w:r>
          </w:p>
        </w:tc>
      </w:tr>
      <w:tr>
        <w:tc>
          <w:tcPr>
            <w:tcW w:type="dxa" w:w="1987"/>
          </w:tcPr>
          <w:p>
            <w:r>
              <w:rPr>
                <w:sz w:val="16"/>
              </w:rPr>
              <w:t>Channel of corporate sales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319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22.88%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100.00%</w:t>
            </w:r>
          </w:p>
        </w:tc>
        <w:tc>
          <w:tcPr>
            <w:tcW w:type="dxa" w:w="1987"/>
          </w:tcPr>
          <w:p>
            <w:r>
              <w:rPr>
                <w:sz w:val="16"/>
              </w:rPr>
              <w:t>1,522.54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594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ha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4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Microsoft YaHei" w:hAnsi="Microsoft YaHei" w:eastAsia="Microsoft YaHei"/>
          <w:color w:val="173B57"/>
        </w:rPr>
        <w:t>四、风险与 Vintage</w:t>
      </w:r>
    </w:p>
    <w:p>
      <w:r>
        <w:drawing>
          <wp:inline xmlns:a="http://schemas.openxmlformats.org/drawingml/2006/main" xmlns:pic="http://schemas.openxmlformats.org/drawingml/2006/picture">
            <wp:extent cx="6035040" cy="21646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vint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6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Microsoft YaHei" w:hAnsi="Microsoft YaHei" w:eastAsia="Microsoft YaHei"/>
          <w:color w:val="173B57"/>
        </w:rPr>
        <w:t>五、行动建议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对通过率下降且进件量上升的渠道做专项复核，区分审批规则变化与客群质量变化。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对用信率偏低的渠道检查额度、定价和触达节奏，避免“批而不用”。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对高风险地区执行名单制管理，先控额、再提价，最后考虑退出。</w:t>
      </w:r>
    </w:p>
    <w:p>
      <w:pPr>
        <w:pStyle w:val="Heading1"/>
      </w:pPr>
      <w:r>
        <w:rPr>
          <w:rFonts w:ascii="Microsoft YaHei" w:hAnsi="Microsoft YaHei" w:eastAsia="Microsoft YaHei"/>
          <w:color w:val="173B57"/>
        </w:rPr>
        <w:t>六、数据说明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数据为 Home Credit 公开消费金融数据，业务日历为映射后的模拟时间。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金额单位为万元（归一化），仅用于结构和趋势分析。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TARGET 表示 30+ 天逾期标签，不等同于核销率。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sz w:val="20"/>
        </w:rPr>
        <w:t>• 本报告由 AI 辅助生成，所有数字均来自项目数据仓库，发布前需人工复核。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