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 w:line="324" w:lineRule="auto"/>
      </w:pPr>
      <w:r>
        <w:rPr>
          <w:rFonts w:ascii="Microsoft YaHei" w:hAnsi="Microsoft YaHei" w:eastAsia="Microsoft YaHei"/>
          <w:b/>
          <w:color w:val="0E7C86"/>
          <w:sz w:val="22"/>
        </w:rPr>
        <w:t>个人项目作品集</w:t>
      </w:r>
    </w:p>
    <w:p>
      <w:pPr>
        <w:spacing w:after="200"/>
      </w:pPr>
      <w:r>
        <w:rPr>
          <w:rFonts w:ascii="Microsoft YaHei" w:hAnsi="Microsoft YaHei" w:eastAsia="Microsoft YaHei"/>
          <w:b/>
          <w:color w:val="173B57"/>
          <w:sz w:val="60"/>
        </w:rPr>
        <w:t>消费金融经营分析</w:t>
        <w:br/>
        <w:t>AI Copilot</w:t>
      </w:r>
    </w:p>
    <w:p>
      <w:pPr>
        <w:spacing w:after="360" w:line="324" w:lineRule="auto"/>
      </w:pPr>
      <w:r>
        <w:rPr>
          <w:rFonts w:ascii="Microsoft YaHei" w:hAnsi="Microsoft YaHei" w:eastAsia="Microsoft YaHei"/>
          <w:b w:val="0"/>
          <w:color w:val="4B5563"/>
          <w:sz w:val="24"/>
        </w:rPr>
        <w:t>从 0 到 1：把申请—审批—用信—放款—还款—逾期—复贷全链路数据，做成可监控、可归因、可问数的 AI 助手。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1"/>
        </w:rPr>
        <w:t>项目负责人：魏嗣杰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协作说明：本人负责业务定义、指标口径、分析假设、结论判断与验收；Codex 参与数据管道、分析代码、AI 服务、看板与文档实现。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数据来源：Home Credit 公开消费金融数据集｜业务日历锚点：2026-09-30｜编制日期：2026-10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01 业务问题与项目目标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消费金融经营分析常见的三个断点：申请、审批、用信、还款、逾期分散在不同表；通过率变化说不清是结构还是能力；业务取数依赖排期，AI 问数又容易编造字段和数字。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这个项目要回答三个问题：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为什么 2026 年 9 月进件量上升，审批通过率却降到 22.9%？是渠道结构变化，还是同一渠道自身审批变严？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审批金额增长 32.1%，是靠件数扩张，还是靠件均和期限上升？这种增长可持续吗？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AI 能不能让业务人员用自然语言问数，同时保证口径正确、数字可追溯、危险 SQL 被拦截？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项目边界：使用公开历史数据，业务日历为映射后的模拟时间；金额归一化为万元；不计算 CAC、ROI 和净利润。所有结论优先看结构和趋势，不对外声称绝对规模。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02 数据底座与技术架构</w:t>
      </w:r>
    </w:p>
    <w:p>
      <w:r>
        <w:drawing>
          <wp:inline xmlns:a="http://schemas.openxmlformats.org/drawingml/2006/main" xmlns:pic="http://schemas.openxmlformats.org/drawingml/2006/picture">
            <wp:extent cx="6126480" cy="2537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37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数据底座采用 DuckDB 星型模型：客户、产品、渠道、地区、日期五个维度，申请、历史申请、分期还款、POS/信用卡账本、征信五类事实。原始表约 3,100 万行，覆盖 6 张业务表；bureau_balance 作为可选扩展表。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2592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表</w:t>
            </w:r>
          </w:p>
        </w:tc>
        <w:tc>
          <w:tcPr>
            <w:tcW w:type="dxa" w:w="144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行数</w:t>
            </w:r>
          </w:p>
        </w:tc>
        <w:tc>
          <w:tcPr>
            <w:tcW w:type="dxa" w:w="4896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业务用途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application_train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307,511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当前申请/在贷客户快照，含 TARGET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previous_application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1,670,214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历史申请与审批结果，支撑漏斗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installments_payments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13,605,401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每期应还/实还/逾期天数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POS_CASH_balance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10,001,358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POS 分期月度账本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credit_card_balance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3,840,312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信用卡额度与余额账本</w:t>
            </w:r>
          </w:p>
        </w:tc>
      </w:tr>
      <w:tr>
        <w:tc>
          <w:tcPr>
            <w:tcW w:type="dxa" w:w="259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bureau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1,716,428</w:t>
            </w:r>
          </w:p>
        </w:tc>
        <w:tc>
          <w:tcPr>
            <w:tcW w:type="dxa" w:w="489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外部征信与历史信用表现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关键口径：审批通过率 =（Approved + Unused offer）/ 进件量；用信率 = Approved /（Approved + Unused offer）；TARGET 为 30+ 天逾期标签，不等同于核销率。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03 关键发现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发现一：审批通过率下降 6.5 个百分点，主要是渠道结构效应，而不是全渠道审批能力同步恶化。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2026-09 进件量 36,012 笔（环比 +26.2%），审批通过率 22.9%（环比 -6.5pp，稳健 z = -7.11）。Credit and cash offices 申请占比从 60.3% 升至 65.1%，该渠道通过率仅 7.84%，贡献结构效应约 -1.00pp；Country-wide 占比从 16.7% 降至 12.2%，贡献结构效应约 -2.75pp。渠道结构合计效应约 -6.52pp，说明‘低通过率渠道扩张 + 高通过率渠道收缩’是主因。</w:t>
      </w:r>
    </w:p>
    <w:p>
      <w:r>
        <w:drawing>
          <wp:inline xmlns:a="http://schemas.openxmlformats.org/drawingml/2006/main" xmlns:pic="http://schemas.openxmlformats.org/drawingml/2006/picture">
            <wp:extent cx="6035040" cy="27801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kpi_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8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发现二：审批金额增长由‘价’驱动，不是‘量’驱动。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审批金额 188,681 万元（环比 +32.1%），但审批件数 8,245 笔（环比 -1.8%），实际用信 8,070 笔（环比 +1.2%）；件均 23.38 万元（+30.5%），平均期限 15.97 个月（+2.31 个月），平均利率档位 12.86%（+1.16pp）。规模增长依赖单笔金额和期限，若件均回落，金额增长不可持续。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发现三：Vintage 显示早期账龄风险可控，但口径与 TARGET 不可混用。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按放款 cohort 观察，MOB 6 的累计 DPD30 约 0.44%–0.49%，MOB 12 约 0.69%。installments 的 DPD30 累计率显著低于 application_train 的 TARGET 不良率 8.07%，说明两个口径覆盖的风险事件不同：前者是分期逾期，后者是 30+ 天违约标签。报告中不混用，避免把不同风险口径当成同一件事。</w:t>
      </w:r>
    </w:p>
    <w:p>
      <w:r>
        <w:drawing>
          <wp:inline xmlns:a="http://schemas.openxmlformats.org/drawingml/2006/main" xmlns:pic="http://schemas.openxmlformats.org/drawingml/2006/picture">
            <wp:extent cx="6126480" cy="21974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vi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9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发现四：客户价值 × 风险九宫格差异明显，高价值高风险客群需要单独策略。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高价值低风险客户 5,458 人，不良率 0%；高价值高风险客户 14,346 人，不良率 40.8%；高价值中风险客户 69,211 人，不良率 1.3%。这说明‘高价值’不等于‘低风险’，不能用同一套提额和复贷策略覆盖全部高价值客户。</w:t>
      </w:r>
    </w:p>
    <w:p>
      <w:r>
        <w:drawing>
          <wp:inline xmlns:a="http://schemas.openxmlformats.org/drawingml/2006/main" xmlns:pic="http://schemas.openxmlformats.org/drawingml/2006/picture">
            <wp:extent cx="5852160" cy="260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发现五：评分卡 PD 校准良好，可用于分层而非直接授信。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WOE/IV + 逻辑回归评分卡在测试集上 AUC 0.726、KS 0.335；五个风险带的实际不良率从 2.27% 单调上升到 19.19%，预测 PD 与实测不良率基本一致。定位是客户分层工具，不是生产级授信模型。</w:t>
      </w:r>
    </w:p>
    <w:p>
      <w:r>
        <w:drawing>
          <wp:inline xmlns:a="http://schemas.openxmlformats.org/drawingml/2006/main" xmlns:pic="http://schemas.openxmlformats.org/drawingml/2006/picture">
            <wp:extent cx="5852160" cy="23704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7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发现六：账本结构在从分期向循环额度迁移。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信用卡额度使用率从 2026-06 的 41.1% 升至 2026-08 的 52.3%，但 POS 活跃合同从 18.4 万降到 9.5 万。循环额度使用上升、分期活跃下降，意味着存量客户更依赖信用卡额度；后续需要把额度使用率与 DPD30 联动监控，避免‘额度越用越满、风险越滚越大’。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04 AI Copilot：怎么让 AI 可信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AI 链路不是‘把数据库接给大模型’，而是‘语义层 + 只读执行 + 校验 + 评测’：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语义层 YAML 定义 13 个指标、7 个视图、同义词、口径和使用边界；模型只能查 mart.v_* 视图。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NL2SQL 生成 SQL 后用 sqlglot 校验：只允许 SELECT，禁止 DDL/DML、多语句、注释和 raw schema。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DuckDB read_only 执行，结果最多 200 行；失败时把错误回传给模型，最多重试 2 次。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RAG 覆盖指标口径、业务规则和 AI 使用手册，回答必须带 [文件名#章节] 引用；无依据时拒答。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报告数字由 Python 计算后注入，LLM 只负责解释和建议；生成后做数字一致性校验，不一致自动回退模板。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评测结果（42 题，DeepSeek）：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4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216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SQL 结果准确率</w:t>
            </w:r>
          </w:p>
        </w:tc>
        <w:tc>
          <w:tcPr>
            <w:tcW w:type="dxa" w:w="216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知识问答准确率</w:t>
            </w:r>
          </w:p>
        </w:tc>
        <w:tc>
          <w:tcPr>
            <w:tcW w:type="dxa" w:w="2016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危险 SQL 拦截率</w:t>
            </w:r>
          </w:p>
        </w:tc>
        <w:tc>
          <w:tcPr>
            <w:tcW w:type="dxa" w:w="144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平均延迟</w:t>
            </w:r>
          </w:p>
        </w:tc>
      </w:tr>
      <w:tr>
        <w:tc>
          <w:tcPr>
            <w:tcW w:type="dxa" w:w="158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Prompt v1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82.35%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87.5%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1.28s</w:t>
            </w:r>
          </w:p>
        </w:tc>
      </w:tr>
      <w:tr>
        <w:tc>
          <w:tcPr>
            <w:tcW w:type="dxa" w:w="158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Prompt v2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85.29%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87.5%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1.30s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v2 相对 v1 准确率提升 2.94pp，但 prompt token 增加约 22.7%。这说明 Prompt 不是越长越好：v2 的‘先拆指标/时间/维度/过滤 + 少样本 + 拒答规则’对复杂问题有帮助，但简单问题用 v1 更省成本。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一个真实失败案例：模型对‘各产品类型进件量’只按 product_type 聚合，忽略了同一 product_type 在现金贷/循环贷下重复出现，导致口径歧义。修正方式是在语义层把产品维度定义为 contract_type × product_type，并在评测集中保留该题。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05 产品化与落地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交付物不是只有一个 notebook，而是一套能进入经营例会的工具：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HTML 看板：经营总览、审批漏斗、组合与风险、Vintage、异常与归因、AI 示例六个模块，离线可打开。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Excel 工作簿：9 张表、原生图表、指标口径页，可直接用于经营例会。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三类报告：周报、月报、专项（审批通过率结构分解），数字与 SQL 可追溯。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产品文档：PRD、需求池、RACI、30 条 UAT、60 分钟培训手册、推广与采纳指标。</w:t>
      </w:r>
    </w:p>
    <w:p>
      <w:pPr>
        <w:pStyle w:val="ListBullet"/>
        <w:spacing w:after="60" w:line="307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AI 行业简报与 3 个创新提案：经营例会助手、审批策略 Copilot、客户经营 Agent。</w:t>
      </w:r>
    </w:p>
    <w:p>
      <w:r>
        <w:drawing>
          <wp:inline xmlns:a="http://schemas.openxmlformats.org/drawingml/2006/main" xmlns:pic="http://schemas.openxmlformats.org/drawingml/2006/picture">
            <wp:extent cx="6126480" cy="99555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955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采纳度量：激活率 ≥60%、周活持续 4 周、人均问数 ≥3 次/周、报告节省时间 ≥60%、失败问题闭环率 ≥80%。这些指标是产品是否真正被使用的判断标准，不是模型跑分的替代品。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06 复盘、局限与跨行业迁移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这个项目最大的收获不是‘做了一个 AI 工具’，而是理解了 AI 落地真正的难点在数据口径、验证机制和业务采纳，不在模型调用。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局限：公开数据、模拟日历、金额归一化；没有获客成本、资金成本和真实利润，不能计算 CAC/ROI/净利润；installments 的 DPD 与 TARGET 口径不同，不能混用；评分卡只做分层，不直接授信。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如果继续做，我会优先补三件事：接入 POS/信用卡/征信表，做更完整的在贷余额与额度使用分析；把评测集扩展到 100 题并加入人工复核；用真实试点数据验证采纳率和报告节省时间。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跨行业迁移（回应电商/零售 JD）：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2448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消费金融指标</w:t>
            </w:r>
          </w:p>
        </w:tc>
        <w:tc>
          <w:tcPr>
            <w:tcW w:type="dxa" w:w="288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电商/零售对应指标</w:t>
            </w:r>
          </w:p>
        </w:tc>
        <w:tc>
          <w:tcPr>
            <w:tcW w:type="dxa" w:w="432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共同的分析逻辑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进件量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流量 / 新客数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获客规模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审批通过率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下单转化率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流量质量与规则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用信率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支付/复购转化率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批而不用 vs 加购未支付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件均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客单价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结构升级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复贷率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复购率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客户经营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风险成本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退货/履约成本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经营质量</w:t>
            </w:r>
          </w:p>
        </w:tc>
      </w:tr>
      <w:tr>
        <w:tc>
          <w:tcPr>
            <w:tcW w:type="dxa" w:w="244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Vintage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cohort 复购/留存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同账龄比较</w:t>
            </w:r>
          </w:p>
        </w:tc>
      </w:tr>
    </w:tbl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本质上，两边都在回答同一个问题：增长来自结构、价格还是效率？哪些增长可持续，哪些只是把风险或成本推后？这套指标体系、归因方法和 AI 工作流可以迁移，但口径必须重新定义。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8"/>
        </w:rPr>
        <w:t>协作说明：本人负责业务定义、指标口径、分析假设、结论判断与验收；Codex 参与数据管道、分析代码、AI 服务、看板与文档实现。</w:t>
      </w:r>
    </w:p>
    <w:sectPr w:rsidR="00FC693F" w:rsidRPr="0006063C" w:rsidSect="00034616"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