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 w:line="324" w:lineRule="auto"/>
      </w:pPr>
      <w:r>
        <w:rPr>
          <w:rFonts w:ascii="Microsoft YaHei" w:hAnsi="Microsoft YaHei" w:eastAsia="Microsoft YaHei"/>
          <w:b/>
          <w:color w:val="0E7C86"/>
          <w:sz w:val="22"/>
        </w:rPr>
        <w:t>个人项目作品集</w:t>
      </w:r>
    </w:p>
    <w:p>
      <w:pPr>
        <w:spacing w:after="200"/>
      </w:pPr>
      <w:r>
        <w:rPr>
          <w:rFonts w:ascii="Microsoft YaHei" w:hAnsi="Microsoft YaHei" w:eastAsia="Microsoft YaHei"/>
          <w:b/>
          <w:color w:val="173B57"/>
          <w:sz w:val="60"/>
        </w:rPr>
        <w:t>消费金融经营分析</w:t>
        <w:br/>
        <w:t>AI Copilot</w:t>
      </w:r>
    </w:p>
    <w:p>
      <w:pPr>
        <w:spacing w:after="360" w:line="324" w:lineRule="auto"/>
      </w:pPr>
      <w:r>
        <w:rPr>
          <w:rFonts w:ascii="Microsoft YaHei" w:hAnsi="Microsoft YaHei" w:eastAsia="Microsoft YaHei"/>
          <w:b w:val="0"/>
          <w:color w:val="4B5563"/>
          <w:sz w:val="24"/>
        </w:rPr>
        <w:t>从 0 到 1：把申请—审批—用信—放款—还款—逾期—复贷全链路数据，做成可监控、可归因、可问数的 AI 助手。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73B57"/>
          <w:sz w:val="21"/>
        </w:rPr>
        <w:t>项目负责人：魏嗣杰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协作说明：本人负责业务定义、指标口径、分析假设、结论判断与验收；Codex 参与数据管道、分析代码、AI 服务、看板与文档实现。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数据来源：Home Credit 公开消费金融数据集｜业务日历锚点：2026-09-30｜编制日期：2026-10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73B57"/>
          <w:sz w:val="34"/>
        </w:rPr>
        <w:t>01 业务问题与项目目标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消费金融经营分析常见的三个断点：申请、审批、用信、还款、逾期分散在不同表；通过率变化说不清是结构还是能力；业务取数依赖排期，AI 问数又容易编造字段和数字。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这个项目要回答三个问题：</w:t>
      </w:r>
    </w:p>
    <w:p>
      <w:pPr>
        <w:pStyle w:val="ListBullet"/>
        <w:spacing w:after="60" w:line="307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为什么 2026 年 9 月进件量上升，审批通过率却降到 22.9%？是渠道结构变化，还是同一渠道自身审批变严？</w:t>
      </w:r>
    </w:p>
    <w:p>
      <w:pPr>
        <w:pStyle w:val="ListBullet"/>
        <w:spacing w:after="60" w:line="307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审批金额增长 32.1%，是靠件数扩张，还是靠件均和期限上升？这种增长可持续吗？</w:t>
      </w:r>
    </w:p>
    <w:p>
      <w:pPr>
        <w:pStyle w:val="ListBullet"/>
        <w:spacing w:after="60" w:line="307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AI 能不能让业务人员用自然语言问数，同时保证口径正确、数字可追溯、危险 SQL 被拦截？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项目边界：使用公开历史数据，业务日历为映射后的模拟时间；金额归一化为万元；不计算 CAC、ROI 和净利润。所有结论优先看结构和趋势，不对外声称绝对规模。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B57"/>
          <w:sz w:val="34"/>
        </w:rPr>
        <w:t>02 数据底座与技术架构</w:t>
      </w:r>
    </w:p>
    <w:p>
      <w:r>
        <w:drawing>
          <wp:inline xmlns:a="http://schemas.openxmlformats.org/drawingml/2006/main" xmlns:pic="http://schemas.openxmlformats.org/drawingml/2006/picture">
            <wp:extent cx="6126480" cy="2537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数据底座采用 DuckDB 星型模型：客户、产品、渠道、地区、日期五个维度，申请、历史申请、分期还款、POS/信用卡账本、征信五类事实。原始表约 5,800 万行，覆盖 7 张业务表。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592"/>
            <w:shd w:fill="173B5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</w:t>
            </w:r>
          </w:p>
        </w:tc>
        <w:tc>
          <w:tcPr>
            <w:tcW w:type="dxa" w:w="1440"/>
            <w:shd w:fill="173B5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行数</w:t>
            </w:r>
          </w:p>
        </w:tc>
        <w:tc>
          <w:tcPr>
            <w:tcW w:type="dxa" w:w="4896"/>
            <w:shd w:fill="173B5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业务用途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application_train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307,511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当前申请/在贷客户快照，含 TARGET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previous_application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1,670,214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历史申请与审批结果，支撑漏斗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installments_payments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13,605,401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每期应还/实还/逾期天数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POS_CASH_balance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10,001,358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POS 分期月度账本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credit_card_balance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3,840,312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信用卡额度与余额账本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bureau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1,716,428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外部征信与历史信用表现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bureau_balance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27,299,925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征信月度状态账本</w:t>
            </w:r>
          </w:p>
        </w:tc>
      </w:tr>
    </w:tbl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关键口径：审批通过率 =（Approved + Unused offer）/ 进件量；用信率 = Approved /（Approved + Unused offer）；TARGET 为 30+ 天逾期标签，不等同于核销率。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B57"/>
          <w:sz w:val="34"/>
        </w:rPr>
        <w:t>03 关键发现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发现一：审批通过率下降 6.5 个百分点，主要是渠道结构效应，而不是全渠道审批能力同步恶化。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2026-09 进件量 36,012 笔（环比 +26.2%），审批通过率 22.9%（环比 -6.5pp，稳健 z = -7.11）。Credit and cash offices 申请占比从 60.3% 升至 65.1%，该渠道通过率仅 7.84%，贡献结构效应约 -1.00pp；Country-wide 占比从 16.7% 降至 12.2%，贡献结构效应约 -2.75pp。结构效应合计约 -5.39pp、比率效应约 -1.13pp，总效应 -6.52pp，说明‘低通过率渠道扩张 + 高通过率渠道收缩’是主因。</w:t>
      </w:r>
    </w:p>
    <w:p>
      <w:r>
        <w:drawing>
          <wp:inline xmlns:a="http://schemas.openxmlformats.org/drawingml/2006/main" xmlns:pic="http://schemas.openxmlformats.org/drawingml/2006/picture">
            <wp:extent cx="6035040" cy="2780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kpi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80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发现二：审批金额增长由‘价’驱动，不是‘量’驱动。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审批金额 188,681 万元（环比 +32.1%），但审批件数 8,245 笔（环比 -1.8%），实际用信 8,070 笔（环比 +1.2%）；件均 23.38 万元（+30.5%），平均期限 15.97 个月（+2.31 个月），平均利率档位 12.86%（+1.16pp）。规模增长依赖单笔金额和期限，若件均回落，金额增长不可持续。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发现三：Vintage 显示早期账龄风险可控，但口径与 TARGET 不可混用。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按放款 cohort 观察，MOB 6 的累计 DPD30 约 0.44%–0.49%，MOB 12 约 0.69%。installments 的 DPD30 累计率显著低于 application_train 的 TARGET 不良率 8.07%，说明两个口径覆盖的风险事件不同：前者是分期逾期，后者是 30+ 天违约标签。报告中不混用，避免把不同风险口径当成同一件事。</w:t>
      </w:r>
    </w:p>
    <w:p>
      <w:r>
        <w:drawing>
          <wp:inline xmlns:a="http://schemas.openxmlformats.org/drawingml/2006/main" xmlns:pic="http://schemas.openxmlformats.org/drawingml/2006/picture">
            <wp:extent cx="6126480" cy="21974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in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9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发现四：客户价值 × 风险九宫格差异明显，高价值高风险客群需要单独策略。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高价值低风险客户 5,458 人，不良率 0%；高价值高风险客户 14,346 人，不良率 40.8%；高价值中风险客户 69,211 人，不良率 1.3%。这说明‘高价值’不等于‘低风险’，不能用同一套提额和复贷策略覆盖全部高价值客户。</w:t>
      </w:r>
    </w:p>
    <w:p>
      <w:r>
        <w:drawing>
          <wp:inline xmlns:a="http://schemas.openxmlformats.org/drawingml/2006/main" xmlns:pic="http://schemas.openxmlformats.org/drawingml/2006/picture">
            <wp:extent cx="5852160" cy="260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发现五：评分卡 PD 校准良好，可用于分层而非直接授信。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WOE/IV + 逻辑回归评分卡在测试集上 AUC 0.726、KS 0.335；五个风险带的实际不良率从 2.27% 单调上升到 19.19%，预测 PD 与实测不良率基本一致。定位是客户分层工具，不是生产级授信模型。</w:t>
      </w:r>
    </w:p>
    <w:p>
      <w:r>
        <w:drawing>
          <wp:inline xmlns:a="http://schemas.openxmlformats.org/drawingml/2006/main" xmlns:pic="http://schemas.openxmlformats.org/drawingml/2006/picture">
            <wp:extent cx="5852160" cy="2370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发现六：账本结构在从分期向循环额度迁移。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信用卡额度使用率从 2026-06 的 41.1% 升至 2026-08 的 52.3%，但 POS 活跃合同从 18.4 万降到 9.5 万。循环额度使用上升、分期活跃下降，意味着存量客户更依赖信用卡额度；后续需要把额度使用率与 DPD30 联动监控，避免‘额度越用越满、风险越滚越大’。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73B57"/>
          <w:sz w:val="34"/>
        </w:rPr>
        <w:t>04 AI Copilot：怎么让 AI 可信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AI 链路不是‘把数据库接给大模型’，而是‘语义层 + 只读执行 + 校验 + 评测’：</w:t>
      </w:r>
    </w:p>
    <w:p>
      <w:pPr>
        <w:pStyle w:val="ListBullet"/>
        <w:spacing w:after="60" w:line="307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语义层 YAML 定义 13 个指标、7 个视图、同义词、口径和使用边界；模型只能查 mart.v_* 视图。</w:t>
      </w:r>
    </w:p>
    <w:p>
      <w:pPr>
        <w:pStyle w:val="ListBullet"/>
        <w:spacing w:after="60" w:line="307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NL2SQL 生成 SQL 后用 sqlglot 校验：只允许 SELECT，禁止 DDL/DML、多语句、注释和 raw schema。</w:t>
      </w:r>
    </w:p>
    <w:p>
      <w:pPr>
        <w:pStyle w:val="ListBullet"/>
        <w:spacing w:after="60" w:line="307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DuckDB read_only 执行，结果最多 200 行；失败时把错误回传给模型，最多重试 2 次。</w:t>
      </w:r>
    </w:p>
    <w:p>
      <w:pPr>
        <w:pStyle w:val="ListBullet"/>
        <w:spacing w:after="60" w:line="307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RAG 覆盖指标口径、业务规则和 AI 使用手册，回答必须带 [文件名#章节] 引用；无依据时拒答。</w:t>
      </w:r>
    </w:p>
    <w:p>
      <w:pPr>
        <w:pStyle w:val="ListBullet"/>
        <w:spacing w:after="60" w:line="307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报告数字由 Python 计算后注入，LLM 只负责解释和建议；生成后做数字一致性校验，不一致自动回退模板。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评测结果（42 题，DeepSeek）：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584"/>
            <w:shd w:fill="173B5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160"/>
            <w:shd w:fill="173B5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SQL 结果准确率</w:t>
            </w:r>
          </w:p>
        </w:tc>
        <w:tc>
          <w:tcPr>
            <w:tcW w:type="dxa" w:w="2160"/>
            <w:shd w:fill="173B5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知识问答准确率</w:t>
            </w:r>
          </w:p>
        </w:tc>
        <w:tc>
          <w:tcPr>
            <w:tcW w:type="dxa" w:w="2016"/>
            <w:shd w:fill="173B5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危险 SQL 拦截率</w:t>
            </w:r>
          </w:p>
        </w:tc>
        <w:tc>
          <w:tcPr>
            <w:tcW w:type="dxa" w:w="1440"/>
            <w:shd w:fill="173B5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平均延迟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Prompt v1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82.35%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87.5%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1.28s</w:t>
            </w:r>
          </w:p>
        </w:tc>
      </w:tr>
      <w:tr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Prompt v2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85.29%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87.5%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1.30s</w:t>
            </w:r>
          </w:p>
        </w:tc>
      </w:tr>
    </w:tbl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v2 相对 v1 准确率提升 2.94pp，但 prompt token 增加约 22.7%。这说明 Prompt 不是越长越好：v2 的‘先拆指标/时间/维度/过滤 + 少样本 + 拒答规则’对复杂问题有帮助，但简单问题用 v1 更省成本。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一个真实失败案例：模型对‘各产品类型进件量’只按 product_type 聚合，忽略了同一 product_type 在现金贷/循环贷下重复出现，导致口径歧义。修正方式是在语义层把产品维度定义为 contract_type × product_type，并在评测集中保留该题。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B57"/>
          <w:sz w:val="34"/>
        </w:rPr>
        <w:t>05 产品化与落地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交付物不是只有一个 notebook，而是一套能进入经营例会的工具：</w:t>
      </w:r>
    </w:p>
    <w:p>
      <w:pPr>
        <w:pStyle w:val="ListBullet"/>
        <w:spacing w:after="60" w:line="307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HTML 看板：经营总览、审批漏斗、组合与风险、Vintage、异常与归因、AI 示例六个模块，离线可打开。</w:t>
      </w:r>
    </w:p>
    <w:p>
      <w:pPr>
        <w:pStyle w:val="ListBullet"/>
        <w:spacing w:after="60" w:line="307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Excel 工作簿：9 张表、原生图表、指标口径页，可直接用于经营例会。</w:t>
      </w:r>
    </w:p>
    <w:p>
      <w:pPr>
        <w:pStyle w:val="ListBullet"/>
        <w:spacing w:after="60" w:line="307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三类报告：周报、月报、专项（审批通过率结构分解），数字与 SQL 可追溯。</w:t>
      </w:r>
    </w:p>
    <w:p>
      <w:pPr>
        <w:pStyle w:val="ListBullet"/>
        <w:spacing w:after="60" w:line="307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产品文档：PRD、需求池、RACI、30 条 UAT、60 分钟培训手册、推广与采纳指标。</w:t>
      </w:r>
    </w:p>
    <w:p>
      <w:pPr>
        <w:pStyle w:val="ListBullet"/>
        <w:spacing w:after="60" w:line="307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AI 行业简报与 3 个创新提案：经营例会助手、审批策略 Copilot、客户经营 Agent。</w:t>
      </w:r>
    </w:p>
    <w:p>
      <w:r>
        <w:drawing>
          <wp:inline xmlns:a="http://schemas.openxmlformats.org/drawingml/2006/main" xmlns:pic="http://schemas.openxmlformats.org/drawingml/2006/picture">
            <wp:extent cx="6126480" cy="99555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5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19"/>
        </w:rPr>
        <w:t>采纳度量：激活率 ≥60%、周活持续 4 周、人均问数 ≥3 次/周、报告节省时间 ≥60%、失败问题闭环率 ≥80%。这些指标是产品是否真正被使用的判断标准，不是模型跑分的替代品。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B57"/>
          <w:sz w:val="34"/>
        </w:rPr>
        <w:t>06 复盘、局限与跨行业迁移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这个项目最大的收获不是‘做了一个 AI 工具’，而是理解了 AI 落地真正的难点在数据口径、验证机制和业务采纳，不在模型调用。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局限：公开数据、模拟日历、金额归一化；没有获客成本、资金成本和真实利润，不能计算 CAC/ROI/净利润；installments 的 DPD 与 TARGET 口径不同，不能混用；评分卡只做分层，不直接授信。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如果继续做，我会优先补三件事：接入 POS/信用卡/征信表，做更完整的在贷余额与额度使用分析；把评测集扩展到 100 题并加入人工复核；用真实试点数据验证采纳率和报告节省时间。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跨行业迁移（回应电商/零售 JD）：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448"/>
            <w:shd w:fill="173B5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消费金融指标</w:t>
            </w:r>
          </w:p>
        </w:tc>
        <w:tc>
          <w:tcPr>
            <w:tcW w:type="dxa" w:w="2880"/>
            <w:shd w:fill="173B5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电商/零售对应指标</w:t>
            </w:r>
          </w:p>
        </w:tc>
        <w:tc>
          <w:tcPr>
            <w:tcW w:type="dxa" w:w="4320"/>
            <w:shd w:fill="173B5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共同的分析逻辑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进件量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流量 / 新客数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获客规模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审批通过率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下单转化率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流量质量与规则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用信率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支付/复购转化率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批而不用 vs 加购未支付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件均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客单价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结构升级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复贷率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复购率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客户经营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风险成本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退货/履约成本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经营质量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Vintage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cohort 复购/留存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4B5563"/>
                <w:sz w:val="17"/>
              </w:rPr>
              <w:t>同账龄比较</w:t>
            </w:r>
          </w:p>
        </w:tc>
      </w:tr>
    </w:tbl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20"/>
        </w:rPr>
        <w:t>本质上，两边都在回答同一个问题：增长来自结构、价格还是效率？哪些增长可持续，哪些只是把风险或成本推后？这套指标体系、归因方法和 AI 工作流可以迁移，但口径必须重新定义。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4B5563"/>
          <w:sz w:val="18"/>
        </w:rPr>
        <w:t>协作说明：本人负责业务定义、指标口径、分析假设、结论判断与验收；Codex 参与数据管道、分析代码、AI 服务、看板与文档实现。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