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F6FD5">
      <w:pPr>
        <w:pStyle w:val="31"/>
      </w:pPr>
      <w:r>
        <w:rPr>
          <w:rFonts w:ascii="微软雅黑" w:hAnsi="微软雅黑" w:eastAsia="微软雅黑"/>
          <w:b/>
          <w:color w:val="173B57"/>
          <w:sz w:val="48"/>
        </w:rPr>
        <w:t>消费金融审批通过率下降专项分析（2026-09）</w:t>
      </w:r>
    </w:p>
    <w:p w14:paraId="24FA6770">
      <w:pPr>
        <w:spacing w:after="100" w:line="324" w:lineRule="auto"/>
      </w:pPr>
      <w:r>
        <w:rPr>
          <w:rFonts w:ascii="微软雅黑" w:hAnsi="微软雅黑" w:eastAsia="微软雅黑"/>
          <w:b w:val="0"/>
          <w:color w:val="6B7280"/>
          <w:sz w:val="18"/>
        </w:rPr>
        <w:t>数据锚点：2026-09｜生成时间：2026-10-19 19:08｜数据源：Home Credit 公开数据</w:t>
      </w:r>
    </w:p>
    <w:p w14:paraId="71CD128F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一、摘要</w:t>
      </w:r>
      <w:bookmarkStart w:id="0" w:name="_GoBack"/>
      <w:bookmarkEnd w:id="0"/>
    </w:p>
    <w:p w14:paraId="0122B6EE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21"/>
        </w:rPr>
        <w:t>2026-09 进件量 36,012 笔（环比 +26.2%），审批通过率 22.90%（环比 -6.5 个百分点）。渠道分解显示，结构效应 -5.39pp、比率效应 -1.13pp、总效应 -6.52pp。通过率下降主要由低通过率渠道占比上升、高通过率渠道占比收缩造成，同时各渠道自身也略有收紧。</w:t>
      </w:r>
    </w:p>
    <w:p w14:paraId="1D9E07F2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20"/>
        </w:rPr>
        <w:t>审批金额 188,681 万元（环比 +32.1%），但审批件数环比下降，金额增长主要来自件均 23.38 万元（环比 +30.5%）和期限拉长，不是件数扩张。</w:t>
      </w:r>
    </w:p>
    <w:p w14:paraId="6748BA31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二、背景与问题</w:t>
      </w:r>
    </w:p>
    <w:p w14:paraId="0DA8641E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20"/>
        </w:rPr>
        <w:t>审批通过率是消费金融经营的核心指标，但它同时受渠道结构、客群质量、审批规则和产品额度影响。只看整体通过率，容易把“结构变化”误判为“风控收紧”。</w:t>
      </w:r>
    </w:p>
    <w:p w14:paraId="4C2295E3">
      <w:pPr>
        <w:pStyle w:val="16"/>
      </w:pPr>
      <w:r>
        <w:rPr>
          <w:rFonts w:ascii="微软雅黑" w:hAnsi="微软雅黑" w:eastAsia="微软雅黑"/>
          <w:b w:val="0"/>
          <w:color w:val="4B5563"/>
          <w:sz w:val="20"/>
        </w:rPr>
        <w:t>问题一：通过率下降是渠道结构变化，还是同一渠道审批变严？</w:t>
      </w:r>
    </w:p>
    <w:p w14:paraId="3567DD05">
      <w:pPr>
        <w:pStyle w:val="16"/>
      </w:pPr>
      <w:r>
        <w:rPr>
          <w:rFonts w:ascii="微软雅黑" w:hAnsi="微软雅黑" w:eastAsia="微软雅黑"/>
          <w:b w:val="0"/>
          <w:color w:val="4B5563"/>
          <w:sz w:val="20"/>
        </w:rPr>
        <w:t>问题二：哪些渠道贡献最大？</w:t>
      </w:r>
    </w:p>
    <w:p w14:paraId="3928B2D6">
      <w:pPr>
        <w:pStyle w:val="16"/>
      </w:pPr>
      <w:r>
        <w:rPr>
          <w:rFonts w:ascii="微软雅黑" w:hAnsi="微软雅黑" w:eastAsia="微软雅黑"/>
          <w:b w:val="0"/>
          <w:color w:val="4B5563"/>
          <w:sz w:val="20"/>
        </w:rPr>
        <w:t>问题三：通过率下降是否对应更好的风险表现？</w:t>
      </w:r>
    </w:p>
    <w:p w14:paraId="1212CBDD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三、数据与方法</w:t>
      </w:r>
    </w:p>
    <w:p w14:paraId="001FFB25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20"/>
        </w:rPr>
        <w:t>数据来自 Home Credit 公开消费金融数据集，本次使用申请审批表与分期还款表。日期按 2026-09-30 为锚点映射，金额统一除以 10,000，单位为万元。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5328"/>
        <w:gridCol w:w="2880"/>
      </w:tblGrid>
      <w:tr w14:paraId="13B3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73B57"/>
          </w:tcPr>
          <w:p w14:paraId="0CB941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指标/方法</w:t>
            </w:r>
          </w:p>
        </w:tc>
        <w:tc>
          <w:tcPr>
            <w:tcW w:w="5328" w:type="dxa"/>
            <w:shd w:val="clear" w:color="auto" w:fill="173B57"/>
          </w:tcPr>
          <w:p w14:paraId="28C970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公式</w:t>
            </w:r>
          </w:p>
        </w:tc>
        <w:tc>
          <w:tcPr>
            <w:tcW w:w="2880" w:type="dxa"/>
            <w:shd w:val="clear" w:color="auto" w:fill="173B57"/>
          </w:tcPr>
          <w:p w14:paraId="505734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 w14:paraId="6473E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E3F3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进件量</w:t>
            </w:r>
          </w:p>
        </w:tc>
        <w:tc>
          <w:tcPr>
            <w:tcW w:w="5328" w:type="dxa"/>
          </w:tcPr>
          <w:p w14:paraId="771628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全部申请笔数</w:t>
            </w:r>
          </w:p>
        </w:tc>
        <w:tc>
          <w:tcPr>
            <w:tcW w:w="2880" w:type="dxa"/>
          </w:tcPr>
          <w:p w14:paraId="2203D0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衡量规模</w:t>
            </w:r>
          </w:p>
        </w:tc>
      </w:tr>
      <w:tr w14:paraId="5078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82A2A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审批通过率</w:t>
            </w:r>
          </w:p>
        </w:tc>
        <w:tc>
          <w:tcPr>
            <w:tcW w:w="5328" w:type="dxa"/>
          </w:tcPr>
          <w:p w14:paraId="6033C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（Approved + Unused offer）/ 进件量</w:t>
            </w:r>
          </w:p>
        </w:tc>
        <w:tc>
          <w:tcPr>
            <w:tcW w:w="2880" w:type="dxa"/>
          </w:tcPr>
          <w:p w14:paraId="01CAA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衡量审批结果</w:t>
            </w:r>
          </w:p>
        </w:tc>
      </w:tr>
      <w:tr w14:paraId="2115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5223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用信率</w:t>
            </w:r>
          </w:p>
        </w:tc>
        <w:tc>
          <w:tcPr>
            <w:tcW w:w="5328" w:type="dxa"/>
          </w:tcPr>
          <w:p w14:paraId="33BC9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Approved /（Approved + Unused offer）</w:t>
            </w:r>
          </w:p>
        </w:tc>
        <w:tc>
          <w:tcPr>
            <w:tcW w:w="2880" w:type="dxa"/>
          </w:tcPr>
          <w:p w14:paraId="4A755C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衡量批而不用</w:t>
            </w:r>
          </w:p>
        </w:tc>
      </w:tr>
      <w:tr w14:paraId="0FCB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241F7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结构效应</w:t>
            </w:r>
          </w:p>
        </w:tc>
        <w:tc>
          <w:tcPr>
            <w:tcW w:w="5328" w:type="dxa"/>
          </w:tcPr>
          <w:p w14:paraId="558AF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渠道占比变化 × 基期渠道与整体通过率差</w:t>
            </w:r>
          </w:p>
        </w:tc>
        <w:tc>
          <w:tcPr>
            <w:tcW w:w="2880" w:type="dxa"/>
          </w:tcPr>
          <w:p w14:paraId="3FDD72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衡量渠道组合变化</w:t>
            </w:r>
          </w:p>
        </w:tc>
      </w:tr>
      <w:tr w14:paraId="021DC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95EFA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比率效应</w:t>
            </w:r>
          </w:p>
        </w:tc>
        <w:tc>
          <w:tcPr>
            <w:tcW w:w="5328" w:type="dxa"/>
          </w:tcPr>
          <w:p w14:paraId="2A1FBA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当期渠道占比 × 渠道通过率变化</w:t>
            </w:r>
          </w:p>
        </w:tc>
        <w:tc>
          <w:tcPr>
            <w:tcW w:w="2880" w:type="dxa"/>
          </w:tcPr>
          <w:p w14:paraId="2FF8C7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衡量渠道自身变化</w:t>
            </w:r>
          </w:p>
        </w:tc>
      </w:tr>
    </w:tbl>
    <w:p w14:paraId="0F69A49D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四、趋势与漏斗</w:t>
      </w:r>
    </w:p>
    <w:p w14:paraId="4ABB900D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20"/>
        </w:rPr>
        <w:t>2026-09 进件量 36,012 笔，审批通过 8,245 笔，实际用信 8,070 笔，用信率 97.88%。用信率处于高位，说明“批而不用”不是主要矛盾，矛盾集中在审批通过率。</w:t>
      </w:r>
    </w:p>
    <w:p w14:paraId="6AB046CD">
      <w:r>
        <w:drawing>
          <wp:inline distT="0" distB="0" distL="114300" distR="114300">
            <wp:extent cx="5943600" cy="2604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42DF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73B57"/>
          </w:tcPr>
          <w:p w14:paraId="72DE2A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w="2880" w:type="dxa"/>
            <w:shd w:val="clear" w:color="auto" w:fill="173B57"/>
          </w:tcPr>
          <w:p w14:paraId="1500F9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数值</w:t>
            </w:r>
          </w:p>
        </w:tc>
      </w:tr>
      <w:tr w14:paraId="0A6F0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AD0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进件</w:t>
            </w:r>
          </w:p>
        </w:tc>
        <w:tc>
          <w:tcPr>
            <w:tcW w:w="2880" w:type="dxa"/>
          </w:tcPr>
          <w:p w14:paraId="73F714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36,012</w:t>
            </w:r>
          </w:p>
        </w:tc>
      </w:tr>
      <w:tr w14:paraId="5703B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90DD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审批通过</w:t>
            </w:r>
          </w:p>
        </w:tc>
        <w:tc>
          <w:tcPr>
            <w:tcW w:w="2880" w:type="dxa"/>
          </w:tcPr>
          <w:p w14:paraId="7F64AC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8,245</w:t>
            </w:r>
          </w:p>
        </w:tc>
      </w:tr>
      <w:tr w14:paraId="65AC7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0F35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实际用信</w:t>
            </w:r>
          </w:p>
        </w:tc>
        <w:tc>
          <w:tcPr>
            <w:tcW w:w="2880" w:type="dxa"/>
          </w:tcPr>
          <w:p w14:paraId="35456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8,070</w:t>
            </w:r>
          </w:p>
        </w:tc>
      </w:tr>
      <w:tr w14:paraId="6121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5939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审批通过率</w:t>
            </w:r>
          </w:p>
        </w:tc>
        <w:tc>
          <w:tcPr>
            <w:tcW w:w="2880" w:type="dxa"/>
          </w:tcPr>
          <w:p w14:paraId="14F72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22.90%</w:t>
            </w:r>
          </w:p>
        </w:tc>
      </w:tr>
      <w:tr w14:paraId="3006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0B36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用信率</w:t>
            </w:r>
          </w:p>
        </w:tc>
        <w:tc>
          <w:tcPr>
            <w:tcW w:w="2880" w:type="dxa"/>
          </w:tcPr>
          <w:p w14:paraId="1E7747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97.88%</w:t>
            </w:r>
          </w:p>
        </w:tc>
      </w:tr>
    </w:tbl>
    <w:p w14:paraId="187798E6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五、渠道归因</w:t>
      </w:r>
    </w:p>
    <w:p w14:paraId="6415AC72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20"/>
        </w:rPr>
        <w:t>整体通过率下降 6.52 个百分点，其中结构效应 -5.39pp、比率效应 -1.13pp。结构效应是主因，但不能忽略比率效应。</w:t>
      </w:r>
    </w:p>
    <w:p w14:paraId="46E27F90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19"/>
        </w:rPr>
        <w:t>Country-wide：结构 -2.75pp、比率 -0.37pp、合计 -3.11pp。</w:t>
      </w:r>
    </w:p>
    <w:p w14:paraId="6999E71C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19"/>
        </w:rPr>
        <w:t>Credit and cash offices：结构 -1.00pp、比率 -0.47pp、合计 -1.47pp。</w:t>
      </w:r>
    </w:p>
    <w:p w14:paraId="1A1653B2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19"/>
        </w:rPr>
        <w:t>Stone：结构 -1.00pp、比率 -0.16pp、合计 -1.16pp。</w:t>
      </w:r>
    </w:p>
    <w:p w14:paraId="377BEDCC">
      <w:r>
        <w:drawing>
          <wp:inline distT="0" distB="0" distL="114300" distR="114300">
            <wp:extent cx="5852160" cy="2740660"/>
            <wp:effectExtent l="0" t="0" r="571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E4CE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六、风险验证</w:t>
      </w:r>
    </w:p>
    <w:p w14:paraId="2745F804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20"/>
        </w:rPr>
        <w:t>把 2026-09 各渠道审批通过率与获批客户的 DPD30 放在一起看。注意：这里只能看到获批客户的风险，存在选择偏差，不能直接推断被拒绝客户的风险。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2016"/>
        <w:gridCol w:w="2016"/>
      </w:tblGrid>
      <w:tr w14:paraId="59D4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  <w:shd w:val="clear" w:color="auto" w:fill="173B57"/>
          </w:tcPr>
          <w:p w14:paraId="1253E2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渠道类型</w:t>
            </w:r>
          </w:p>
        </w:tc>
        <w:tc>
          <w:tcPr>
            <w:tcW w:w="2016" w:type="dxa"/>
            <w:shd w:val="clear" w:color="auto" w:fill="173B57"/>
          </w:tcPr>
          <w:p w14:paraId="0D30F8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审批通过率</w:t>
            </w:r>
          </w:p>
        </w:tc>
        <w:tc>
          <w:tcPr>
            <w:tcW w:w="2016" w:type="dxa"/>
            <w:shd w:val="clear" w:color="auto" w:fill="173B57"/>
          </w:tcPr>
          <w:p w14:paraId="35034C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DPD30率</w:t>
            </w:r>
          </w:p>
        </w:tc>
      </w:tr>
      <w:tr w14:paraId="2301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2FE8F2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Credit and cash offices</w:t>
            </w:r>
          </w:p>
        </w:tc>
        <w:tc>
          <w:tcPr>
            <w:tcW w:w="2016" w:type="dxa"/>
          </w:tcPr>
          <w:p w14:paraId="47AB4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7.84%</w:t>
            </w:r>
          </w:p>
        </w:tc>
        <w:tc>
          <w:tcPr>
            <w:tcW w:w="2016" w:type="dxa"/>
          </w:tcPr>
          <w:p w14:paraId="69FFA6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1.50%</w:t>
            </w:r>
          </w:p>
        </w:tc>
      </w:tr>
      <w:tr w14:paraId="2D0E4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077418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Contact center</w:t>
            </w:r>
          </w:p>
        </w:tc>
        <w:tc>
          <w:tcPr>
            <w:tcW w:w="2016" w:type="dxa"/>
          </w:tcPr>
          <w:p w14:paraId="2CC32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4.33%</w:t>
            </w:r>
          </w:p>
        </w:tc>
        <w:tc>
          <w:tcPr>
            <w:tcW w:w="2016" w:type="dxa"/>
          </w:tcPr>
          <w:p w14:paraId="73161E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4.80%</w:t>
            </w:r>
          </w:p>
        </w:tc>
      </w:tr>
      <w:tr w14:paraId="6BD8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77E026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Country-wide</w:t>
            </w:r>
          </w:p>
        </w:tc>
        <w:tc>
          <w:tcPr>
            <w:tcW w:w="2016" w:type="dxa"/>
          </w:tcPr>
          <w:p w14:paraId="223EA4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87.64%</w:t>
            </w:r>
          </w:p>
        </w:tc>
        <w:tc>
          <w:tcPr>
            <w:tcW w:w="2016" w:type="dxa"/>
          </w:tcPr>
          <w:p w14:paraId="2EBEF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2.94%</w:t>
            </w:r>
          </w:p>
        </w:tc>
      </w:tr>
      <w:tr w14:paraId="0E9A4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3FC4BA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Stone</w:t>
            </w:r>
          </w:p>
        </w:tc>
        <w:tc>
          <w:tcPr>
            <w:tcW w:w="2016" w:type="dxa"/>
          </w:tcPr>
          <w:p w14:paraId="0A2EF0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88.12%</w:t>
            </w:r>
          </w:p>
        </w:tc>
        <w:tc>
          <w:tcPr>
            <w:tcW w:w="2016" w:type="dxa"/>
          </w:tcPr>
          <w:p w14:paraId="0A801D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2.96%</w:t>
            </w:r>
          </w:p>
        </w:tc>
      </w:tr>
      <w:tr w14:paraId="3F75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419AF7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Regional / Local</w:t>
            </w:r>
          </w:p>
        </w:tc>
        <w:tc>
          <w:tcPr>
            <w:tcW w:w="2016" w:type="dxa"/>
          </w:tcPr>
          <w:p w14:paraId="0A9B8F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87.44%</w:t>
            </w:r>
          </w:p>
        </w:tc>
        <w:tc>
          <w:tcPr>
            <w:tcW w:w="2016" w:type="dxa"/>
          </w:tcPr>
          <w:p w14:paraId="06AC67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1.90%</w:t>
            </w:r>
          </w:p>
        </w:tc>
      </w:tr>
      <w:tr w14:paraId="35D5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1E2AEE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AP+ (Cash loan)</w:t>
            </w:r>
          </w:p>
        </w:tc>
        <w:tc>
          <w:tcPr>
            <w:tcW w:w="2016" w:type="dxa"/>
          </w:tcPr>
          <w:p w14:paraId="489C0A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23.08%</w:t>
            </w:r>
          </w:p>
        </w:tc>
        <w:tc>
          <w:tcPr>
            <w:tcW w:w="2016" w:type="dxa"/>
          </w:tcPr>
          <w:p w14:paraId="711DE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1.84%</w:t>
            </w:r>
          </w:p>
        </w:tc>
      </w:tr>
      <w:tr w14:paraId="28E1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1E545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Channel of corporate sales</w:t>
            </w:r>
          </w:p>
        </w:tc>
        <w:tc>
          <w:tcPr>
            <w:tcW w:w="2016" w:type="dxa"/>
          </w:tcPr>
          <w:p w14:paraId="30A39C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22.88%</w:t>
            </w:r>
          </w:p>
        </w:tc>
        <w:tc>
          <w:tcPr>
            <w:tcW w:w="2016" w:type="dxa"/>
          </w:tcPr>
          <w:p w14:paraId="1CD8AF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4B5563"/>
                <w:sz w:val="17"/>
              </w:rPr>
              <w:t>0.60%</w:t>
            </w:r>
          </w:p>
        </w:tc>
      </w:tr>
    </w:tbl>
    <w:p w14:paraId="5231D566">
      <w:r>
        <w:drawing>
          <wp:inline distT="0" distB="0" distL="114300" distR="114300">
            <wp:extent cx="5669280" cy="2998470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BB77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19"/>
        </w:rPr>
        <w:t>从图上看，审批通过率低的渠道并不必然对应更低 DPD30；部分低通过渠道的风险并不低。通过率下降不能简单解释为“风控更有效”，还需要结合渠道客群、拒绝原因和审批规则进一步验证。</w:t>
      </w:r>
    </w:p>
    <w:p w14:paraId="4171F84C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七、建议</w:t>
      </w:r>
    </w:p>
    <w:p w14:paraId="03D8AB36">
      <w:pPr>
        <w:pStyle w:val="16"/>
      </w:pPr>
      <w:r>
        <w:rPr>
          <w:rFonts w:ascii="微软雅黑" w:hAnsi="微软雅黑" w:eastAsia="微软雅黑"/>
          <w:b w:val="0"/>
          <w:color w:val="4B5563"/>
          <w:sz w:val="19"/>
        </w:rPr>
        <w:t>渠道管理部：对低通过率、高进件占比渠道做专项复核，拆解主动投放、被动流入和客群质量，验证指标为通过率、拒绝原因 Top3、单位获客成本。</w:t>
      </w:r>
    </w:p>
    <w:p w14:paraId="195FC269">
      <w:pPr>
        <w:pStyle w:val="16"/>
      </w:pPr>
      <w:r>
        <w:rPr>
          <w:rFonts w:ascii="微软雅黑" w:hAnsi="微软雅黑" w:eastAsia="微软雅黑"/>
          <w:b w:val="0"/>
          <w:color w:val="4B5563"/>
          <w:sz w:val="19"/>
        </w:rPr>
        <w:t>风险管理部：对通过率下降但 DPD30 未改善的渠道，检查审批规则与反欺诈策略，验证指标为通过率与 DPD30 联动变化。</w:t>
      </w:r>
    </w:p>
    <w:p w14:paraId="1A3B1BAC">
      <w:pPr>
        <w:pStyle w:val="16"/>
      </w:pPr>
      <w:r>
        <w:rPr>
          <w:rFonts w:ascii="微软雅黑" w:hAnsi="微软雅黑" w:eastAsia="微软雅黑"/>
          <w:b w:val="0"/>
          <w:color w:val="4B5563"/>
          <w:sz w:val="19"/>
        </w:rPr>
        <w:t>经营分析部：把结构/比率分解固化为月度监控，结构效应超过 2pp 时触发专项说明，避免把结构变化误读为风控能力变化。</w:t>
      </w:r>
    </w:p>
    <w:p w14:paraId="019E1D65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八、局限</w:t>
      </w:r>
    </w:p>
    <w:p w14:paraId="463D5C5B">
      <w:pPr>
        <w:pStyle w:val="16"/>
      </w:pPr>
      <w:r>
        <w:rPr>
          <w:rFonts w:ascii="微软雅黑" w:hAnsi="微软雅黑" w:eastAsia="微软雅黑"/>
          <w:b w:val="0"/>
          <w:color w:val="4B5563"/>
          <w:sz w:val="19"/>
        </w:rPr>
        <w:t>公开数据、模拟业务日历，结论用于方法展示，不代表真实公司经营。</w:t>
      </w:r>
    </w:p>
    <w:p w14:paraId="71C74D62">
      <w:pPr>
        <w:pStyle w:val="16"/>
      </w:pPr>
      <w:r>
        <w:rPr>
          <w:rFonts w:ascii="微软雅黑" w:hAnsi="微软雅黑" w:eastAsia="微软雅黑"/>
          <w:b w:val="0"/>
          <w:color w:val="4B5563"/>
          <w:sz w:val="19"/>
        </w:rPr>
        <w:t>金额为归一化万元，不能解释为真实人民币规模。</w:t>
      </w:r>
    </w:p>
    <w:p w14:paraId="37E7B804">
      <w:pPr>
        <w:pStyle w:val="16"/>
      </w:pPr>
      <w:r>
        <w:rPr>
          <w:rFonts w:ascii="微软雅黑" w:hAnsi="微软雅黑" w:eastAsia="微软雅黑"/>
          <w:b w:val="0"/>
          <w:color w:val="4B5563"/>
          <w:sz w:val="19"/>
        </w:rPr>
        <w:t>风险验证只看获批客户，存在选择偏差，不能做因果推断。</w:t>
      </w:r>
    </w:p>
    <w:p w14:paraId="3C62E2EA">
      <w:pPr>
        <w:pStyle w:val="16"/>
      </w:pPr>
      <w:r>
        <w:rPr>
          <w:rFonts w:ascii="微软雅黑" w:hAnsi="微软雅黑" w:eastAsia="微软雅黑"/>
          <w:b w:val="0"/>
          <w:color w:val="4B5563"/>
          <w:sz w:val="19"/>
        </w:rPr>
        <w:t>缺少渠道投放、拒绝原因、审批规则变更等业务事件数据。</w:t>
      </w:r>
    </w:p>
    <w:p w14:paraId="473755F7">
      <w:pPr>
        <w:pStyle w:val="3"/>
      </w:pPr>
      <w:r>
        <w:rPr>
          <w:rFonts w:ascii="微软雅黑" w:hAnsi="微软雅黑" w:eastAsia="微软雅黑"/>
          <w:b/>
          <w:color w:val="173B57"/>
          <w:sz w:val="34"/>
        </w:rPr>
        <w:t>九、附录：口径</w:t>
      </w:r>
    </w:p>
    <w:p w14:paraId="1CF7A255">
      <w:pPr>
        <w:spacing w:after="100" w:line="324" w:lineRule="auto"/>
      </w:pPr>
      <w:r>
        <w:rPr>
          <w:rFonts w:ascii="微软雅黑" w:hAnsi="微软雅黑" w:eastAsia="微软雅黑"/>
          <w:b w:val="0"/>
          <w:color w:val="4B5563"/>
          <w:sz w:val="18"/>
        </w:rPr>
        <w:t>审批通过率 =（Approved + Unused offer）/ 进件量；用信率 = Approved /（Approved + Unused offer）；DPD30 = 单期最大逾期天数 ≥ 30。所有数字均来自 MySQL 汇总表/视图，可回到 sql/ 目录复算。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0D2D89"/>
    <w:rsid w:val="3E5326DB"/>
    <w:rsid w:val="66B9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1256</Words>
  <Characters>1787</Characters>
  <Lines>0</Lines>
  <Paragraphs>0</Paragraphs>
  <TotalTime>0</TotalTime>
  <ScaleCrop>false</ScaleCrop>
  <LinksUpToDate>false</LinksUpToDate>
  <CharactersWithSpaces>1890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二十</cp:lastModifiedBy>
  <dcterms:modified xsi:type="dcterms:W3CDTF">2026-10-20T07:24:51Z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eyJoZGlkIjoiNzU3NWU2YzkzMmQ5Yjk5YWY1MjM2NjBmZWE0MmFjNzgiLCJ1c2VySWQiOiIyOTUyNzc4MjIifQ==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3A047A6C5A04401CB4E28935BF9F03A2_13</vt:lpwstr>
  </property>
</Properties>
</file>