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3014" w14:textId="77777777" w:rsidR="00893C65" w:rsidRDefault="00893C65">
      <w:pPr>
        <w:spacing w:before="100"/>
      </w:pPr>
    </w:p>
    <w:p w14:paraId="7A3D34DF" w14:textId="77777777" w:rsidR="00893C65" w:rsidRDefault="00000000">
      <w:pPr>
        <w:spacing w:after="40"/>
      </w:pPr>
      <w:r>
        <w:rPr>
          <w:b/>
          <w:bCs/>
          <w:color w:val="1B2A45"/>
          <w:sz w:val="36"/>
          <w:szCs w:val="36"/>
        </w:rPr>
        <w:t>Executive Summary</w:t>
      </w:r>
    </w:p>
    <w:p w14:paraId="19224567" w14:textId="77777777" w:rsidR="00893C65" w:rsidRDefault="00000000">
      <w:pPr>
        <w:spacing w:after="30"/>
      </w:pPr>
      <w:r>
        <w:rPr>
          <w:i/>
          <w:iCs/>
          <w:color w:val="007A6E"/>
          <w:sz w:val="22"/>
          <w:szCs w:val="22"/>
        </w:rPr>
        <w:t>Intelligence-Driven Pipeline for Detecting Emerging Financial Fraud Patterns</w:t>
      </w:r>
    </w:p>
    <w:p w14:paraId="52CD3398" w14:textId="77777777" w:rsidR="00893C65" w:rsidRDefault="00000000">
      <w:r>
        <w:rPr>
          <w:color w:val="888888"/>
          <w:sz w:val="17"/>
          <w:szCs w:val="17"/>
        </w:rPr>
        <w:t xml:space="preserve">Anders </w:t>
      </w:r>
      <w:proofErr w:type="gramStart"/>
      <w:r>
        <w:rPr>
          <w:color w:val="888888"/>
          <w:sz w:val="17"/>
          <w:szCs w:val="17"/>
        </w:rPr>
        <w:t>Pierson  •</w:t>
      </w:r>
      <w:proofErr w:type="gramEnd"/>
      <w:r>
        <w:rPr>
          <w:color w:val="888888"/>
          <w:sz w:val="17"/>
          <w:szCs w:val="17"/>
        </w:rPr>
        <w:t xml:space="preserve">  Rituparna </w:t>
      </w:r>
      <w:proofErr w:type="gramStart"/>
      <w:r>
        <w:rPr>
          <w:color w:val="888888"/>
          <w:sz w:val="17"/>
          <w:szCs w:val="17"/>
        </w:rPr>
        <w:t>Bhattacharya  •</w:t>
      </w:r>
      <w:proofErr w:type="gramEnd"/>
      <w:r>
        <w:rPr>
          <w:color w:val="888888"/>
          <w:sz w:val="17"/>
          <w:szCs w:val="17"/>
        </w:rPr>
        <w:t xml:space="preserve">  Owen </w:t>
      </w:r>
      <w:proofErr w:type="gramStart"/>
      <w:r>
        <w:rPr>
          <w:color w:val="888888"/>
          <w:sz w:val="17"/>
          <w:szCs w:val="17"/>
        </w:rPr>
        <w:t>Williamson  •</w:t>
      </w:r>
      <w:proofErr w:type="gramEnd"/>
      <w:r>
        <w:rPr>
          <w:color w:val="888888"/>
          <w:sz w:val="17"/>
          <w:szCs w:val="17"/>
        </w:rPr>
        <w:t xml:space="preserve">  Declan </w:t>
      </w:r>
      <w:proofErr w:type="gramStart"/>
      <w:r>
        <w:rPr>
          <w:color w:val="888888"/>
          <w:sz w:val="17"/>
          <w:szCs w:val="17"/>
        </w:rPr>
        <w:t>O’Halloran  •</w:t>
      </w:r>
      <w:proofErr w:type="gramEnd"/>
      <w:r>
        <w:rPr>
          <w:color w:val="888888"/>
          <w:sz w:val="17"/>
          <w:szCs w:val="17"/>
        </w:rPr>
        <w:t xml:space="preserve">  Baran </w:t>
      </w:r>
      <w:proofErr w:type="spellStart"/>
      <w:r>
        <w:rPr>
          <w:color w:val="888888"/>
          <w:sz w:val="17"/>
          <w:szCs w:val="17"/>
        </w:rPr>
        <w:t>Narravula</w:t>
      </w:r>
      <w:proofErr w:type="spellEnd"/>
    </w:p>
    <w:p w14:paraId="25412A62" w14:textId="77777777" w:rsidR="00893C65" w:rsidRDefault="00893C65">
      <w:pPr>
        <w:pBdr>
          <w:bottom w:val="single" w:sz="4" w:space="1" w:color="007A6E"/>
        </w:pBdr>
        <w:spacing w:before="80" w:after="80"/>
      </w:pPr>
    </w:p>
    <w:p w14:paraId="5003B51C" w14:textId="77777777" w:rsidR="00893C65" w:rsidRDefault="00000000">
      <w:pPr>
        <w:pStyle w:val="Heading1"/>
        <w:spacing w:before="160" w:after="60"/>
      </w:pPr>
      <w:r>
        <w:rPr>
          <w:sz w:val="24"/>
          <w:szCs w:val="24"/>
        </w:rPr>
        <w:t>Problem Statement</w:t>
      </w:r>
    </w:p>
    <w:p w14:paraId="3947E643" w14:textId="717F9CE5" w:rsidR="00893C65" w:rsidRDefault="00000000">
      <w:pPr>
        <w:spacing w:before="40" w:after="40" w:line="260" w:lineRule="auto"/>
      </w:pPr>
      <w:r>
        <w:rPr>
          <w:color w:val="595959"/>
          <w:sz w:val="19"/>
          <w:szCs w:val="19"/>
        </w:rPr>
        <w:t>Financial fraud is evolving faster than traditional detection systems can track. Organizations relying on rule-based monitoring and static reporting operate in a reactive posture</w:t>
      </w:r>
      <w:r w:rsidR="001F54AC">
        <w:rPr>
          <w:color w:val="595959"/>
          <w:sz w:val="19"/>
          <w:szCs w:val="19"/>
        </w:rPr>
        <w:t xml:space="preserve">, </w:t>
      </w:r>
      <w:r>
        <w:rPr>
          <w:color w:val="595959"/>
          <w:sz w:val="19"/>
          <w:szCs w:val="19"/>
        </w:rPr>
        <w:t>discovering schemes only after losses have materialized. The gap between the emergence of a new fraud pattern and an institution’s awareness of it represents significant, preventable risk. This is especially acute as AI-enabled threats such as synthetic identity fraud, AI-enhanced scams, and autonomous payment manipulation accelerate in both sophistication and volume.</w:t>
      </w:r>
    </w:p>
    <w:p w14:paraId="1659722F" w14:textId="77777777" w:rsidR="00893C65" w:rsidRDefault="00000000">
      <w:pPr>
        <w:pStyle w:val="Heading1"/>
        <w:spacing w:before="160" w:after="60"/>
      </w:pPr>
      <w:r>
        <w:rPr>
          <w:sz w:val="24"/>
          <w:szCs w:val="24"/>
        </w:rPr>
        <w:t>What Was Delivered</w:t>
      </w:r>
    </w:p>
    <w:p w14:paraId="007E2063" w14:textId="61CFBBD2" w:rsidR="00893C65" w:rsidRDefault="00000000">
      <w:pPr>
        <w:spacing w:before="40" w:after="40" w:line="260" w:lineRule="auto"/>
      </w:pPr>
      <w:r>
        <w:rPr>
          <w:color w:val="595959"/>
          <w:sz w:val="19"/>
          <w:szCs w:val="19"/>
        </w:rPr>
        <w:t>The team delivered a fully operational, end-to-end fraud intelligence platform</w:t>
      </w:r>
      <w:r w:rsidR="001F54AC">
        <w:rPr>
          <w:color w:val="595959"/>
          <w:sz w:val="19"/>
          <w:szCs w:val="19"/>
        </w:rPr>
        <w:t xml:space="preserve"> (called Pickaxe Analytics) </w:t>
      </w:r>
      <w:r>
        <w:rPr>
          <w:color w:val="595959"/>
          <w:sz w:val="19"/>
          <w:szCs w:val="19"/>
        </w:rPr>
        <w:t>consisting of five integrated modules:</w:t>
      </w:r>
    </w:p>
    <w:p w14:paraId="01AD28FF" w14:textId="77777777" w:rsidR="00893C65" w:rsidRDefault="00893C65">
      <w:pPr>
        <w:spacing w:before="20"/>
      </w:pPr>
    </w:p>
    <w:p w14:paraId="6B0A667F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Executive Overview: </w:t>
      </w:r>
      <w:r>
        <w:rPr>
          <w:color w:val="595959"/>
          <w:sz w:val="19"/>
          <w:szCs w:val="19"/>
        </w:rPr>
        <w:t>Monitors over 1,400 articles across government, news, cybersecurity, and non-profit sources, organized into 109 active theme clusters with 42 flagged as actively emerging.</w:t>
      </w:r>
    </w:p>
    <w:p w14:paraId="090B13C1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Intelligence Search: </w:t>
      </w:r>
      <w:r>
        <w:rPr>
          <w:color w:val="595959"/>
          <w:sz w:val="19"/>
          <w:szCs w:val="19"/>
        </w:rPr>
        <w:t>A natural language query interface powered by semantic retrieval and Gemini-synthesized analysis, returning structured threat summaries, key patterns, risk assessments, and cited source evidence.</w:t>
      </w:r>
    </w:p>
    <w:p w14:paraId="090196C7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Fraud Pattern Clusters: </w:t>
      </w:r>
      <w:r>
        <w:rPr>
          <w:color w:val="595959"/>
          <w:sz w:val="19"/>
          <w:szCs w:val="19"/>
        </w:rPr>
        <w:t>An embedding-based engine that detects how fraud narratives form and shift over time, tagging each cluster with lifecycle stage (Emerging, Stable, Declining), risk scores, and article counts.</w:t>
      </w:r>
    </w:p>
    <w:p w14:paraId="1D020498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Network Relationships: </w:t>
      </w:r>
      <w:r>
        <w:rPr>
          <w:color w:val="595959"/>
          <w:sz w:val="19"/>
          <w:szCs w:val="19"/>
        </w:rPr>
        <w:t>A visual graph that surfaces how distinct fraud themes connect through shared article neighbors and embedding proximity, revealing convergent threats.</w:t>
      </w:r>
    </w:p>
    <w:p w14:paraId="71770CD0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Alerts &amp; Watchlists: </w:t>
      </w:r>
      <w:r>
        <w:rPr>
          <w:color w:val="595959"/>
          <w:sz w:val="19"/>
          <w:szCs w:val="19"/>
        </w:rPr>
        <w:t xml:space="preserve">A severity-tiered alert </w:t>
      </w:r>
      <w:proofErr w:type="gramStart"/>
      <w:r>
        <w:rPr>
          <w:color w:val="595959"/>
          <w:sz w:val="19"/>
          <w:szCs w:val="19"/>
        </w:rPr>
        <w:t>feed that</w:t>
      </w:r>
      <w:proofErr w:type="gramEnd"/>
      <w:r>
        <w:rPr>
          <w:color w:val="595959"/>
          <w:sz w:val="19"/>
          <w:szCs w:val="19"/>
        </w:rPr>
        <w:t xml:space="preserve"> triggers on monitored watchlist themes and surfaces recommended institutional actions.</w:t>
      </w:r>
    </w:p>
    <w:p w14:paraId="7F338058" w14:textId="77777777" w:rsidR="00893C65" w:rsidRDefault="00893C65">
      <w:pPr>
        <w:spacing w:before="20"/>
      </w:pPr>
    </w:p>
    <w:p w14:paraId="75CFA8AD" w14:textId="77777777" w:rsidR="00893C65" w:rsidRDefault="00000000">
      <w:pPr>
        <w:pStyle w:val="Heading1"/>
        <w:spacing w:before="160" w:after="60"/>
      </w:pPr>
      <w:r>
        <w:rPr>
          <w:sz w:val="24"/>
          <w:szCs w:val="24"/>
        </w:rPr>
        <w:t>Scope Status: Delivered vs. Deferred</w:t>
      </w:r>
    </w:p>
    <w:p w14:paraId="3A86E6AA" w14:textId="77777777" w:rsidR="00893C65" w:rsidRDefault="00893C65">
      <w:pPr>
        <w:spacing w:before="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4160"/>
      </w:tblGrid>
      <w:tr w:rsidR="00893C65" w14:paraId="75036FD0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DE4C" w14:textId="77777777" w:rsidR="00893C65" w:rsidRDefault="00000000">
            <w:r>
              <w:rPr>
                <w:b/>
                <w:bCs/>
                <w:color w:val="FFFFFF"/>
                <w:sz w:val="18"/>
                <w:szCs w:val="18"/>
              </w:rPr>
              <w:t>Scope 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01F2" w14:textId="77777777" w:rsidR="00893C6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93C65" w14:paraId="2EB2ABC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562AB" w14:textId="77777777" w:rsidR="00893C65" w:rsidRDefault="00000000">
            <w:r>
              <w:rPr>
                <w:color w:val="595959"/>
                <w:sz w:val="18"/>
                <w:szCs w:val="18"/>
              </w:rPr>
              <w:t xml:space="preserve">Multi-source public data ingestion (gov, news, </w:t>
            </w:r>
            <w:proofErr w:type="spellStart"/>
            <w:r>
              <w:rPr>
                <w:color w:val="595959"/>
                <w:sz w:val="18"/>
                <w:szCs w:val="18"/>
              </w:rPr>
              <w:t>cybersec</w:t>
            </w:r>
            <w:proofErr w:type="spellEnd"/>
            <w:r>
              <w:rPr>
                <w:color w:val="595959"/>
                <w:sz w:val="18"/>
                <w:szCs w:val="18"/>
              </w:rPr>
              <w:t>, non-profit)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7075F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4D563E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45965" w14:textId="77777777" w:rsidR="00893C65" w:rsidRDefault="00000000">
            <w:r>
              <w:rPr>
                <w:color w:val="595959"/>
                <w:sz w:val="18"/>
                <w:szCs w:val="18"/>
              </w:rPr>
              <w:t>Semantic deduplication and noise reduction pipeline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62D57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3E643F8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A2F78" w14:textId="77777777" w:rsidR="00893C65" w:rsidRDefault="00000000">
            <w:r>
              <w:rPr>
                <w:color w:val="595959"/>
                <w:sz w:val="18"/>
                <w:szCs w:val="18"/>
              </w:rPr>
              <w:t>Embedding-based fraud pattern clustering (Sentence-BERT)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BC153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1F1481D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51F9A" w14:textId="77777777" w:rsidR="00893C65" w:rsidRDefault="00000000">
            <w:r>
              <w:rPr>
                <w:color w:val="595959"/>
                <w:sz w:val="18"/>
                <w:szCs w:val="18"/>
              </w:rPr>
              <w:t>Multi-factor signal ranking (volume, velocity, source authority)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A301C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4E2F6F8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686AC" w14:textId="77777777" w:rsidR="00893C65" w:rsidRDefault="00000000">
            <w:r>
              <w:rPr>
                <w:color w:val="595959"/>
                <w:sz w:val="18"/>
                <w:szCs w:val="18"/>
              </w:rPr>
              <w:t>Retrieval-Augmented Generation (RAG) with cited source evidence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965B4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2EC370C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740CE" w14:textId="77777777" w:rsidR="00893C65" w:rsidRDefault="00000000">
            <w:r>
              <w:rPr>
                <w:color w:val="595959"/>
                <w:sz w:val="18"/>
                <w:szCs w:val="18"/>
              </w:rPr>
              <w:t xml:space="preserve">Dynamic, </w:t>
            </w:r>
            <w:proofErr w:type="spellStart"/>
            <w:r>
              <w:rPr>
                <w:color w:val="595959"/>
                <w:sz w:val="18"/>
                <w:szCs w:val="18"/>
              </w:rPr>
              <w:t>queryable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web dashboard (</w:t>
            </w:r>
            <w:proofErr w:type="spellStart"/>
            <w:r>
              <w:rPr>
                <w:color w:val="595959"/>
                <w:sz w:val="18"/>
                <w:szCs w:val="18"/>
              </w:rPr>
              <w:t>Supabase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backend)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DC460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6E2EB76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ACE07" w14:textId="77777777" w:rsidR="00893C65" w:rsidRDefault="00000000">
            <w:r>
              <w:rPr>
                <w:color w:val="595959"/>
                <w:sz w:val="18"/>
                <w:szCs w:val="18"/>
              </w:rPr>
              <w:t>Network relationship visualization across fraud themes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E9172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54EEC40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DCC8C" w14:textId="77777777" w:rsidR="00893C65" w:rsidRDefault="00000000">
            <w:r>
              <w:rPr>
                <w:color w:val="595959"/>
                <w:sz w:val="18"/>
                <w:szCs w:val="18"/>
              </w:rPr>
              <w:t>Alerts &amp; watchlist engine with recommended actions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CD547" w14:textId="77777777" w:rsidR="00893C65" w:rsidRDefault="00000000">
            <w:pPr>
              <w:jc w:val="center"/>
            </w:pPr>
            <w:r>
              <w:rPr>
                <w:b/>
                <w:bCs/>
                <w:color w:val="1D6A2E"/>
                <w:sz w:val="19"/>
                <w:szCs w:val="19"/>
              </w:rPr>
              <w:t>Delivered</w:t>
            </w:r>
          </w:p>
        </w:tc>
      </w:tr>
      <w:tr w:rsidR="00893C65" w14:paraId="2178ECC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34C6F" w14:textId="77777777" w:rsidR="00893C65" w:rsidRDefault="00000000">
            <w:r>
              <w:rPr>
                <w:color w:val="595959"/>
                <w:sz w:val="18"/>
                <w:szCs w:val="18"/>
              </w:rPr>
              <w:t>Named entity recognition and urgency scoring (NLP enrichment)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81CE2" w14:textId="77777777" w:rsidR="00893C65" w:rsidRDefault="00000000">
            <w:pPr>
              <w:jc w:val="center"/>
            </w:pPr>
            <w:r>
              <w:rPr>
                <w:b/>
                <w:bCs/>
                <w:color w:val="7A5C00"/>
                <w:sz w:val="19"/>
                <w:szCs w:val="19"/>
              </w:rPr>
              <w:t>Partial</w:t>
            </w:r>
          </w:p>
        </w:tc>
      </w:tr>
      <w:tr w:rsidR="00893C65" w14:paraId="206DEF3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096F7" w14:textId="77777777" w:rsidR="00893C65" w:rsidRDefault="00000000">
            <w:r>
              <w:rPr>
                <w:color w:val="595959"/>
                <w:sz w:val="18"/>
                <w:szCs w:val="18"/>
              </w:rPr>
              <w:t>OCR pipeline for scanned PDF sources / real-time ingestion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C4131" w14:textId="77777777" w:rsidR="00893C65" w:rsidRDefault="00000000">
            <w:pPr>
              <w:jc w:val="center"/>
            </w:pPr>
            <w:r>
              <w:rPr>
                <w:b/>
                <w:bCs/>
                <w:color w:val="7A5C00"/>
                <w:sz w:val="19"/>
                <w:szCs w:val="19"/>
              </w:rPr>
              <w:t>Deferred</w:t>
            </w:r>
          </w:p>
        </w:tc>
      </w:tr>
      <w:tr w:rsidR="00893C65" w14:paraId="3A2780C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FA325" w14:textId="77777777" w:rsidR="00893C65" w:rsidRDefault="00000000">
            <w:r>
              <w:rPr>
                <w:color w:val="595959"/>
                <w:sz w:val="18"/>
                <w:szCs w:val="18"/>
              </w:rPr>
              <w:t>Multi-user authentication and role-based access controls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28DD2" w14:textId="77777777" w:rsidR="00893C65" w:rsidRDefault="00000000">
            <w:pPr>
              <w:jc w:val="center"/>
            </w:pPr>
            <w:r>
              <w:rPr>
                <w:b/>
                <w:bCs/>
                <w:color w:val="7A5C00"/>
                <w:sz w:val="19"/>
                <w:szCs w:val="19"/>
              </w:rPr>
              <w:t>Deferred</w:t>
            </w:r>
          </w:p>
        </w:tc>
      </w:tr>
    </w:tbl>
    <w:p w14:paraId="18849483" w14:textId="77777777" w:rsidR="00893C65" w:rsidRDefault="00893C65">
      <w:pPr>
        <w:spacing w:before="40"/>
      </w:pPr>
    </w:p>
    <w:p w14:paraId="314211E0" w14:textId="77777777" w:rsidR="00893C65" w:rsidRDefault="00000000">
      <w:r>
        <w:br w:type="page"/>
      </w:r>
    </w:p>
    <w:p w14:paraId="4EB47F43" w14:textId="77777777" w:rsidR="00893C65" w:rsidRDefault="00000000">
      <w:pPr>
        <w:pStyle w:val="Heading1"/>
        <w:spacing w:before="160" w:after="60"/>
      </w:pPr>
      <w:r>
        <w:rPr>
          <w:sz w:val="24"/>
          <w:szCs w:val="24"/>
        </w:rPr>
        <w:lastRenderedPageBreak/>
        <w:t>Known Limitations</w:t>
      </w:r>
    </w:p>
    <w:p w14:paraId="7D8312B7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Batch-Only Ingestion: </w:t>
      </w:r>
      <w:r>
        <w:rPr>
          <w:color w:val="595959"/>
          <w:sz w:val="19"/>
          <w:szCs w:val="19"/>
        </w:rPr>
        <w:t>Data ingestion is batch-based rather than continuous; the corpus reflects a point-in-time snapshot and does not auto-refresh.</w:t>
      </w:r>
    </w:p>
    <w:p w14:paraId="2871ED78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Source Coverage Gaps: </w:t>
      </w:r>
      <w:r>
        <w:rPr>
          <w:color w:val="595959"/>
          <w:sz w:val="19"/>
          <w:szCs w:val="19"/>
        </w:rPr>
        <w:t xml:space="preserve">Coverage of certain regulatory bodies, international cybersecurity agencies, and premium industry publications </w:t>
      </w:r>
      <w:proofErr w:type="gramStart"/>
      <w:r>
        <w:rPr>
          <w:color w:val="595959"/>
          <w:sz w:val="19"/>
          <w:szCs w:val="19"/>
        </w:rPr>
        <w:t>remains</w:t>
      </w:r>
      <w:proofErr w:type="gramEnd"/>
      <w:r>
        <w:rPr>
          <w:color w:val="595959"/>
          <w:sz w:val="19"/>
          <w:szCs w:val="19"/>
        </w:rPr>
        <w:t xml:space="preserve"> incomplete.</w:t>
      </w:r>
    </w:p>
    <w:p w14:paraId="35AFD927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NLP Enrichment Maturity: </w:t>
      </w:r>
      <w:r>
        <w:rPr>
          <w:color w:val="595959"/>
          <w:sz w:val="19"/>
          <w:szCs w:val="19"/>
        </w:rPr>
        <w:t>NLP enrichment features—named entity recognition, platform/actor tagging, and urgency scoring—require further validation before production reliance.</w:t>
      </w:r>
    </w:p>
    <w:p w14:paraId="362A8EBA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Single-Tenant Environment: </w:t>
      </w:r>
      <w:r>
        <w:rPr>
          <w:color w:val="595959"/>
          <w:sz w:val="19"/>
          <w:szCs w:val="19"/>
        </w:rPr>
        <w:t>The platform has not been tested under concurrent multi-user load; authentication and session management were out of scope.</w:t>
      </w:r>
    </w:p>
    <w:p w14:paraId="19B23C15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Evaluation Framework Absent: </w:t>
      </w:r>
      <w:r>
        <w:rPr>
          <w:color w:val="595959"/>
          <w:sz w:val="19"/>
          <w:szCs w:val="19"/>
        </w:rPr>
        <w:t>Cluster quality and ranking logic have not been evaluated against a labeled ground truth dataset; formal benchmarks are pending.</w:t>
      </w:r>
    </w:p>
    <w:p w14:paraId="65B7A22E" w14:textId="77777777" w:rsidR="00893C65" w:rsidRDefault="00893C65">
      <w:pPr>
        <w:spacing w:before="40"/>
      </w:pPr>
    </w:p>
    <w:p w14:paraId="50D5B386" w14:textId="77777777" w:rsidR="00893C65" w:rsidRDefault="00000000">
      <w:pPr>
        <w:pStyle w:val="Heading1"/>
        <w:spacing w:before="160" w:after="60"/>
      </w:pPr>
      <w:r>
        <w:rPr>
          <w:sz w:val="24"/>
          <w:szCs w:val="24"/>
        </w:rPr>
        <w:t>Recommended Next Steps</w:t>
      </w:r>
    </w:p>
    <w:p w14:paraId="3154FC57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Automate Data Refresh: </w:t>
      </w:r>
      <w:r>
        <w:rPr>
          <w:color w:val="595959"/>
          <w:sz w:val="19"/>
          <w:szCs w:val="19"/>
        </w:rPr>
        <w:t>Implement a scheduled ingestion pipeline (daily or weekly) with deduplication checks to maintain a living, up-to-date intelligence corpus.</w:t>
      </w:r>
    </w:p>
    <w:p w14:paraId="24615539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Complete NLP Enrichment: </w:t>
      </w:r>
      <w:r>
        <w:rPr>
          <w:color w:val="595959"/>
          <w:sz w:val="19"/>
          <w:szCs w:val="19"/>
        </w:rPr>
        <w:t xml:space="preserve">Finalize and validate NLP enrichment modules—named entity recognition, </w:t>
      </w:r>
      <w:proofErr w:type="spellStart"/>
      <w:r>
        <w:rPr>
          <w:color w:val="595959"/>
          <w:sz w:val="19"/>
          <w:szCs w:val="19"/>
        </w:rPr>
        <w:t>keyphrase</w:t>
      </w:r>
      <w:proofErr w:type="spellEnd"/>
      <w:r>
        <w:rPr>
          <w:color w:val="595959"/>
          <w:sz w:val="19"/>
          <w:szCs w:val="19"/>
        </w:rPr>
        <w:t xml:space="preserve"> extraction, and urgency scoring—to enhance analyst-facing summaries.</w:t>
      </w:r>
    </w:p>
    <w:p w14:paraId="450F275A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rPr>
          <w:b/>
          <w:bCs/>
          <w:color w:val="1B2A45"/>
          <w:sz w:val="19"/>
          <w:szCs w:val="19"/>
        </w:rPr>
        <w:t>Establish Evaluation</w:t>
      </w:r>
      <w:proofErr w:type="gramEnd"/>
      <w:r>
        <w:rPr>
          <w:b/>
          <w:bCs/>
          <w:color w:val="1B2A45"/>
          <w:sz w:val="19"/>
          <w:szCs w:val="19"/>
        </w:rPr>
        <w:t xml:space="preserve"> Benchmarks: </w:t>
      </w:r>
      <w:r>
        <w:rPr>
          <w:color w:val="595959"/>
          <w:sz w:val="19"/>
          <w:szCs w:val="19"/>
        </w:rPr>
        <w:t>Develop a labeled evaluation dataset to formally measure cluster coherence, RAG retrieval quality, and signal ranking accuracy.</w:t>
      </w:r>
    </w:p>
    <w:p w14:paraId="716571A6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Broaden Source Coverage: </w:t>
      </w:r>
      <w:r>
        <w:rPr>
          <w:color w:val="595959"/>
          <w:sz w:val="19"/>
          <w:szCs w:val="19"/>
        </w:rPr>
        <w:t>Expand coverage to include international regulatory feeds and premium fraud intelligence databases as the platform matures.</w:t>
      </w:r>
    </w:p>
    <w:p w14:paraId="5BC5D1DB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Production Hardening: </w:t>
      </w:r>
      <w:r>
        <w:rPr>
          <w:color w:val="595959"/>
          <w:sz w:val="19"/>
          <w:szCs w:val="19"/>
        </w:rPr>
        <w:t>Introduce role-based user accounts, audit logging, and API access controls to support multi-stakeholder deployment.</w:t>
      </w:r>
    </w:p>
    <w:p w14:paraId="4F10B5C5" w14:textId="77777777" w:rsidR="00893C6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B2A45"/>
          <w:sz w:val="19"/>
          <w:szCs w:val="19"/>
        </w:rPr>
        <w:t xml:space="preserve">Workflow Integration: </w:t>
      </w:r>
      <w:r>
        <w:rPr>
          <w:color w:val="595959"/>
          <w:sz w:val="19"/>
          <w:szCs w:val="19"/>
        </w:rPr>
        <w:t>Integrate the alert engine with downstream workflows—SIEM platforms, case management systems, or Slack/email channels—to reduce response lag.</w:t>
      </w:r>
    </w:p>
    <w:p w14:paraId="4F1A2008" w14:textId="77777777" w:rsidR="00893C65" w:rsidRDefault="00893C65">
      <w:pPr>
        <w:spacing w:before="40"/>
      </w:pPr>
    </w:p>
    <w:p w14:paraId="384BA81A" w14:textId="77777777" w:rsidR="00893C65" w:rsidRDefault="00893C65">
      <w:pPr>
        <w:pBdr>
          <w:bottom w:val="single" w:sz="4" w:space="1" w:color="007A6E"/>
        </w:pBdr>
        <w:spacing w:before="80" w:after="80"/>
      </w:pPr>
    </w:p>
    <w:p w14:paraId="497CB514" w14:textId="77777777" w:rsidR="00893C65" w:rsidRDefault="00000000">
      <w:pPr>
        <w:spacing w:before="40"/>
      </w:pPr>
      <w:r>
        <w:rPr>
          <w:i/>
          <w:iCs/>
          <w:color w:val="999999"/>
          <w:sz w:val="16"/>
          <w:szCs w:val="16"/>
        </w:rPr>
        <w:t>Pickaxe Analytics was developed as a capstone deliverable for DSBA 6390 at UNC Charlotte. Repository: github.com/owilli38/DSBA6390-Fraud-Detection-Emerging-Fraud-Signals-Dashbaord-</w:t>
      </w:r>
    </w:p>
    <w:sectPr w:rsidR="00893C65">
      <w:headerReference w:type="default" r:id="rId7"/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455C6" w14:textId="77777777" w:rsidR="00F21E02" w:rsidRDefault="00F21E02">
      <w:r>
        <w:separator/>
      </w:r>
    </w:p>
  </w:endnote>
  <w:endnote w:type="continuationSeparator" w:id="0">
    <w:p w14:paraId="25D8610C" w14:textId="77777777" w:rsidR="00F21E02" w:rsidRDefault="00F2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82BE1" w14:textId="77777777" w:rsidR="00F21E02" w:rsidRDefault="00F21E02">
      <w:r>
        <w:separator/>
      </w:r>
    </w:p>
  </w:footnote>
  <w:footnote w:type="continuationSeparator" w:id="0">
    <w:p w14:paraId="0990D501" w14:textId="77777777" w:rsidR="00F21E02" w:rsidRDefault="00F21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720"/>
    </w:tblGrid>
    <w:tr w:rsidR="00893C65" w14:paraId="66434D80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5"/>
          <w:tcMar>
            <w:top w:w="120" w:type="dxa"/>
            <w:left w:w="160" w:type="dxa"/>
            <w:bottom w:w="120" w:type="dxa"/>
            <w:right w:w="160" w:type="dxa"/>
          </w:tcMar>
          <w:vAlign w:val="center"/>
        </w:tcPr>
        <w:p w14:paraId="45398D86" w14:textId="77777777" w:rsidR="00893C65" w:rsidRDefault="00000000">
          <w:r>
            <w:rPr>
              <w:b/>
              <w:bCs/>
              <w:color w:val="FFFFFF"/>
              <w:sz w:val="22"/>
              <w:szCs w:val="22"/>
            </w:rPr>
            <w:t xml:space="preserve">PICKAXE </w:t>
          </w:r>
          <w:proofErr w:type="gramStart"/>
          <w:r>
            <w:rPr>
              <w:b/>
              <w:bCs/>
              <w:color w:val="FFFFFF"/>
              <w:sz w:val="22"/>
              <w:szCs w:val="22"/>
            </w:rPr>
            <w:t>ANALYTICS</w:t>
          </w:r>
          <w:r>
            <w:rPr>
              <w:color w:val="A8C8C0"/>
              <w:sz w:val="19"/>
              <w:szCs w:val="19"/>
            </w:rPr>
            <w:t xml:space="preserve">  |</w:t>
          </w:r>
          <w:proofErr w:type="gramEnd"/>
          <w:r>
            <w:rPr>
              <w:color w:val="A8C8C0"/>
              <w:sz w:val="19"/>
              <w:szCs w:val="19"/>
            </w:rPr>
            <w:t xml:space="preserve">  Executive Summary</w:t>
          </w:r>
        </w:p>
      </w:tc>
      <w:tc>
        <w:tcPr>
          <w:tcW w:w="3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7A6E"/>
          <w:tcMar>
            <w:top w:w="120" w:type="dxa"/>
            <w:left w:w="160" w:type="dxa"/>
            <w:bottom w:w="120" w:type="dxa"/>
            <w:right w:w="160" w:type="dxa"/>
          </w:tcMar>
          <w:vAlign w:val="center"/>
        </w:tcPr>
        <w:p w14:paraId="4BF7389A" w14:textId="77777777" w:rsidR="00893C65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 xml:space="preserve">DSBA </w:t>
          </w:r>
          <w:proofErr w:type="gramStart"/>
          <w:r>
            <w:rPr>
              <w:color w:val="FFFFFF"/>
              <w:sz w:val="18"/>
              <w:szCs w:val="18"/>
            </w:rPr>
            <w:t>6390  |</w:t>
          </w:r>
          <w:proofErr w:type="gramEnd"/>
          <w:r>
            <w:rPr>
              <w:color w:val="FFFFFF"/>
              <w:sz w:val="18"/>
              <w:szCs w:val="18"/>
            </w:rPr>
            <w:t xml:space="preserve">  April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3B2"/>
    <w:multiLevelType w:val="hybridMultilevel"/>
    <w:tmpl w:val="777C329E"/>
    <w:lvl w:ilvl="0" w:tplc="4C0025D6">
      <w:start w:val="1"/>
      <w:numFmt w:val="bullet"/>
      <w:lvlText w:val="•"/>
      <w:lvlJc w:val="left"/>
      <w:pPr>
        <w:ind w:left="540" w:hanging="270"/>
      </w:pPr>
    </w:lvl>
    <w:lvl w:ilvl="1" w:tplc="EA1000B6">
      <w:numFmt w:val="decimal"/>
      <w:lvlText w:val=""/>
      <w:lvlJc w:val="left"/>
    </w:lvl>
    <w:lvl w:ilvl="2" w:tplc="8F00761C">
      <w:numFmt w:val="decimal"/>
      <w:lvlText w:val=""/>
      <w:lvlJc w:val="left"/>
    </w:lvl>
    <w:lvl w:ilvl="3" w:tplc="868ADC12">
      <w:numFmt w:val="decimal"/>
      <w:lvlText w:val=""/>
      <w:lvlJc w:val="left"/>
    </w:lvl>
    <w:lvl w:ilvl="4" w:tplc="1ACA02D2">
      <w:numFmt w:val="decimal"/>
      <w:lvlText w:val=""/>
      <w:lvlJc w:val="left"/>
    </w:lvl>
    <w:lvl w:ilvl="5" w:tplc="75860ED8">
      <w:numFmt w:val="decimal"/>
      <w:lvlText w:val=""/>
      <w:lvlJc w:val="left"/>
    </w:lvl>
    <w:lvl w:ilvl="6" w:tplc="D7243974">
      <w:numFmt w:val="decimal"/>
      <w:lvlText w:val=""/>
      <w:lvlJc w:val="left"/>
    </w:lvl>
    <w:lvl w:ilvl="7" w:tplc="6896D67C">
      <w:numFmt w:val="decimal"/>
      <w:lvlText w:val=""/>
      <w:lvlJc w:val="left"/>
    </w:lvl>
    <w:lvl w:ilvl="8" w:tplc="FD86AF26">
      <w:numFmt w:val="decimal"/>
      <w:lvlText w:val=""/>
      <w:lvlJc w:val="left"/>
    </w:lvl>
  </w:abstractNum>
  <w:abstractNum w:abstractNumId="1" w15:restartNumberingAfterBreak="0">
    <w:nsid w:val="402935A3"/>
    <w:multiLevelType w:val="hybridMultilevel"/>
    <w:tmpl w:val="F6407E0E"/>
    <w:lvl w:ilvl="0" w:tplc="53C291AC">
      <w:start w:val="1"/>
      <w:numFmt w:val="bullet"/>
      <w:lvlText w:val="●"/>
      <w:lvlJc w:val="left"/>
      <w:pPr>
        <w:ind w:left="720" w:hanging="360"/>
      </w:pPr>
    </w:lvl>
    <w:lvl w:ilvl="1" w:tplc="EABE0008">
      <w:start w:val="1"/>
      <w:numFmt w:val="bullet"/>
      <w:lvlText w:val="○"/>
      <w:lvlJc w:val="left"/>
      <w:pPr>
        <w:ind w:left="1440" w:hanging="360"/>
      </w:pPr>
    </w:lvl>
    <w:lvl w:ilvl="2" w:tplc="7F021450">
      <w:start w:val="1"/>
      <w:numFmt w:val="bullet"/>
      <w:lvlText w:val="■"/>
      <w:lvlJc w:val="left"/>
      <w:pPr>
        <w:ind w:left="2160" w:hanging="360"/>
      </w:pPr>
    </w:lvl>
    <w:lvl w:ilvl="3" w:tplc="AEC07FC6">
      <w:start w:val="1"/>
      <w:numFmt w:val="bullet"/>
      <w:lvlText w:val="●"/>
      <w:lvlJc w:val="left"/>
      <w:pPr>
        <w:ind w:left="2880" w:hanging="360"/>
      </w:pPr>
    </w:lvl>
    <w:lvl w:ilvl="4" w:tplc="53EA9550">
      <w:start w:val="1"/>
      <w:numFmt w:val="bullet"/>
      <w:lvlText w:val="○"/>
      <w:lvlJc w:val="left"/>
      <w:pPr>
        <w:ind w:left="3600" w:hanging="360"/>
      </w:pPr>
    </w:lvl>
    <w:lvl w:ilvl="5" w:tplc="8C4233F2">
      <w:start w:val="1"/>
      <w:numFmt w:val="bullet"/>
      <w:lvlText w:val="■"/>
      <w:lvlJc w:val="left"/>
      <w:pPr>
        <w:ind w:left="4320" w:hanging="360"/>
      </w:pPr>
    </w:lvl>
    <w:lvl w:ilvl="6" w:tplc="36B2A6FE">
      <w:start w:val="1"/>
      <w:numFmt w:val="bullet"/>
      <w:lvlText w:val="●"/>
      <w:lvlJc w:val="left"/>
      <w:pPr>
        <w:ind w:left="5040" w:hanging="360"/>
      </w:pPr>
    </w:lvl>
    <w:lvl w:ilvl="7" w:tplc="F92EE05E">
      <w:start w:val="1"/>
      <w:numFmt w:val="bullet"/>
      <w:lvlText w:val="●"/>
      <w:lvlJc w:val="left"/>
      <w:pPr>
        <w:ind w:left="5760" w:hanging="360"/>
      </w:pPr>
    </w:lvl>
    <w:lvl w:ilvl="8" w:tplc="F1EA254C">
      <w:start w:val="1"/>
      <w:numFmt w:val="bullet"/>
      <w:lvlText w:val="●"/>
      <w:lvlJc w:val="left"/>
      <w:pPr>
        <w:ind w:left="6480" w:hanging="360"/>
      </w:pPr>
    </w:lvl>
  </w:abstractNum>
  <w:num w:numId="1" w16cid:durableId="1898513523">
    <w:abstractNumId w:val="1"/>
    <w:lvlOverride w:ilvl="0">
      <w:startOverride w:val="1"/>
    </w:lvlOverride>
  </w:num>
  <w:num w:numId="2" w16cid:durableId="593317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C65"/>
    <w:rsid w:val="001F54AC"/>
    <w:rsid w:val="00816234"/>
    <w:rsid w:val="00893C65"/>
    <w:rsid w:val="00F2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CDCD"/>
  <w15:docId w15:val="{0A3E860E-E0D7-4505-B70F-4472D94C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2A45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007A6E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 Pierson</cp:lastModifiedBy>
  <cp:revision>2</cp:revision>
  <dcterms:created xsi:type="dcterms:W3CDTF">2026-04-26T04:27:00Z</dcterms:created>
  <dcterms:modified xsi:type="dcterms:W3CDTF">2026-04-26T04:29:00Z</dcterms:modified>
</cp:coreProperties>
</file>