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Pickaxe Analytics</w:t>
      </w:r>
    </w:p>
    <w:p>
      <w:pPr>
        <w:spacing w:after="60"/>
        <w:jc w:val="center"/>
      </w:pPr>
      <w:r>
        <w:rPr>
          <w:rFonts w:ascii="Arial" w:cs="Arial" w:eastAsia="Arial" w:hAnsi="Arial"/>
          <w:b/>
          <w:bCs/>
          <w:sz w:val="32"/>
          <w:szCs w:val="32"/>
        </w:rPr>
        <w:t xml:space="preserve">RAG Documentation</w:t>
      </w:r>
    </w:p>
    <w:p>
      <w:pPr>
        <w:spacing w:after="360"/>
        <w:jc w:val="center"/>
      </w:pPr>
      <w:r>
        <w:rPr>
          <w:rFonts w:ascii="Arial" w:cs="Arial" w:eastAsia="Arial" w:hAnsi="Arial"/>
          <w:i/>
          <w:iCs/>
          <w:sz w:val="22"/>
          <w:szCs w:val="22"/>
        </w:rPr>
        <w:t xml:space="preserve">Fraud Intelligence Dashboard</w:t>
      </w:r>
      <w:r>
        <w:rPr>
          <w:rFonts w:ascii="Arial" w:cs="Arial" w:eastAsia="Arial" w:hAnsi="Arial"/>
          <w:i/>
          <w:iCs/>
          <w:sz w:val="22"/>
          <w:szCs w:val="22"/>
        </w:rPr>
        <w:t xml:space="preserve">
Final Handoff Deliverable</w:t>
      </w:r>
      <w:r>
        <w:rPr>
          <w:rFonts w:ascii="Arial" w:cs="Arial" w:eastAsia="Arial" w:hAnsi="Arial"/>
          <w:i/>
          <w:iCs/>
          <w:sz w:val="22"/>
          <w:szCs w:val="22"/>
        </w:rPr>
        <w:t xml:space="preserve">
Version 1.0 — April 2026</w:t>
      </w:r>
    </w:p>
    <w:p>
      <w:pPr>
        <w:pStyle w:val="Heading1"/>
        <w:spacing w:after="180" w:before="360"/>
      </w:pPr>
      <w:r>
        <w:rPr>
          <w:rFonts w:ascii="Arial" w:cs="Arial" w:eastAsia="Arial" w:hAnsi="Arial"/>
          <w:b/>
          <w:bCs/>
          <w:sz w:val="32"/>
          <w:szCs w:val="32"/>
        </w:rPr>
        <w:t xml:space="preserve">1. Corpus Description</w:t>
      </w:r>
    </w:p>
    <w:p>
      <w:pPr>
        <w:spacing w:after="120"/>
      </w:pPr>
      <w:r>
        <w:rPr>
          <w:rFonts w:ascii="Arial" w:cs="Arial" w:eastAsia="Arial" w:hAnsi="Arial"/>
        </w:rPr>
        <w:t xml:space="preserve">The RAG corpus contains public news and blog articles related to fraud, financial crime, payments, banking, cybersecurity, and emerging technology risks.</w:t>
      </w:r>
    </w:p>
    <w:p>
      <w:pPr>
        <w:pStyle w:val="Heading2"/>
        <w:spacing w:after="120" w:before="240"/>
      </w:pPr>
      <w:r>
        <w:rPr>
          <w:rFonts w:ascii="Arial" w:cs="Arial" w:eastAsia="Arial" w:hAnsi="Arial"/>
          <w:b/>
          <w:bCs/>
          <w:sz w:val="26"/>
          <w:szCs w:val="26"/>
        </w:rPr>
        <w:t xml:space="preserve">Corpus Sources</w:t>
      </w:r>
    </w:p>
    <w:p>
      <w:pPr>
        <w:spacing w:after="120"/>
      </w:pPr>
      <w:r>
        <w:rPr>
          <w:rFonts w:ascii="Arial" w:cs="Arial" w:eastAsia="Arial" w:hAnsi="Arial"/>
        </w:rPr>
        <w:t xml:space="preserve">The corpus is built from four public article sources.</w:t>
      </w:r>
    </w:p>
    <w:p>
      <w:pPr>
        <w:pStyle w:val="ListParagraph"/>
        <w:numPr>
          <w:ilvl w:val="0"/>
          <w:numId w:val="2"/>
        </w:numPr>
        <w:spacing w:after="60"/>
      </w:pPr>
      <w:r>
        <w:rPr>
          <w:rFonts w:ascii="Arial" w:cs="Arial" w:eastAsia="Arial" w:hAnsi="Arial"/>
        </w:rPr>
        <w:t xml:space="preserve">PYMNTS — payments, commerce, fraud, and financial technology news</w:t>
      </w:r>
    </w:p>
    <w:p>
      <w:pPr>
        <w:pStyle w:val="ListParagraph"/>
        <w:numPr>
          <w:ilvl w:val="0"/>
          <w:numId w:val="2"/>
        </w:numPr>
        <w:spacing w:after="60"/>
      </w:pPr>
      <w:r>
        <w:rPr>
          <w:rFonts w:ascii="Arial" w:cs="Arial" w:eastAsia="Arial" w:hAnsi="Arial"/>
        </w:rPr>
        <w:t xml:space="preserve">ACFE — fraud examination, fraud risk, and anti-fraud research content</w:t>
      </w:r>
    </w:p>
    <w:p>
      <w:pPr>
        <w:pStyle w:val="ListParagraph"/>
        <w:numPr>
          <w:ilvl w:val="0"/>
          <w:numId w:val="2"/>
        </w:numPr>
        <w:spacing w:after="60"/>
      </w:pPr>
      <w:r>
        <w:rPr>
          <w:rFonts w:ascii="Arial" w:cs="Arial" w:eastAsia="Arial" w:hAnsi="Arial"/>
        </w:rPr>
        <w:t xml:space="preserve">ABA — banking and fraud-related industry news</w:t>
      </w:r>
    </w:p>
    <w:p>
      <w:pPr>
        <w:pStyle w:val="ListParagraph"/>
        <w:numPr>
          <w:ilvl w:val="0"/>
          <w:numId w:val="2"/>
        </w:numPr>
        <w:spacing w:after="60"/>
      </w:pPr>
      <w:r>
        <w:rPr>
          <w:rFonts w:ascii="Arial" w:cs="Arial" w:eastAsia="Arial" w:hAnsi="Arial"/>
        </w:rPr>
        <w:t xml:space="preserve">TechCrunch — technology, cybersecurity, AI, and digital risk coverage</w:t>
      </w:r>
    </w:p>
    <w:p>
      <w:pPr>
        <w:pStyle w:val="Heading2"/>
        <w:spacing w:after="120" w:before="240"/>
      </w:pPr>
      <w:r>
        <w:rPr>
          <w:rFonts w:ascii="Arial" w:cs="Arial" w:eastAsia="Arial" w:hAnsi="Arial"/>
          <w:b/>
          <w:bCs/>
          <w:sz w:val="26"/>
          <w:szCs w:val="26"/>
        </w:rPr>
        <w:t xml:space="preserve">Corpus Purpose</w:t>
      </w:r>
    </w:p>
    <w:p>
      <w:pPr>
        <w:spacing w:after="120"/>
      </w:pPr>
      <w:r>
        <w:rPr>
          <w:rFonts w:ascii="Arial" w:cs="Arial" w:eastAsia="Arial" w:hAnsi="Arial"/>
        </w:rPr>
        <w:t xml:space="preserve">The corpus supports retrieval of relevant fraud-related articles for:</w:t>
      </w:r>
    </w:p>
    <w:p>
      <w:pPr>
        <w:pStyle w:val="ListParagraph"/>
        <w:numPr>
          <w:ilvl w:val="0"/>
          <w:numId w:val="2"/>
        </w:numPr>
        <w:spacing w:after="60"/>
      </w:pPr>
      <w:r>
        <w:rPr>
          <w:rFonts w:ascii="Arial" w:cs="Arial" w:eastAsia="Arial" w:hAnsi="Arial"/>
        </w:rPr>
        <w:t xml:space="preserve">identifying emerging fraud themes,</w:t>
      </w:r>
    </w:p>
    <w:p>
      <w:pPr>
        <w:pStyle w:val="ListParagraph"/>
        <w:numPr>
          <w:ilvl w:val="0"/>
          <w:numId w:val="2"/>
        </w:numPr>
        <w:spacing w:after="60"/>
      </w:pPr>
      <w:r>
        <w:rPr>
          <w:rFonts w:ascii="Arial" w:cs="Arial" w:eastAsia="Arial" w:hAnsi="Arial"/>
        </w:rPr>
        <w:t xml:space="preserve">summarizing cluster-level patterns,</w:t>
      </w:r>
    </w:p>
    <w:p>
      <w:pPr>
        <w:pStyle w:val="ListParagraph"/>
        <w:numPr>
          <w:ilvl w:val="0"/>
          <w:numId w:val="2"/>
        </w:numPr>
        <w:spacing w:after="60"/>
      </w:pPr>
      <w:r>
        <w:rPr>
          <w:rFonts w:ascii="Arial" w:cs="Arial" w:eastAsia="Arial" w:hAnsi="Arial"/>
        </w:rPr>
        <w:t xml:space="preserve">generating evidence-backed insights,</w:t>
      </w:r>
    </w:p>
    <w:p>
      <w:pPr>
        <w:pStyle w:val="ListParagraph"/>
        <w:numPr>
          <w:ilvl w:val="0"/>
          <w:numId w:val="2"/>
        </w:numPr>
        <w:spacing w:after="60"/>
      </w:pPr>
      <w:r>
        <w:rPr>
          <w:rFonts w:ascii="Arial" w:cs="Arial" w:eastAsia="Arial" w:hAnsi="Arial"/>
        </w:rPr>
        <w:t xml:space="preserve">supporting analyst review in the dashboard.</w:t>
      </w:r>
    </w:p>
    <w:p>
      <w:pPr>
        <w:spacing w:after="120"/>
      </w:pPr>
      <w:r>
        <w:rPr>
          <w:rFonts w:ascii="Arial" w:cs="Arial" w:eastAsia="Arial" w:hAnsi="Arial"/>
        </w:rPr>
        <w:t xml:space="preserve">This corpus does not include proprietary transaction data, customer data, or internal bank records.</w:t>
      </w:r>
    </w:p>
    <w:p>
      <w:pPr>
        <w:pStyle w:val="Heading1"/>
        <w:spacing w:after="180" w:before="360"/>
      </w:pPr>
      <w:r>
        <w:rPr>
          <w:rFonts w:ascii="Arial" w:cs="Arial" w:eastAsia="Arial" w:hAnsi="Arial"/>
          <w:b/>
          <w:bCs/>
          <w:sz w:val="32"/>
          <w:szCs w:val="32"/>
        </w:rPr>
        <w:t xml:space="preserve">2. Metadata, Tags, and Filters</w:t>
      </w:r>
    </w:p>
    <w:p>
      <w:pPr>
        <w:spacing w:after="120"/>
      </w:pPr>
      <w:r>
        <w:rPr>
          <w:rFonts w:ascii="Arial" w:cs="Arial" w:eastAsia="Arial" w:hAnsi="Arial"/>
        </w:rPr>
        <w:t xml:space="preserve">Each article should include metadata that allows the system to filter, trace, and explain retrieved results.</w:t>
      </w:r>
    </w:p>
    <w:p>
      <w:pPr>
        <w:pStyle w:val="Heading2"/>
        <w:spacing w:after="120" w:before="240"/>
      </w:pPr>
      <w:r>
        <w:rPr>
          <w:rFonts w:ascii="Arial" w:cs="Arial" w:eastAsia="Arial" w:hAnsi="Arial"/>
          <w:b/>
          <w:bCs/>
          <w:sz w:val="26"/>
          <w:szCs w:val="26"/>
        </w:rPr>
        <w:t xml:space="preserve">Metadata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doc_id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Unique document identifier</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"c89bc362…"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source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Publisher/source name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PYMNTS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source_type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Source category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news/blog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title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Article headline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Banks Warn of Rising Account Takeover Attempts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url</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Link to original article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article URL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publish_timestamp</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Article publication date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2026-04-26T12:54:31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cleaned_text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Lowercased and whitespace-normalized article text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article body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cluster_id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Assigned cluster/topic group</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stage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Signal lifecycle label</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emerging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growth</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Change in article volume for cluster</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0.42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drift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Semantic movement of cluster centroid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0.19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acceleration</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Change in cluster growth rate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0.08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age_days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Age of cluster/topic</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26</w:t>
            </w:r>
          </w:p>
        </w:tc>
      </w:tr>
    </w:tbl>
    <w:p>
      <w:pPr>
        <w:pStyle w:val="Heading2"/>
        <w:spacing w:after="120" w:before="240"/>
      </w:pPr>
      <w:r>
        <w:rPr>
          <w:rFonts w:ascii="Arial" w:cs="Arial" w:eastAsia="Arial" w:hAnsi="Arial"/>
          <w:b/>
          <w:bCs/>
          <w:sz w:val="26"/>
          <w:szCs w:val="26"/>
        </w:rPr>
        <w:t xml:space="preserve">Tags</w:t>
      </w:r>
    </w:p>
    <w:p>
      <w:pPr>
        <w:spacing w:after="120"/>
      </w:pPr>
      <w:r>
        <w:rPr>
          <w:rFonts w:ascii="Arial" w:cs="Arial" w:eastAsia="Arial" w:hAnsi="Arial"/>
        </w:rPr>
        <w:t xml:space="preserve">Recommended tags for article and cluster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Tag Type</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4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Example Values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Source tag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Filter by publication source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ABA, PYMNTS, TechCrunch, ACFE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theme_label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Identify fraud theme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phishing, account takeover, identity theft, AI fraud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Stage tag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Filter by signal maturity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emerging, trending, stable, established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Risk score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Measures the threat of the cluster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2.50 (0–4 scale)</w:t>
            </w:r>
          </w:p>
        </w:tc>
      </w:tr>
    </w:tbl>
    <w:p>
      <w:pPr>
        <w:pStyle w:val="Heading2"/>
        <w:spacing w:after="120" w:before="240"/>
      </w:pPr>
      <w:r>
        <w:rPr>
          <w:rFonts w:ascii="Arial" w:cs="Arial" w:eastAsia="Arial" w:hAnsi="Arial"/>
          <w:b/>
          <w:bCs/>
          <w:sz w:val="26"/>
          <w:szCs w:val="26"/>
        </w:rPr>
        <w:t xml:space="preserve">Filters</w:t>
      </w:r>
    </w:p>
    <w:p>
      <w:pPr>
        <w:spacing w:after="120"/>
      </w:pPr>
      <w:r>
        <w:rPr>
          <w:rFonts w:ascii="Arial" w:cs="Arial" w:eastAsia="Arial" w:hAnsi="Arial"/>
        </w:rPr>
        <w:t xml:space="preserve">Useful retrieval filters include:</w:t>
      </w:r>
    </w:p>
    <w:p>
      <w:pPr>
        <w:pStyle w:val="ListParagraph"/>
        <w:numPr>
          <w:ilvl w:val="0"/>
          <w:numId w:val="2"/>
        </w:numPr>
        <w:spacing w:after="60"/>
      </w:pPr>
      <w:r>
        <w:rPr>
          <w:rFonts w:ascii="Arial" w:cs="Arial" w:eastAsia="Arial" w:hAnsi="Arial"/>
        </w:rPr>
        <w:t xml:space="preserve">source = PYMNTS, ABA, TechCrunch, or ACFE</w:t>
      </w:r>
    </w:p>
    <w:p>
      <w:pPr>
        <w:pStyle w:val="ListParagraph"/>
        <w:numPr>
          <w:ilvl w:val="0"/>
          <w:numId w:val="2"/>
        </w:numPr>
        <w:spacing w:after="60"/>
      </w:pPr>
      <w:r>
        <w:rPr>
          <w:rFonts w:ascii="Arial" w:cs="Arial" w:eastAsia="Arial" w:hAnsi="Arial"/>
        </w:rPr>
        <w:t xml:space="preserve">publish date range</w:t>
      </w:r>
    </w:p>
    <w:p>
      <w:pPr>
        <w:pStyle w:val="ListParagraph"/>
        <w:numPr>
          <w:ilvl w:val="0"/>
          <w:numId w:val="2"/>
        </w:numPr>
        <w:spacing w:after="60"/>
      </w:pPr>
      <w:r>
        <w:rPr>
          <w:rFonts w:ascii="Arial" w:cs="Arial" w:eastAsia="Arial" w:hAnsi="Arial"/>
        </w:rPr>
        <w:t xml:space="preserve">cluster ID</w:t>
      </w:r>
    </w:p>
    <w:p>
      <w:pPr>
        <w:pStyle w:val="ListParagraph"/>
        <w:numPr>
          <w:ilvl w:val="0"/>
          <w:numId w:val="2"/>
        </w:numPr>
        <w:spacing w:after="60"/>
      </w:pPr>
      <w:r>
        <w:rPr>
          <w:rFonts w:ascii="Arial" w:cs="Arial" w:eastAsia="Arial" w:hAnsi="Arial"/>
        </w:rPr>
        <w:t xml:space="preserve">stage label</w:t>
      </w:r>
    </w:p>
    <w:p>
      <w:pPr>
        <w:pStyle w:val="ListParagraph"/>
        <w:numPr>
          <w:ilvl w:val="0"/>
          <w:numId w:val="2"/>
        </w:numPr>
        <w:spacing w:after="60"/>
      </w:pPr>
      <w:r>
        <w:rPr>
          <w:rFonts w:ascii="Arial" w:cs="Arial" w:eastAsia="Arial" w:hAnsi="Arial"/>
        </w:rPr>
        <w:t xml:space="preserve">topic keyword</w:t>
      </w:r>
    </w:p>
    <w:p>
      <w:pPr>
        <w:pStyle w:val="ListParagraph"/>
        <w:numPr>
          <w:ilvl w:val="0"/>
          <w:numId w:val="2"/>
        </w:numPr>
        <w:spacing w:after="60"/>
      </w:pPr>
      <w:r>
        <w:rPr>
          <w:rFonts w:ascii="Arial" w:cs="Arial" w:eastAsia="Arial" w:hAnsi="Arial"/>
        </w:rPr>
        <w:t xml:space="preserve">age_days range</w:t>
      </w:r>
    </w:p>
    <w:p>
      <w:pPr>
        <w:spacing w:after="120"/>
      </w:pPr>
      <w:r>
        <w:rPr>
          <w:rFonts w:ascii="Arial" w:cs="Arial" w:eastAsia="Arial" w:hAnsi="Arial"/>
        </w:rPr>
        <w:t xml:space="preserve">Example — retrieve articles where:</w:t>
      </w:r>
    </w:p>
    <w:p>
      <w:pPr>
        <w:shd w:fill="F2F2F2" w:val="clear"/>
        <w:spacing w:after="120" w:before="60" w:line="260"/>
      </w:pPr>
      <w:r>
        <w:rPr>
          <w:rFonts w:ascii="Consolas" w:cs="Consolas" w:eastAsia="Consolas" w:hAnsi="Consolas"/>
          <w:sz w:val="20"/>
          <w:szCs w:val="20"/>
        </w:rPr>
        <w:t xml:space="preserve">source = PYMNTS</w:t>
      </w:r>
      <w:r>
        <w:rPr>
          <w:rFonts w:ascii="Consolas" w:cs="Consolas" w:eastAsia="Consolas" w:hAnsi="Consolas"/>
          <w:sz w:val="20"/>
          <w:szCs w:val="20"/>
        </w:rPr>
        <w:br/>
        <w:t xml:space="preserve">stage = emerging</w:t>
      </w:r>
      <w:r>
        <w:rPr>
          <w:rFonts w:ascii="Consolas" w:cs="Consolas" w:eastAsia="Consolas" w:hAnsi="Consolas"/>
          <w:sz w:val="20"/>
          <w:szCs w:val="20"/>
        </w:rPr>
        <w:br/>
        <w:t xml:space="preserve">publish_timestamp within last 30 days</w:t>
      </w:r>
      <w:r>
        <w:rPr>
          <w:rFonts w:ascii="Consolas" w:cs="Consolas" w:eastAsia="Consolas" w:hAnsi="Consolas"/>
          <w:sz w:val="20"/>
          <w:szCs w:val="20"/>
        </w:rPr>
        <w:br/>
        <w:t xml:space="preserve">similarity_score &gt; threshold</w:t>
      </w:r>
    </w:p>
    <w:p>
      <w:pPr>
        <w:pStyle w:val="Heading1"/>
        <w:spacing w:after="180" w:before="360"/>
      </w:pPr>
      <w:r>
        <w:rPr>
          <w:rFonts w:ascii="Arial" w:cs="Arial" w:eastAsia="Arial" w:hAnsi="Arial"/>
          <w:b/>
          <w:bCs/>
          <w:sz w:val="32"/>
          <w:szCs w:val="32"/>
        </w:rPr>
        <w:t xml:space="preserve">3. Ingestion and Chunking</w:t>
      </w:r>
    </w:p>
    <w:p>
      <w:pPr>
        <w:spacing w:after="120"/>
      </w:pPr>
      <w:r>
        <w:rPr>
          <w:rFonts w:ascii="Arial" w:cs="Arial" w:eastAsia="Arial" w:hAnsi="Arial"/>
        </w:rPr>
        <w:t xml:space="preserve">Articles enter the corpus through the Data Processing and Ingestion Pipeline notebook, are cleaned and deduplicated, and then land in the articles_v1 Supabase table. From there, embed_articles.py is responsible for turning raw_text into a vector that lives in article_embeddings_v2.</w:t>
      </w:r>
    </w:p>
    <w:p>
      <w:pPr>
        <w:pStyle w:val="Heading2"/>
        <w:spacing w:after="120" w:before="240"/>
      </w:pPr>
      <w:r>
        <w:rPr>
          <w:rFonts w:ascii="Arial" w:cs="Arial" w:eastAsia="Arial" w:hAnsi="Arial"/>
          <w:b/>
          <w:bCs/>
          <w:sz w:val="26"/>
          <w:szCs w:val="26"/>
        </w:rPr>
        <w:t xml:space="preserve">3.1 Source Acquisition</w:t>
      </w:r>
    </w:p>
    <w:p>
      <w:pPr>
        <w:spacing w:after="120"/>
      </w:pPr>
      <w:r>
        <w:rPr>
          <w:rFonts w:ascii="Arial" w:cs="Arial" w:eastAsia="Arial" w:hAnsi="Arial"/>
        </w:rPr>
        <w:t xml:space="preserve">Each of the four sources (PYMNTS, ACFE, ABA, TechCrunch) is scraped or pulled from its public RSS / blog index. Articles are written into the articles_v1 table with a stable doc_id (a content hash), the original URL, the publish timestamp, the source name, the article title, and a raw_text body.</w:t>
      </w:r>
    </w:p>
    <w:p>
      <w:pPr>
        <w:spacing w:after="120"/>
      </w:pPr>
      <w:r>
        <w:rPr>
          <w:rFonts w:ascii="Arial" w:cs="Arial" w:eastAsia="Arial" w:hAnsi="Arial"/>
        </w:rPr>
        <w:t xml:space="preserve">The ingestion pipeline is responsible for the following normalization steps before insert:</w:t>
      </w:r>
    </w:p>
    <w:p>
      <w:pPr>
        <w:pStyle w:val="ListParagraph"/>
        <w:numPr>
          <w:ilvl w:val="0"/>
          <w:numId w:val="2"/>
        </w:numPr>
        <w:spacing w:after="60"/>
      </w:pPr>
      <w:r>
        <w:rPr>
          <w:rFonts w:ascii="Arial" w:cs="Arial" w:eastAsia="Arial" w:hAnsi="Arial"/>
        </w:rPr>
        <w:t xml:space="preserve">HTML stripping and boilerplate removal (nav, related-links, ad blocks).</w:t>
      </w:r>
    </w:p>
    <w:p>
      <w:pPr>
        <w:pStyle w:val="ListParagraph"/>
        <w:numPr>
          <w:ilvl w:val="0"/>
          <w:numId w:val="2"/>
        </w:numPr>
        <w:spacing w:after="60"/>
      </w:pPr>
      <w:r>
        <w:rPr>
          <w:rFonts w:ascii="Arial" w:cs="Arial" w:eastAsia="Arial" w:hAnsi="Arial"/>
        </w:rPr>
        <w:t xml:space="preserve">Whitespace and unicode normalization — collapsing repeated whitespace, normalizing curly quotes.</w:t>
      </w:r>
    </w:p>
    <w:p>
      <w:pPr>
        <w:pStyle w:val="ListParagraph"/>
        <w:numPr>
          <w:ilvl w:val="0"/>
          <w:numId w:val="2"/>
        </w:numPr>
        <w:spacing w:after="60"/>
      </w:pPr>
      <w:r>
        <w:rPr>
          <w:rFonts w:ascii="Arial" w:cs="Arial" w:eastAsia="Arial" w:hAnsi="Arial"/>
        </w:rPr>
        <w:t xml:space="preserve">Deduplication on doc_id so the same article is never embedded twice.</w:t>
      </w:r>
    </w:p>
    <w:p>
      <w:pPr>
        <w:pStyle w:val="ListParagraph"/>
        <w:numPr>
          <w:ilvl w:val="0"/>
          <w:numId w:val="2"/>
        </w:numPr>
        <w:spacing w:after="60"/>
      </w:pPr>
      <w:r>
        <w:rPr>
          <w:rFonts w:ascii="Arial" w:cs="Arial" w:eastAsia="Arial" w:hAnsi="Arial"/>
        </w:rPr>
        <w:t xml:space="preserve">Language filtering — only English articles are kept; non-English content is dropped.</w:t>
      </w:r>
    </w:p>
    <w:p>
      <w:pPr>
        <w:pStyle w:val="Heading2"/>
        <w:spacing w:after="120" w:before="240"/>
      </w:pPr>
      <w:r>
        <w:rPr>
          <w:rFonts w:ascii="Arial" w:cs="Arial" w:eastAsia="Arial" w:hAnsi="Arial"/>
          <w:b/>
          <w:bCs/>
          <w:sz w:val="26"/>
          <w:szCs w:val="26"/>
        </w:rPr>
        <w:t xml:space="preserve">3.2 Chunking Strategy</w:t>
      </w:r>
    </w:p>
    <w:p>
      <w:pPr>
        <w:spacing w:after="120"/>
      </w:pPr>
      <w:r>
        <w:rPr>
          <w:rFonts w:ascii="Arial" w:cs="Arial" w:eastAsia="Arial" w:hAnsi="Arial"/>
        </w:rPr>
        <w:t xml:space="preserve">This RAG implementation uses article-level chunking rather than paragraph-level or token-window chunking. A single article produces a single embedding, generated from the first 2,000 characters of raw_text (falling back to the title if raw_text is empty).</w:t>
      </w:r>
    </w:p>
    <w:p>
      <w:pPr>
        <w:spacing w:after="120"/>
      </w:pPr>
      <w:r>
        <w:rPr>
          <w:rFonts w:ascii="Arial" w:cs="Arial" w:eastAsia="Arial" w:hAnsi="Arial"/>
        </w:rPr>
        <w:t xml:space="preserve">This decision is intentional and reflects the retrieval goal: the dashboard surfaces whole articles as evidence, not isolated passages. Article-level chunks keep evidence linkable back to a single source URL and avoid the citation fragmentation that paragraph-level chunking would introduce. The 2,000-character cap keeps embedding latency and Vertex AI cost predictable while still capturing the lead and the substantive body of the typical news article.</w:t>
      </w:r>
    </w:p>
    <w:p>
      <w:pPr>
        <w:spacing w:after="120"/>
      </w:pPr>
      <w:r>
        <w:rPr>
          <w:rFonts w:ascii="Arial" w:cs="Arial" w:eastAsia="Arial" w:hAnsi="Arial"/>
        </w:rPr>
        <w:t xml:space="preserve">Trade-off — articles longer than ~2,000 characters lose the tail. For long-form ACFE research pieces this is a known limitation; future work could split those into sub-chunks while keeping news-style sources at one chunk per article.</w:t>
      </w:r>
    </w:p>
    <w:p>
      <w:pPr>
        <w:pStyle w:val="Heading1"/>
        <w:spacing w:after="180" w:before="360"/>
      </w:pPr>
      <w:r>
        <w:rPr>
          <w:rFonts w:ascii="Arial" w:cs="Arial" w:eastAsia="Arial" w:hAnsi="Arial"/>
          <w:b/>
          <w:bCs/>
          <w:sz w:val="32"/>
          <w:szCs w:val="32"/>
        </w:rPr>
        <w:t xml:space="preserve">4. Embeddings and Vector Store</w:t>
      </w:r>
    </w:p>
    <w:p>
      <w:pPr>
        <w:pStyle w:val="Heading2"/>
        <w:spacing w:after="120" w:before="240"/>
      </w:pPr>
      <w:r>
        <w:rPr>
          <w:rFonts w:ascii="Arial" w:cs="Arial" w:eastAsia="Arial" w:hAnsi="Arial"/>
          <w:b/>
          <w:bCs/>
          <w:sz w:val="26"/>
          <w:szCs w:val="26"/>
        </w:rPr>
        <w:t xml:space="preserve">4.1 Embedding Model</w:t>
      </w:r>
    </w:p>
    <w:p>
      <w:pPr>
        <w:spacing w:after="120"/>
      </w:pPr>
      <w:r>
        <w:rPr>
          <w:rFonts w:ascii="Arial" w:cs="Arial" w:eastAsia="Arial" w:hAnsi="Arial"/>
        </w:rPr>
        <w:t xml:space="preserve">The system uses Vertex AI text-embedding-005, hosted in the us-central1 region of the gen-lang-client-0336229125 GCP project. text-embedding-005 produces 768-dimensional dense vectors and supports task-typed embeddings.</w:t>
      </w:r>
    </w:p>
    <w:p>
      <w:pPr>
        <w:spacing w:after="120"/>
      </w:pPr>
      <w:r>
        <w:rPr>
          <w:rFonts w:ascii="Arial" w:cs="Arial" w:eastAsia="Arial" w:hAnsi="Arial"/>
        </w:rPr>
        <w:t xml:space="preserve">Two task types are used and they must be paired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Task type</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Used for</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Where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RETRIEVAL_DOCUMENT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Embedding the corpus at ingest time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embed_articles.py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RETRIEVAL_QUERY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Embedding the analyst's query at search time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vizdemov4.run_rag()</w:t>
            </w:r>
          </w:p>
        </w:tc>
      </w:tr>
    </w:tbl>
    <w:p>
      <w:pPr>
        <w:spacing w:after="120"/>
      </w:pPr>
      <w:r>
        <w:rPr>
          <w:rFonts w:ascii="Arial" w:cs="Arial" w:eastAsia="Arial" w:hAnsi="Arial"/>
        </w:rPr>
        <w:t xml:space="preserve">Mismatching the task type — for example embedding the corpus with RETRIEVAL_QUERY — degrades cosine similarity quality and is the most common cause of "the search returns nothing relevant" issues.</w:t>
      </w:r>
    </w:p>
    <w:p>
      <w:pPr>
        <w:pStyle w:val="Heading2"/>
        <w:spacing w:after="120" w:before="240"/>
      </w:pPr>
      <w:r>
        <w:rPr>
          <w:rFonts w:ascii="Arial" w:cs="Arial" w:eastAsia="Arial" w:hAnsi="Arial"/>
          <w:b/>
          <w:bCs/>
          <w:sz w:val="26"/>
          <w:szCs w:val="26"/>
        </w:rPr>
        <w:t xml:space="preserve">4.2 Vector Store</w:t>
      </w:r>
    </w:p>
    <w:p>
      <w:pPr>
        <w:spacing w:after="120"/>
      </w:pPr>
      <w:r>
        <w:rPr>
          <w:rFonts w:ascii="Arial" w:cs="Arial" w:eastAsia="Arial" w:hAnsi="Arial"/>
        </w:rPr>
        <w:t xml:space="preserve">Vectors are stored in Supabase Postgres using the pgvector extension. The relevant table is article_embeddings_v2:</w:t>
      </w:r>
    </w:p>
    <w:p>
      <w:pPr>
        <w:shd w:fill="F2F2F2" w:val="clear"/>
        <w:spacing w:after="120" w:before="60" w:line="260"/>
      </w:pPr>
      <w:r>
        <w:rPr>
          <w:rFonts w:ascii="Consolas" w:cs="Consolas" w:eastAsia="Consolas" w:hAnsi="Consolas"/>
          <w:sz w:val="20"/>
          <w:szCs w:val="20"/>
        </w:rPr>
        <w:t xml:space="preserve">CREATE TABLE public.article_embeddings_v2 (</w:t>
      </w:r>
      <w:r>
        <w:rPr>
          <w:rFonts w:ascii="Consolas" w:cs="Consolas" w:eastAsia="Consolas" w:hAnsi="Consolas"/>
          <w:sz w:val="20"/>
          <w:szCs w:val="20"/>
        </w:rPr>
        <w:br/>
        <w:t xml:space="preserve">  doc_id    text NOT NULL,</w:t>
      </w:r>
      <w:r>
        <w:rPr>
          <w:rFonts w:ascii="Consolas" w:cs="Consolas" w:eastAsia="Consolas" w:hAnsi="Consolas"/>
          <w:sz w:val="20"/>
          <w:szCs w:val="20"/>
        </w:rPr>
        <w:br/>
        <w:t xml:space="preserve">  embedding vector(768),</w:t>
      </w:r>
      <w:r>
        <w:rPr>
          <w:rFonts w:ascii="Consolas" w:cs="Consolas" w:eastAsia="Consolas" w:hAnsi="Consolas"/>
          <w:sz w:val="20"/>
          <w:szCs w:val="20"/>
        </w:rPr>
        <w:br/>
        <w:t xml:space="preserve">  PRIMARY KEY (doc_id),</w:t>
      </w:r>
      <w:r>
        <w:rPr>
          <w:rFonts w:ascii="Consolas" w:cs="Consolas" w:eastAsia="Consolas" w:hAnsi="Consolas"/>
          <w:sz w:val="20"/>
          <w:szCs w:val="20"/>
        </w:rPr>
        <w:br/>
        <w:t xml:space="preserve">  FOREIGN KEY (doc_id) REFERENCES public.articles_v1(doc_id)</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CREATE INDEX ON public.article_embeddings_v2</w:t>
      </w:r>
      <w:r>
        <w:rPr>
          <w:rFonts w:ascii="Consolas" w:cs="Consolas" w:eastAsia="Consolas" w:hAnsi="Consolas"/>
          <w:sz w:val="20"/>
          <w:szCs w:val="20"/>
        </w:rPr>
        <w:br/>
        <w:t xml:space="preserve">  USING ivfflat (embedding vector_cosine_ops) WITH (lists = 50);</w:t>
      </w:r>
    </w:p>
    <w:p>
      <w:pPr>
        <w:spacing w:after="120"/>
      </w:pPr>
      <w:r>
        <w:rPr>
          <w:rFonts w:ascii="Arial" w:cs="Arial" w:eastAsia="Arial" w:hAnsi="Arial"/>
        </w:rPr>
        <w:t xml:space="preserve">The ivfflat index uses cosine distance and 50 inverted lists. With ~2,000 articles in the corpus this gives sub-100 ms retrieval latency at top-k = 30. If the corpus grows past ~50,000 articles the lists parameter should be re-tuned (rule of thumb: lists ≈ sqrt(rows)).</w:t>
      </w:r>
    </w:p>
    <w:p>
      <w:pPr>
        <w:spacing w:after="120"/>
      </w:pPr>
      <w:r>
        <w:rPr>
          <w:rFonts w:ascii="Arial" w:cs="Arial" w:eastAsia="Arial" w:hAnsi="Arial"/>
        </w:rPr>
        <w:t xml:space="preserve">The legacy article_embeddings table contains older BERT vectors and is no longer queried by the RAG path. It is kept for backwards compatibility with the original cluster analysis script.</w:t>
      </w:r>
    </w:p>
    <w:p>
      <w:pPr>
        <w:pStyle w:val="Heading2"/>
        <w:spacing w:after="120" w:before="240"/>
      </w:pPr>
      <w:r>
        <w:rPr>
          <w:rFonts w:ascii="Arial" w:cs="Arial" w:eastAsia="Arial" w:hAnsi="Arial"/>
          <w:b/>
          <w:bCs/>
          <w:sz w:val="26"/>
          <w:szCs w:val="26"/>
        </w:rPr>
        <w:t xml:space="preserve">4.3 Embedding Job</w:t>
      </w:r>
    </w:p>
    <w:p>
      <w:pPr>
        <w:spacing w:after="120"/>
      </w:pPr>
      <w:r>
        <w:rPr>
          <w:rFonts w:ascii="Arial" w:cs="Arial" w:eastAsia="Arial" w:hAnsi="Arial"/>
        </w:rPr>
        <w:t xml:space="preserve">embed_articles.py is the one-time / catch-up job that populates article_embeddings_v2. Behaviour:</w:t>
      </w:r>
    </w:p>
    <w:p>
      <w:pPr>
        <w:pStyle w:val="ListParagraph"/>
        <w:numPr>
          <w:ilvl w:val="0"/>
          <w:numId w:val="2"/>
        </w:numPr>
        <w:spacing w:after="60"/>
      </w:pPr>
      <w:r>
        <w:rPr>
          <w:rFonts w:ascii="Arial" w:cs="Arial" w:eastAsia="Arial" w:hAnsi="Arial"/>
        </w:rPr>
        <w:t xml:space="preserve">Selects all doc_ids from articles_v1 and subtracts those already present in article_embeddings_v2 — the job is fully resumable and safe to re-run.</w:t>
      </w:r>
    </w:p>
    <w:p>
      <w:pPr>
        <w:pStyle w:val="ListParagraph"/>
        <w:numPr>
          <w:ilvl w:val="0"/>
          <w:numId w:val="2"/>
        </w:numPr>
        <w:spacing w:after="60"/>
      </w:pPr>
      <w:r>
        <w:rPr>
          <w:rFonts w:ascii="Arial" w:cs="Arial" w:eastAsia="Arial" w:hAnsi="Arial"/>
        </w:rPr>
        <w:t xml:space="preserve">Batches 10 articles per Vertex AI call. Each batch is followed by a 3-second sleep to stay inside the per-minute quota.</w:t>
      </w:r>
    </w:p>
    <w:p>
      <w:pPr>
        <w:pStyle w:val="ListParagraph"/>
        <w:numPr>
          <w:ilvl w:val="0"/>
          <w:numId w:val="2"/>
        </w:numPr>
        <w:spacing w:after="60"/>
      </w:pPr>
      <w:r>
        <w:rPr>
          <w:rFonts w:ascii="Arial" w:cs="Arial" w:eastAsia="Arial" w:hAnsi="Arial"/>
        </w:rPr>
        <w:t xml:space="preserve">Retries on TooManyRequests and ServiceUnavailable with exponential backoff (10 s, 20 s, 40 s, …) up to 5 attempts.</w:t>
      </w:r>
    </w:p>
    <w:p>
      <w:pPr>
        <w:pStyle w:val="ListParagraph"/>
        <w:numPr>
          <w:ilvl w:val="0"/>
          <w:numId w:val="2"/>
        </w:numPr>
        <w:spacing w:after="60"/>
      </w:pPr>
      <w:r>
        <w:rPr>
          <w:rFonts w:ascii="Arial" w:cs="Arial" w:eastAsia="Arial" w:hAnsi="Arial"/>
        </w:rPr>
        <w:t xml:space="preserve">Truncates raw_text to 2,000 characters before embedding.</w:t>
      </w:r>
    </w:p>
    <w:p>
      <w:pPr>
        <w:pStyle w:val="Heading1"/>
        <w:spacing w:after="180" w:before="360"/>
      </w:pPr>
      <w:r>
        <w:rPr>
          <w:rFonts w:ascii="Arial" w:cs="Arial" w:eastAsia="Arial" w:hAnsi="Arial"/>
          <w:b/>
          <w:bCs/>
          <w:sz w:val="32"/>
          <w:szCs w:val="32"/>
        </w:rPr>
        <w:t xml:space="preserve">5. Retrieval Pipeline</w:t>
      </w:r>
    </w:p>
    <w:p>
      <w:pPr>
        <w:spacing w:after="120"/>
      </w:pPr>
      <w:r>
        <w:rPr>
          <w:rFonts w:ascii="Arial" w:cs="Arial" w:eastAsia="Arial" w:hAnsi="Arial"/>
        </w:rPr>
        <w:t xml:space="preserve">Retrieval happens inside run_rag(query, top_k, min_similarity) in vizdemov4 (the current dashboard module — vizdemov4.0.6.py at the time of writing; vizdemov2 is retired). The pipeline is:</w:t>
      </w:r>
    </w:p>
    <w:p>
      <w:pPr>
        <w:shd w:fill="F2F2F2" w:val="clear"/>
        <w:spacing w:after="120" w:before="60" w:line="260"/>
      </w:pPr>
      <w:r>
        <w:rPr>
          <w:rFonts w:ascii="Consolas" w:cs="Consolas" w:eastAsia="Consolas" w:hAnsi="Consolas"/>
          <w:sz w:val="20"/>
          <w:szCs w:val="20"/>
        </w:rPr>
        <w:t xml:space="preserve">query</w:t>
      </w:r>
      <w:r>
        <w:rPr>
          <w:rFonts w:ascii="Consolas" w:cs="Consolas" w:eastAsia="Consolas" w:hAnsi="Consolas"/>
          <w:sz w:val="20"/>
          <w:szCs w:val="20"/>
        </w:rPr>
        <w:br/>
        <w:t xml:space="preserve">  ├─ 1. Domain guard         — Gemini classifies the query as fraud-related (YES/NO)</w:t>
      </w:r>
      <w:r>
        <w:rPr>
          <w:rFonts w:ascii="Consolas" w:cs="Consolas" w:eastAsia="Consolas" w:hAnsi="Consolas"/>
          <w:sz w:val="20"/>
          <w:szCs w:val="20"/>
        </w:rPr>
        <w:br/>
        <w:t xml:space="preserve">  ├─ 2. Embed query          — Vertex AI text-embedding-005 (RETRIEVAL_QUERY)</w:t>
      </w:r>
      <w:r>
        <w:rPr>
          <w:rFonts w:ascii="Consolas" w:cs="Consolas" w:eastAsia="Consolas" w:hAnsi="Consolas"/>
          <w:sz w:val="20"/>
          <w:szCs w:val="20"/>
        </w:rPr>
        <w:br/>
        <w:t xml:space="preserve">  ├─ 3. Vector retrieval     — Supabase match_articles_v2 RPC (pgvector cosine)</w:t>
      </w:r>
      <w:r>
        <w:rPr>
          <w:rFonts w:ascii="Consolas" w:cs="Consolas" w:eastAsia="Consolas" w:hAnsi="Consolas"/>
          <w:sz w:val="20"/>
          <w:szCs w:val="20"/>
        </w:rPr>
        <w:br/>
        <w:t xml:space="preserve">  │                            over-fetches top_k × 3, filters by min_similarity</w:t>
      </w:r>
      <w:r>
        <w:rPr>
          <w:rFonts w:ascii="Consolas" w:cs="Consolas" w:eastAsia="Consolas" w:hAnsi="Consolas"/>
          <w:sz w:val="20"/>
          <w:szCs w:val="20"/>
        </w:rPr>
        <w:br/>
        <w:t xml:space="preserve">  ├─ 4. Relevance filter     — keyword check on raw_text / title</w:t>
      </w:r>
      <w:r>
        <w:rPr>
          <w:rFonts w:ascii="Consolas" w:cs="Consolas" w:eastAsia="Consolas" w:hAnsi="Consolas"/>
          <w:sz w:val="20"/>
          <w:szCs w:val="20"/>
        </w:rPr>
        <w:br/>
        <w:t xml:space="preserve">  ├─ 5. Analysis join        — article_analysis → risk_score, stage, cluster_id</w:t>
      </w:r>
      <w:r>
        <w:rPr>
          <w:rFonts w:ascii="Consolas" w:cs="Consolas" w:eastAsia="Consolas" w:hAnsi="Consolas"/>
          <w:sz w:val="20"/>
          <w:szCs w:val="20"/>
        </w:rPr>
        <w:br/>
        <w:t xml:space="preserve">  ├─ 6. Theme join           — cluster_themes → theme_label</w:t>
      </w:r>
      <w:r>
        <w:rPr>
          <w:rFonts w:ascii="Consolas" w:cs="Consolas" w:eastAsia="Consolas" w:hAnsi="Consolas"/>
          <w:sz w:val="20"/>
          <w:szCs w:val="20"/>
        </w:rPr>
        <w:br/>
        <w:t xml:space="preserve">  ├─ 7. Context build        — structured prompt (title, theme, stage, risk, text)</w:t>
      </w:r>
      <w:r>
        <w:rPr>
          <w:rFonts w:ascii="Consolas" w:cs="Consolas" w:eastAsia="Consolas" w:hAnsi="Consolas"/>
          <w:sz w:val="20"/>
          <w:szCs w:val="20"/>
        </w:rPr>
        <w:br/>
        <w:t xml:space="preserve">  └─ 8. Gemini generation    — structured intelligence brief</w:t>
      </w:r>
    </w:p>
    <w:p>
      <w:pPr>
        <w:pStyle w:val="Heading2"/>
        <w:spacing w:after="120" w:before="240"/>
      </w:pPr>
      <w:r>
        <w:rPr>
          <w:rFonts w:ascii="Arial" w:cs="Arial" w:eastAsia="Arial" w:hAnsi="Arial"/>
          <w:b/>
          <w:bCs/>
          <w:sz w:val="26"/>
          <w:szCs w:val="26"/>
        </w:rPr>
        <w:t xml:space="preserve">5.1 Domain Guard</w:t>
      </w:r>
    </w:p>
    <w:p>
      <w:pPr>
        <w:spacing w:after="120"/>
      </w:pPr>
      <w:r>
        <w:rPr>
          <w:rFonts w:ascii="Arial" w:cs="Arial" w:eastAsia="Arial" w:hAnsi="Arial"/>
        </w:rPr>
        <w:t xml:space="preserve">Before any retrieval happens, the user's query is sent to gemini-2.5-flash-lite with a single classification prompt: "Is this query about fraud, financial crime, payments security, or related risk topics? Answer YES or NO." If the answer is NO, the pipeline short-circuits with an analyst-facing message explaining that the query is out of scope. This prevents the dashboard from generating off-topic briefs and keeps Vertex AI cost bounded.</w:t>
      </w:r>
    </w:p>
    <w:p>
      <w:pPr>
        <w:pStyle w:val="Heading2"/>
        <w:spacing w:after="120" w:before="240"/>
      </w:pPr>
      <w:r>
        <w:rPr>
          <w:rFonts w:ascii="Arial" w:cs="Arial" w:eastAsia="Arial" w:hAnsi="Arial"/>
          <w:b/>
          <w:bCs/>
          <w:sz w:val="26"/>
          <w:szCs w:val="26"/>
        </w:rPr>
        <w:t xml:space="preserve">5.2 Vector Retrieval</w:t>
      </w:r>
    </w:p>
    <w:p>
      <w:pPr>
        <w:spacing w:after="120"/>
      </w:pPr>
      <w:r>
        <w:rPr>
          <w:rFonts w:ascii="Arial" w:cs="Arial" w:eastAsia="Arial" w:hAnsi="Arial"/>
        </w:rPr>
        <w:t xml:space="preserve">Retrieval is performed via the match_articles_v2 RPC, which wraps a pgvector cosine-similarity query:</w:t>
      </w:r>
    </w:p>
    <w:p>
      <w:pPr>
        <w:shd w:fill="F2F2F2" w:val="clear"/>
        <w:spacing w:after="120" w:before="60" w:line="260"/>
      </w:pPr>
      <w:r>
        <w:rPr>
          <w:rFonts w:ascii="Consolas" w:cs="Consolas" w:eastAsia="Consolas" w:hAnsi="Consolas"/>
          <w:sz w:val="20"/>
          <w:szCs w:val="20"/>
        </w:rPr>
        <w:t xml:space="preserve">SELECT a.doc_id, a.title, a.raw_text, a.url, a.publish_timestamp,</w:t>
      </w:r>
      <w:r>
        <w:rPr>
          <w:rFonts w:ascii="Consolas" w:cs="Consolas" w:eastAsia="Consolas" w:hAnsi="Consolas"/>
          <w:sz w:val="20"/>
          <w:szCs w:val="20"/>
        </w:rPr>
        <w:br/>
        <w:t xml:space="preserve">       1 - (e.embedding &lt;=&gt; query_embedding) AS similarity</w:t>
      </w:r>
      <w:r>
        <w:rPr>
          <w:rFonts w:ascii="Consolas" w:cs="Consolas" w:eastAsia="Consolas" w:hAnsi="Consolas"/>
          <w:sz w:val="20"/>
          <w:szCs w:val="20"/>
        </w:rPr>
        <w:br/>
        <w:t xml:space="preserve">FROM article_embeddings_v2 e</w:t>
      </w:r>
      <w:r>
        <w:rPr>
          <w:rFonts w:ascii="Consolas" w:cs="Consolas" w:eastAsia="Consolas" w:hAnsi="Consolas"/>
          <w:sz w:val="20"/>
          <w:szCs w:val="20"/>
        </w:rPr>
        <w:br/>
        <w:t xml:space="preserve">JOIN articles_v1 a ON a.doc_id = e.doc_id</w:t>
      </w:r>
      <w:r>
        <w:rPr>
          <w:rFonts w:ascii="Consolas" w:cs="Consolas" w:eastAsia="Consolas" w:hAnsi="Consolas"/>
          <w:sz w:val="20"/>
          <w:szCs w:val="20"/>
        </w:rPr>
        <w:br/>
        <w:t xml:space="preserve">WHERE 1 - (e.embedding &lt;=&gt; query_embedding) &gt;= min_similarity</w:t>
      </w:r>
      <w:r>
        <w:rPr>
          <w:rFonts w:ascii="Consolas" w:cs="Consolas" w:eastAsia="Consolas" w:hAnsi="Consolas"/>
          <w:sz w:val="20"/>
          <w:szCs w:val="20"/>
        </w:rPr>
        <w:br/>
        <w:t xml:space="preserve">ORDER BY e.embedding &lt;=&gt; query_embedding</w:t>
      </w:r>
      <w:r>
        <w:rPr>
          <w:rFonts w:ascii="Consolas" w:cs="Consolas" w:eastAsia="Consolas" w:hAnsi="Consolas"/>
          <w:sz w:val="20"/>
          <w:szCs w:val="20"/>
        </w:rPr>
        <w:br/>
        <w:t xml:space="preserve">LIMIT match_count;</w:t>
      </w:r>
    </w:p>
    <w:p>
      <w:pPr>
        <w:spacing w:after="120"/>
      </w:pPr>
      <w:r>
        <w:rPr>
          <w:rFonts w:ascii="Arial" w:cs="Arial" w:eastAsia="Arial" w:hAnsi="Arial"/>
        </w:rPr>
        <w:t xml:space="preserve">The pipeline over-fetches (top_k × 3) and then filters in Python using a lightweight keyword overlap check against title and raw_text. This catches the case where the embedding is plausibly close in vector space but the article doesn't actually mention the analyst's terms.</w:t>
      </w:r>
    </w:p>
    <w:p>
      <w:pPr>
        <w:pStyle w:val="Heading2"/>
        <w:spacing w:after="120" w:before="240"/>
      </w:pPr>
      <w:r>
        <w:rPr>
          <w:rFonts w:ascii="Arial" w:cs="Arial" w:eastAsia="Arial" w:hAnsi="Arial"/>
          <w:b/>
          <w:bCs/>
          <w:sz w:val="26"/>
          <w:szCs w:val="26"/>
        </w:rPr>
        <w:t xml:space="preserve">5.3 Default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4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top_k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Final number of articles surfaced to the brief.</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match_count (RPC limit)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top_k × 3 over-fetch before relevance filter.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min_similarity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0.50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Cosine similarity floor. Lower for recall, raise for precision.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task_type (query)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RETRIEVAL_QUERY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Must match how the corpus was embedded.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task_type (corpus)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RETRIEVAL_DOCUMENT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Set in embed_articles.py.</w:t>
            </w:r>
          </w:p>
        </w:tc>
      </w:tr>
    </w:tbl>
    <w:p>
      <w:pPr>
        <w:pStyle w:val="Heading1"/>
        <w:spacing w:after="180" w:before="360"/>
      </w:pPr>
      <w:r>
        <w:rPr>
          <w:rFonts w:ascii="Arial" w:cs="Arial" w:eastAsia="Arial" w:hAnsi="Arial"/>
          <w:b/>
          <w:bCs/>
          <w:sz w:val="32"/>
          <w:szCs w:val="32"/>
        </w:rPr>
        <w:t xml:space="preserve">6. Generation</w:t>
      </w:r>
    </w:p>
    <w:p>
      <w:pPr>
        <w:pStyle w:val="Heading2"/>
        <w:spacing w:after="120" w:before="240"/>
      </w:pPr>
      <w:r>
        <w:rPr>
          <w:rFonts w:ascii="Arial" w:cs="Arial" w:eastAsia="Arial" w:hAnsi="Arial"/>
          <w:b/>
          <w:bCs/>
          <w:sz w:val="26"/>
          <w:szCs w:val="26"/>
        </w:rPr>
        <w:t xml:space="preserve">6.1 Model</w:t>
      </w:r>
    </w:p>
    <w:p>
      <w:pPr>
        <w:spacing w:after="120"/>
      </w:pPr>
      <w:r>
        <w:rPr>
          <w:rFonts w:ascii="Arial" w:cs="Arial" w:eastAsia="Arial" w:hAnsi="Arial"/>
        </w:rPr>
        <w:t xml:space="preserve">Briefs are generated by gemini-2.5-flash-lite via Vertex AI. The model was chosen for its low latency (sub-2-second briefs at the default top_k) and price point — the dashboard is interactive and analysts will not wait for a full-size Gemini Pro call.</w:t>
      </w:r>
    </w:p>
    <w:p>
      <w:pPr>
        <w:pStyle w:val="Heading2"/>
        <w:spacing w:after="120" w:before="240"/>
      </w:pPr>
      <w:r>
        <w:rPr>
          <w:rFonts w:ascii="Arial" w:cs="Arial" w:eastAsia="Arial" w:hAnsi="Arial"/>
          <w:b/>
          <w:bCs/>
          <w:sz w:val="26"/>
          <w:szCs w:val="26"/>
        </w:rPr>
        <w:t xml:space="preserve">6.2 Prompt Structure</w:t>
      </w:r>
    </w:p>
    <w:p>
      <w:pPr>
        <w:spacing w:after="120"/>
      </w:pPr>
      <w:r>
        <w:rPr>
          <w:rFonts w:ascii="Arial" w:cs="Arial" w:eastAsia="Arial" w:hAnsi="Arial"/>
        </w:rPr>
        <w:t xml:space="preserve">The generation prompt is assembled in run_rag() after retrieval. It contains four sections:</w:t>
      </w:r>
    </w:p>
    <w:p>
      <w:pPr>
        <w:pStyle w:val="ListParagraph"/>
        <w:numPr>
          <w:ilvl w:val="0"/>
          <w:numId w:val="2"/>
        </w:numPr>
        <w:spacing w:after="60"/>
      </w:pPr>
      <w:r>
        <w:rPr>
          <w:rFonts w:ascii="Arial" w:cs="Arial" w:eastAsia="Arial" w:hAnsi="Arial"/>
        </w:rPr>
        <w:t xml:space="preserve">System framing — "You are a fraud-intelligence analyst writing a structured brief…"</w:t>
      </w:r>
    </w:p>
    <w:p>
      <w:pPr>
        <w:pStyle w:val="ListParagraph"/>
        <w:numPr>
          <w:ilvl w:val="0"/>
          <w:numId w:val="2"/>
        </w:numPr>
        <w:spacing w:after="60"/>
      </w:pPr>
      <w:r>
        <w:rPr>
          <w:rFonts w:ascii="Arial" w:cs="Arial" w:eastAsia="Arial" w:hAnsi="Arial"/>
        </w:rPr>
        <w:t xml:space="preserve">Output schema — required headings: Summary, Emerging themes, Notable evidence, Risk indicators.</w:t>
      </w:r>
    </w:p>
    <w:p>
      <w:pPr>
        <w:pStyle w:val="ListParagraph"/>
        <w:numPr>
          <w:ilvl w:val="0"/>
          <w:numId w:val="2"/>
        </w:numPr>
        <w:spacing w:after="60"/>
      </w:pPr>
      <w:r>
        <w:rPr>
          <w:rFonts w:ascii="Arial" w:cs="Arial" w:eastAsia="Arial" w:hAnsi="Arial"/>
        </w:rPr>
        <w:t xml:space="preserve">Grounding rules — "Only use facts present in the provided articles. If the corpus does not support a claim, say so. Cite by article title."</w:t>
      </w:r>
    </w:p>
    <w:p>
      <w:pPr>
        <w:pStyle w:val="ListParagraph"/>
        <w:numPr>
          <w:ilvl w:val="0"/>
          <w:numId w:val="2"/>
        </w:numPr>
        <w:spacing w:after="60"/>
      </w:pPr>
      <w:r>
        <w:rPr>
          <w:rFonts w:ascii="Arial" w:cs="Arial" w:eastAsia="Arial" w:hAnsi="Arial"/>
        </w:rPr>
        <w:t xml:space="preserve">Context block — for each retrieved article: title, theme_label, stage, risk_score, similarity, and the cleaned text.</w:t>
      </w:r>
    </w:p>
    <w:p>
      <w:pPr>
        <w:pStyle w:val="Heading2"/>
        <w:spacing w:after="120" w:before="240"/>
      </w:pPr>
      <w:r>
        <w:rPr>
          <w:rFonts w:ascii="Arial" w:cs="Arial" w:eastAsia="Arial" w:hAnsi="Arial"/>
          <w:b/>
          <w:bCs/>
          <w:sz w:val="26"/>
          <w:szCs w:val="26"/>
        </w:rPr>
        <w:t xml:space="preserve">6.3 Citations and Grounding</w:t>
      </w:r>
    </w:p>
    <w:p>
      <w:pPr>
        <w:spacing w:after="120"/>
      </w:pPr>
      <w:r>
        <w:rPr>
          <w:rFonts w:ascii="Arial" w:cs="Arial" w:eastAsia="Arial" w:hAnsi="Arial"/>
        </w:rPr>
        <w:t xml:space="preserve">The brief refers to articles by title. The dashboard renders the retrieved set as a separate evidence panel directly below the brief, where each article shows its title (linked to the original URL), source, publication date, theme, risk score, stage, and similarity. The split keeps the LLM output focused on synthesis while making provenance one click away.</w:t>
      </w:r>
    </w:p>
    <w:p>
      <w:pPr>
        <w:spacing w:after="120"/>
      </w:pPr>
      <w:r>
        <w:rPr>
          <w:rFonts w:ascii="Arial" w:cs="Arial" w:eastAsia="Arial" w:hAnsi="Arial"/>
        </w:rPr>
        <w:t xml:space="preserve">Anti-hallucination measures: the prompt forbids inventing publishers or numbers, the retrieved context is the only authority Gemini sees, and the domain guard prevents the model from being asked questions whose answers cannot live in the corpus.</w:t>
      </w:r>
    </w:p>
    <w:p>
      <w:pPr>
        <w:pStyle w:val="Heading1"/>
        <w:spacing w:after="180" w:before="360"/>
      </w:pPr>
      <w:r>
        <w:rPr>
          <w:rFonts w:ascii="Arial" w:cs="Arial" w:eastAsia="Arial" w:hAnsi="Arial"/>
          <w:b/>
          <w:bCs/>
          <w:sz w:val="32"/>
          <w:szCs w:val="32"/>
        </w:rPr>
        <w:t xml:space="preserve">7. Evaluation</w:t>
      </w:r>
    </w:p>
    <w:p>
      <w:pPr>
        <w:spacing w:after="120"/>
      </w:pPr>
      <w:r>
        <w:rPr>
          <w:rFonts w:ascii="Arial" w:cs="Arial" w:eastAsia="Arial" w:hAnsi="Arial"/>
        </w:rPr>
        <w:t xml:space="preserve">Evaluation of the RAG path is currently lightweight and is the area most in need of follow-up work. The metrics that exist today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How measured</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Retrieval latency (p95)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Streamlit timing around match_articles_v2 RPC</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&lt; 200 ms at top_k = 30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End-to-end brief latency (p95)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Streamlit timing around run_rag()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&lt; 4 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Retrieval recall@10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Spot-checked against an analyst-curated query set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Tracked manually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Brief faithfulness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Manual review — does every claim trace to a retrieved article?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100% of sampled briefs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Domain-guard precision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Reject rate on a set of 20 known-bad queries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 95%</w:t>
            </w:r>
          </w:p>
        </w:tc>
      </w:tr>
    </w:tbl>
    <w:p>
      <w:pPr>
        <w:spacing w:after="120"/>
      </w:pPr>
      <w:r>
        <w:rPr>
          <w:rFonts w:ascii="Arial" w:cs="Arial" w:eastAsia="Arial" w:hAnsi="Arial"/>
        </w:rPr>
        <w:t xml:space="preserve">Suggested follow-up — build an offline evaluation harness that replays a fixed set of analyst queries each release, scores retrieval against a golden set of doc_ids, and runs an LLM-as-judge faithfulness check on the resulting briefs. The README's run_rag() function is already structured to be called outside Streamlit, which makes this straightforward.</w:t>
      </w:r>
    </w:p>
    <w:p>
      <w:pPr>
        <w:pStyle w:val="Heading1"/>
        <w:spacing w:after="180" w:before="360"/>
      </w:pPr>
      <w:r>
        <w:rPr>
          <w:rFonts w:ascii="Arial" w:cs="Arial" w:eastAsia="Arial" w:hAnsi="Arial"/>
          <w:b/>
          <w:bCs/>
          <w:sz w:val="32"/>
          <w:szCs w:val="32"/>
        </w:rPr>
        <w:t xml:space="preserve">8. Operations</w:t>
      </w:r>
    </w:p>
    <w:p>
      <w:pPr>
        <w:pStyle w:val="Heading2"/>
        <w:spacing w:after="120" w:before="240"/>
      </w:pPr>
      <w:r>
        <w:rPr>
          <w:rFonts w:ascii="Arial" w:cs="Arial" w:eastAsia="Arial" w:hAnsi="Arial"/>
          <w:b/>
          <w:bCs/>
          <w:sz w:val="26"/>
          <w:szCs w:val="26"/>
        </w:rPr>
        <w:t xml:space="preserve">8.1 Refresh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Job</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Cadence</w:t>
            </w:r>
          </w:p>
        </w:tc>
        <w:tc>
          <w:tcPr>
            <w:tcW w:type="dxa" w:w="4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Owner / mechanism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Article ingest into articles_v1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Data Processing &amp; Ingestion Pipeline notebook</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embed_articles.py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Daily, after ingest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Resumable script — see Runbook §Embedding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Cluster analysis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cluster_analysis.py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Alert evaluation (risk + stage)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On-demand from dashboard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Run Alert Evaluation button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Alert evaluation (growth, drift, similarity)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Scheduled backend job</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Not yet automated — see Runbook</w:t>
            </w:r>
          </w:p>
        </w:tc>
      </w:tr>
    </w:tbl>
    <w:p>
      <w:pPr>
        <w:pStyle w:val="Heading2"/>
        <w:spacing w:after="120" w:before="240"/>
      </w:pPr>
      <w:r>
        <w:rPr>
          <w:rFonts w:ascii="Arial" w:cs="Arial" w:eastAsia="Arial" w:hAnsi="Arial"/>
          <w:b/>
          <w:bCs/>
          <w:sz w:val="26"/>
          <w:szCs w:val="26"/>
        </w:rPr>
        <w:t xml:space="preserve">8.2 Caching</w:t>
      </w:r>
    </w:p>
    <w:p>
      <w:pPr>
        <w:spacing w:after="120"/>
      </w:pPr>
      <w:r>
        <w:rPr>
          <w:rFonts w:ascii="Arial" w:cs="Arial" w:eastAsia="Arial" w:hAnsi="Arial"/>
        </w:rPr>
        <w:t xml:space="preserve">The dashboard relies on Streamlit caching to keep the RAG path responsive without hammering Supabase or Vertex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Decorator</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Used for</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@st.cache_resource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Supabase client, Vertex AI models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Initialised once per server process.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@st.cache_data(ttl=300)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Most data queries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Cached 5 minutes.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@st.cache_data(ttl=60)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Alerts, watchlists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Cached 1 minute.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@st.cache_data(ttl=600)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Executive brief</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Cached 10 minutes — expensive Gemini call.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st.session_state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RAG results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Persisted within a session, not rerun on rerender.</w:t>
            </w:r>
          </w:p>
        </w:tc>
      </w:tr>
    </w:tbl>
    <w:p>
      <w:pPr>
        <w:pStyle w:val="Heading2"/>
        <w:spacing w:after="120" w:before="240"/>
      </w:pPr>
      <w:r>
        <w:rPr>
          <w:rFonts w:ascii="Arial" w:cs="Arial" w:eastAsia="Arial" w:hAnsi="Arial"/>
          <w:b/>
          <w:bCs/>
          <w:sz w:val="26"/>
          <w:szCs w:val="26"/>
        </w:rPr>
        <w:t xml:space="preserve">8.3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Likely cause</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rFonts w:ascii="Arial" w:cs="Arial" w:eastAsia="Arial" w:hAnsi="Arial"/>
                <w:b/>
                <w:bCs/>
                <w:sz w:val="20"/>
                <w:szCs w:val="20"/>
              </w:rPr>
              <w:t xml:space="preserve">First action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Search returns nothing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Query embedded with wrong task_type, or min_similarity set too high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Verify task_type = RETRIEVAL_QUERY; lower min_similarity to 0.40 and retry.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Brief contradicts the evidence panel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Gemini hallucination or stale cache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Clear st.session_state for the query; re-run.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Embed job stalls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Vertex AI quota exhausted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Wait for quota window; embed_articles.py retries automatically.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Domain guard rejects valid query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Query phrased without fraud terminology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Rephrase using the source vocabulary, e.g. "account takeover" instead of "hacking accounts".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High retrieval latency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ivfflat lists parameter no longer matches corpus size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Re-tune lists ≈ sqrt(rows); REINDEX.</w:t>
            </w:r>
          </w:p>
        </w:tc>
      </w:tr>
    </w:tbl>
    <w:p>
      <w:pPr>
        <w:pStyle w:val="Heading2"/>
        <w:spacing w:after="120" w:before="240"/>
      </w:pPr>
      <w:r>
        <w:rPr>
          <w:rFonts w:ascii="Arial" w:cs="Arial" w:eastAsia="Arial" w:hAnsi="Arial"/>
          <w:b/>
          <w:bCs/>
          <w:sz w:val="26"/>
          <w:szCs w:val="26"/>
        </w:rPr>
        <w:t xml:space="preserve">8.4 Cost Considerations</w:t>
      </w:r>
    </w:p>
    <w:p>
      <w:pPr>
        <w:spacing w:after="120"/>
      </w:pPr>
      <w:r>
        <w:rPr>
          <w:rFonts w:ascii="Arial" w:cs="Arial" w:eastAsia="Arial" w:hAnsi="Arial"/>
        </w:rPr>
        <w:t xml:space="preserve">Vertex AI is the only paid component of the RAG path. Two cost lines matter:</w:t>
      </w:r>
    </w:p>
    <w:p>
      <w:pPr>
        <w:pStyle w:val="ListParagraph"/>
        <w:numPr>
          <w:ilvl w:val="0"/>
          <w:numId w:val="2"/>
        </w:numPr>
        <w:spacing w:after="60"/>
      </w:pPr>
      <w:r>
        <w:rPr>
          <w:rFonts w:ascii="Arial" w:cs="Arial" w:eastAsia="Arial" w:hAnsi="Arial"/>
        </w:rPr>
        <w:t xml:space="preserve">Embeddings — paid per 1k characters, dominated by the daily embed_articles.py run. Capped indirectly by the 2,000-character truncation per article.</w:t>
      </w:r>
    </w:p>
    <w:p>
      <w:pPr>
        <w:pStyle w:val="ListParagraph"/>
        <w:numPr>
          <w:ilvl w:val="0"/>
          <w:numId w:val="2"/>
        </w:numPr>
        <w:spacing w:after="60"/>
      </w:pPr>
      <w:r>
        <w:rPr>
          <w:rFonts w:ascii="Arial" w:cs="Arial" w:eastAsia="Arial" w:hAnsi="Arial"/>
        </w:rPr>
        <w:t xml:space="preserve">Generation — paid per token in/out, dominated by the executive brief and per-query analyst briefs. The 10-minute cache on the executive brief and the session-state cache on per-query briefs are the primary controls here.</w:t>
      </w:r>
    </w:p>
    <w:p>
      <w:pPr>
        <w:spacing w:after="120"/>
      </w:pPr>
      <w:r>
        <w:rPr>
          <w:rFonts w:ascii="Arial" w:cs="Arial" w:eastAsia="Arial" w:hAnsi="Arial"/>
        </w:rPr>
        <w:t xml:space="preserve">The domain guard is itself a Gemini call but is a single short classification and is negligible relative to brief generation.</w:t>
      </w:r>
    </w:p>
    <w:p>
      <w:pPr>
        <w:pStyle w:val="Heading1"/>
        <w:spacing w:after="180" w:before="360"/>
      </w:pPr>
      <w:r>
        <w:rPr>
          <w:rFonts w:ascii="Arial" w:cs="Arial" w:eastAsia="Arial" w:hAnsi="Arial"/>
          <w:b/>
          <w:bCs/>
          <w:sz w:val="32"/>
          <w:szCs w:val="32"/>
        </w:rPr>
        <w:t xml:space="preserve">9. Limitations and Future Work</w:t>
      </w:r>
    </w:p>
    <w:p>
      <w:pPr>
        <w:spacing w:after="120"/>
      </w:pPr>
      <w:r>
        <w:rPr>
          <w:rFonts w:ascii="Arial" w:cs="Arial" w:eastAsia="Arial" w:hAnsi="Arial"/>
        </w:rPr>
        <w:t xml:space="preserve">Known limitations of the RAG path as shipped:</w:t>
      </w:r>
    </w:p>
    <w:p>
      <w:pPr>
        <w:pStyle w:val="ListParagraph"/>
        <w:numPr>
          <w:ilvl w:val="0"/>
          <w:numId w:val="2"/>
        </w:numPr>
        <w:spacing w:after="60"/>
      </w:pPr>
      <w:r>
        <w:rPr>
          <w:rFonts w:ascii="Arial" w:cs="Arial" w:eastAsia="Arial" w:hAnsi="Arial"/>
        </w:rPr>
        <w:t xml:space="preserve">Article-level chunking truncates long-form content past 2,000 characters.</w:t>
      </w:r>
    </w:p>
    <w:p>
      <w:pPr>
        <w:pStyle w:val="ListParagraph"/>
        <w:numPr>
          <w:ilvl w:val="0"/>
          <w:numId w:val="2"/>
        </w:numPr>
        <w:spacing w:after="60"/>
      </w:pPr>
      <w:r>
        <w:rPr>
          <w:rFonts w:ascii="Arial" w:cs="Arial" w:eastAsia="Arial" w:hAnsi="Arial"/>
        </w:rPr>
        <w:t xml:space="preserve">English-only — non-English fraud reporting is dropped at ingest.</w:t>
      </w:r>
    </w:p>
    <w:p>
      <w:pPr>
        <w:pStyle w:val="ListParagraph"/>
        <w:numPr>
          <w:ilvl w:val="0"/>
          <w:numId w:val="2"/>
        </w:numPr>
        <w:spacing w:after="60"/>
      </w:pPr>
      <w:r>
        <w:rPr>
          <w:rFonts w:ascii="Arial" w:cs="Arial" w:eastAsia="Arial" w:hAnsi="Arial"/>
        </w:rPr>
        <w:t xml:space="preserve">No re-ranker — retrieval is pure cosine similarity plus a keyword filter; a cross-encoder re-rank step would improve precision at the top.</w:t>
      </w:r>
    </w:p>
    <w:p>
      <w:pPr>
        <w:pStyle w:val="ListParagraph"/>
        <w:numPr>
          <w:ilvl w:val="0"/>
          <w:numId w:val="2"/>
        </w:numPr>
        <w:spacing w:after="60"/>
      </w:pPr>
      <w:r>
        <w:rPr>
          <w:rFonts w:ascii="Arial" w:cs="Arial" w:eastAsia="Arial" w:hAnsi="Arial"/>
        </w:rPr>
        <w:t xml:space="preserve">No automated evaluation harness — recall and faithfulness are tracked manually.</w:t>
      </w:r>
    </w:p>
    <w:p>
      <w:pPr>
        <w:pStyle w:val="ListParagraph"/>
        <w:numPr>
          <w:ilvl w:val="0"/>
          <w:numId w:val="2"/>
        </w:numPr>
        <w:spacing w:after="60"/>
      </w:pPr>
      <w:r>
        <w:rPr>
          <w:rFonts w:ascii="Arial" w:cs="Arial" w:eastAsia="Arial" w:hAnsi="Arial"/>
        </w:rPr>
        <w:t xml:space="preserve">Public-source-only corpus — proprietary transaction data is intentionally excluded and would require a separate, access-controlled index.</w:t>
      </w:r>
    </w:p>
    <w:p>
      <w:pPr>
        <w:pStyle w:val="ListParagraph"/>
        <w:numPr>
          <w:ilvl w:val="0"/>
          <w:numId w:val="2"/>
        </w:numPr>
        <w:spacing w:after="60"/>
      </w:pPr>
      <w:r>
        <w:rPr>
          <w:rFonts w:ascii="Arial" w:cs="Arial" w:eastAsia="Arial" w:hAnsi="Arial"/>
        </w:rPr>
        <w:t xml:space="preserve">Some alert types (growth, drift, similarity_breakout) require a scheduled job that is not yet wired up.</w:t>
      </w:r>
    </w:p>
    <w:p>
      <w:pPr>
        <w:spacing w:after="120"/>
      </w:pPr>
      <w:r>
        <w:rPr>
          <w:rFonts w:ascii="Arial" w:cs="Arial" w:eastAsia="Arial" w:hAnsi="Arial"/>
        </w:rPr>
        <w:t xml:space="preserve">Suggested follow-up work, in rough priority order:</w:t>
      </w:r>
    </w:p>
    <w:p>
      <w:pPr>
        <w:pStyle w:val="ListParagraph"/>
        <w:numPr>
          <w:ilvl w:val="0"/>
          <w:numId w:val="2"/>
        </w:numPr>
        <w:spacing w:after="60"/>
      </w:pPr>
      <w:r>
        <w:rPr>
          <w:rFonts w:ascii="Arial" w:cs="Arial" w:eastAsia="Arial" w:hAnsi="Arial"/>
        </w:rPr>
        <w:t xml:space="preserve">Build the offline evaluation harness described in §7.</w:t>
      </w:r>
    </w:p>
    <w:p>
      <w:pPr>
        <w:pStyle w:val="ListParagraph"/>
        <w:numPr>
          <w:ilvl w:val="0"/>
          <w:numId w:val="2"/>
        </w:numPr>
        <w:spacing w:after="60"/>
      </w:pPr>
      <w:r>
        <w:rPr>
          <w:rFonts w:ascii="Arial" w:cs="Arial" w:eastAsia="Arial" w:hAnsi="Arial"/>
        </w:rPr>
        <w:t xml:space="preserve">Add a sub-chunking path for long ACFE articles, keyed by doc_id with a chunk_index.</w:t>
      </w:r>
    </w:p>
    <w:p>
      <w:pPr>
        <w:pStyle w:val="ListParagraph"/>
        <w:numPr>
          <w:ilvl w:val="0"/>
          <w:numId w:val="2"/>
        </w:numPr>
        <w:spacing w:after="60"/>
      </w:pPr>
      <w:r>
        <w:rPr>
          <w:rFonts w:ascii="Arial" w:cs="Arial" w:eastAsia="Arial" w:hAnsi="Arial"/>
        </w:rPr>
        <w:t xml:space="preserve">Stand up the scheduled alert evaluation job.</w:t>
      </w:r>
    </w:p>
    <w:p>
      <w:pPr>
        <w:pStyle w:val="ListParagraph"/>
        <w:numPr>
          <w:ilvl w:val="0"/>
          <w:numId w:val="2"/>
        </w:numPr>
        <w:spacing w:after="60"/>
      </w:pPr>
      <w:r>
        <w:rPr>
          <w:rFonts w:ascii="Arial" w:cs="Arial" w:eastAsia="Arial" w:hAnsi="Arial"/>
        </w:rPr>
        <w:t xml:space="preserve">Introduce a cross-encoder re-ranker between vector retrieval and the relevance filter.</w:t>
      </w:r>
    </w:p>
    <w:p>
      <w:pPr>
        <w:pStyle w:val="ListParagraph"/>
        <w:numPr>
          <w:ilvl w:val="0"/>
          <w:numId w:val="2"/>
        </w:numPr>
        <w:spacing w:after="60"/>
      </w:pPr>
      <w:r>
        <w:rPr>
          <w:rFonts w:ascii="Arial" w:cs="Arial" w:eastAsia="Arial" w:hAnsi="Arial"/>
        </w:rPr>
        <w:t xml:space="preserve">Expand source coverage to include FinCEN advisories and selected regulator publications.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Pickaxe Analytics — RAG Documentation</dc:title>
  <dc:creator>Claude</dc:creator>
  <cp:lastModifiedBy>Un-named</cp:lastModifiedBy>
  <cp:revision>1</cp:revision>
  <dcterms:created xsi:type="dcterms:W3CDTF">2026-04-27T00:25:24.417Z</dcterms:created>
  <dcterms:modified xsi:type="dcterms:W3CDTF">2026-04-27T00:25:24.418Z</dcterms:modified>
</cp:coreProperties>
</file>

<file path=docProps/custom.xml><?xml version="1.0" encoding="utf-8"?>
<Properties xmlns="http://schemas.openxmlformats.org/officeDocument/2006/custom-properties" xmlns:vt="http://schemas.openxmlformats.org/officeDocument/2006/docPropsVTypes"/>
</file>