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Идентитет, аудит, могућност посматрања система и конфигурација</w:t>
      </w:r>
    </w:p>
    <w:p>
      <w:pPr>
        <w:pStyle w:val="Subtitle"/>
      </w:pPr>
      <w:r>
        <w:t>Основе дистрибуираног програмирања  ·  03</w:t>
      </w:r>
    </w:p>
    <w:p>
      <w:r>
        <w:rPr>
          <w:b w:val="0"/>
          <w:i w:val="0"/>
        </w:rPr>
        <w:t>Дистрибуирани систем мора моћи да одговори на четири питања: ко је покренуо радњу, шта се догодило, кроз које компоненте је ток прошао и под којим условима је радио. Идентитет, аудит, могућност посматрања система и конфигурација дају одговоре који се не смеју измишљати изнова у свакој функционалности.</w:t>
      </w:r>
    </w:p>
    <w:p>
      <w:r>
        <w:rPr>
          <w:b w:val="0"/>
          <w:i w:val="0"/>
        </w:rPr>
        <w:t>Када се ток поквари, појединачни логови нису довољни. Заједнички корелациони идентификатор и јасан аудит траг омогућавају да тим састави причу о операцији без нагађања и без излагања осетљивих података.</w:t>
      </w:r>
    </w:p>
    <w:p>
      <w:pPr>
        <w:keepNext/>
        <w:spacing w:after="0"/>
        <w:jc w:val="center"/>
      </w:pPr>
      <w:r>
        <w:drawing>
          <wp:inline xmlns:a="http://schemas.openxmlformats.org/drawingml/2006/main" xmlns:pic="http://schemas.openxmlformats.org/drawingml/2006/picture">
            <wp:extent cx="6120000" cy="3657073"/>
            <wp:docPr id="1" name="Picture 1" descr="Попречне могућности које свака компонента користи на исти начин"/>
            <wp:cNvGraphicFramePr>
              <a:graphicFrameLocks noChangeAspect="1"/>
            </wp:cNvGraphicFramePr>
            <a:graphic>
              <a:graphicData uri="http://schemas.openxmlformats.org/drawingml/2006/picture">
                <pic:pic>
                  <pic:nvPicPr>
                    <pic:cNvPr id="0" name="4abbd3f64dd2.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Попречне могућности које свака компонента користи на исти начин</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00" w:name="h100"/>
      <w:pPr>
        <w:pStyle w:val="Heading2"/>
        <w:pageBreakBefore w:val="0"/>
      </w:pPr>
      <w:r>
        <w:rPr>
          <w:b w:val="0"/>
          <w:i w:val="0"/>
        </w:rPr>
        <w:t>3.1 Видљивост мора бити уграђена</w:t>
      </w:r>
      <w:bookmarkEnd w:id="100"/>
    </w:p>
    <w:p>
      <w:pPr>
        <w:pStyle w:val="ListBullet"/>
      </w:pPr>
      <w:r>
        <w:rPr>
          <w:b w:val="0"/>
          <w:i w:val="0"/>
        </w:rPr>
        <w:t>Аудит чува одлуке које су важне за одговорност и истрагу.</w:t>
      </w:r>
    </w:p>
    <w:p>
      <w:pPr>
        <w:pStyle w:val="ListBullet"/>
      </w:pPr>
      <w:r>
        <w:rPr>
          <w:b w:val="0"/>
          <w:i w:val="0"/>
        </w:rPr>
        <w:t>Логови и трагови чувају технички контекст, али не тајне.</w:t>
      </w:r>
    </w:p>
    <w:p>
      <w:pPr>
        <w:pStyle w:val="ListBullet"/>
      </w:pPr>
      <w:r>
        <w:rPr>
          <w:b w:val="0"/>
          <w:i w:val="0"/>
        </w:rPr>
        <w:t>Конфигурација има валидно значење, власника и начин промене.</w:t>
      </w:r>
    </w:p>
    <w:p>
      <w:pPr>
        <w:keepNext/>
      </w:pPr>
      <w:r>
        <w:rPr>
          <w:b/>
          <w:i w:val="0"/>
        </w:rPr>
        <w:t>Питање за дискусију</w:t>
      </w:r>
    </w:p>
    <w:p>
      <w:r>
        <w:rPr>
          <w:b w:val="0"/>
          <w:i w:val="0"/>
        </w:rPr>
        <w:t>Како бисте реконструисали једну неуспелу операцију која је прошла кроз Програмски интерфејс, ред порука и воркер, а да не читате неограничену количину логова?</w:t>
      </w:r>
    </w:p>
    <w:p>
      <w:bookmarkStart w:id="101" w:name="h101"/>
      <w:pPr>
        <w:pStyle w:val="Heading2"/>
        <w:pageBreakBefore w:val="0"/>
      </w:pPr>
      <w:r>
        <w:rPr>
          <w:b w:val="0"/>
          <w:i w:val="0"/>
        </w:rPr>
        <w:t>3.2 Како се ова тема види у развоју</w:t>
      </w:r>
      <w:bookmarkEnd w:id="101"/>
    </w:p>
    <w:p>
      <w:r>
        <w:rPr>
          <w:b w:val="0"/>
          <w:i w:val="0"/>
        </w:rPr>
        <w:t>Тим бира неколико операција које мора умети да прати од захтева до исхода. Свака компонента преноси заједнички контекст, а тестови проверавају да промена конфигурације или прекид тока оставља довољно информација за разумевање.</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Лог који открива креденцијале или личне податке.</w:t>
      </w:r>
    </w:p>
    <w:p>
      <w:pPr>
        <w:pStyle w:val="ListBullet"/>
      </w:pPr>
      <w:r>
        <w:rPr>
          <w:b w:val="0"/>
          <w:i w:val="0"/>
        </w:rPr>
        <w:t>Корелациони идентификатор креиран у свакој компоненти уместо пренет.</w:t>
      </w:r>
    </w:p>
    <w:p>
      <w:pPr>
        <w:pStyle w:val="ListBullet"/>
      </w:pPr>
      <w:r>
        <w:rPr>
          <w:b w:val="0"/>
          <w:i w:val="0"/>
        </w:rPr>
        <w:t>Конфигурација прихваћена без провере опсега и утицаја.</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03" w:name="h103"/>
      <w:pPr>
        <w:pStyle w:val="Heading2"/>
        <w:pageBreakBefore w:val="0"/>
      </w:pPr>
      <w:r>
        <w:rPr>
          <w:b w:val="0"/>
          <w:i w:val="0"/>
        </w:rPr>
        <w:t>3.3 Пример: захтев пролази кроз три компоненте</w:t>
      </w:r>
      <w:bookmarkEnd w:id="103"/>
    </w:p>
    <w:p>
      <w:r>
        <w:rPr>
          <w:b w:val="0"/>
          <w:i w:val="0"/>
        </w:rPr>
        <w:t>Корисник покреће операцију кроз Програмски интерфејс, Програмски интерфејс објављује поруку, а воркер завршава обраду. Ако свака компонента бележи свој неповезан идентификатор, тим не може брзо да одговори да ли је захтев прихваћен, обрађен или изгубљен између корака. Заједнички контекст претвара три засебна записа у једну проверљиву причу.</w:t>
      </w:r>
    </w:p>
    <w:p>
      <w:pPr>
        <w:pStyle w:val="ListBullet"/>
      </w:pPr>
      <w:r>
        <w:rPr>
          <w:b w:val="0"/>
          <w:i w:val="0"/>
        </w:rPr>
        <w:t>Корелациони идентификатор настаје на граници тока и преноси се даље.</w:t>
      </w:r>
    </w:p>
    <w:p>
      <w:pPr>
        <w:pStyle w:val="ListBullet"/>
      </w:pPr>
      <w:r>
        <w:rPr>
          <w:b w:val="0"/>
          <w:i w:val="0"/>
        </w:rPr>
        <w:t>Аудит чува одлуке које утичу на одговорност, док лог чува технички контекст.</w:t>
      </w:r>
    </w:p>
    <w:p>
      <w:pPr>
        <w:pStyle w:val="ListBullet"/>
      </w:pPr>
      <w:r>
        <w:rPr>
          <w:b w:val="0"/>
          <w:i w:val="0"/>
        </w:rPr>
        <w:t>Конфигурација одређује очекивано понашање, као што су рокови и прагови, и мора бити проверљива.</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04" w:name="h104"/>
      <w:pPr>
        <w:pStyle w:val="Heading2"/>
        <w:pageBreakBefore w:val="0"/>
      </w:pPr>
      <w:r>
        <w:rPr>
          <w:b w:val="0"/>
          <w:i w:val="0"/>
        </w:rPr>
        <w:t>3.4 Од принципа до доказа</w:t>
      </w:r>
      <w:bookmarkEnd w:id="104"/>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05" w:name="h105"/>
      <w:pPr>
        <w:pStyle w:val="Heading2"/>
        <w:pageBreakBefore w:val="0"/>
      </w:pPr>
      <w:r>
        <w:rPr>
          <w:b w:val="0"/>
          <w:i w:val="0"/>
        </w:rPr>
        <w:t>3.5 Шема следљивог дистрибуираног тока</w:t>
      </w:r>
      <w:bookmarkEnd w:id="105"/>
    </w:p>
    <w:p>
      <w:pPr>
        <w:keepNext/>
        <w:spacing w:after="0"/>
        <w:jc w:val="center"/>
      </w:pPr>
      <w:r>
        <w:drawing>
          <wp:inline xmlns:a="http://schemas.openxmlformats.org/drawingml/2006/main" xmlns:pic="http://schemas.openxmlformats.org/drawingml/2006/picture">
            <wp:extent cx="6120000" cy="3657073"/>
            <wp:docPr id="2" name="Picture 2" descr="Шема следљивог дистрибуираног тока"/>
            <wp:cNvGraphicFramePr>
              <a:graphicFrameLocks noChangeAspect="1"/>
            </wp:cNvGraphicFramePr>
            <a:graphic>
              <a:graphicData uri="http://schemas.openxmlformats.org/drawingml/2006/picture">
                <pic:pic>
                  <pic:nvPicPr>
                    <pic:cNvPr id="0" name="3a67e4bd808a.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следљивог дистрибуираног тока</w:t>
      </w:r>
    </w:p>
    <w:p>
      <w:r>
        <w:rPr>
          <w:b w:val="0"/>
          <w:i w:val="0"/>
        </w:rPr>
        <w:t>Један контекст пролази кроз све компоненте, па се неуспех може објаснити без нагађања.</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06" w:name="h106"/>
      <w:pPr>
        <w:pStyle w:val="Heading2"/>
        <w:pageBreakBefore w:val="0"/>
      </w:pPr>
      <w:r>
        <w:rPr>
          <w:b w:val="0"/>
          <w:i w:val="0"/>
        </w:rPr>
        <w:t>3.6 Упоредни преглед елемената тока</w:t>
      </w:r>
      <w:bookmarkEnd w:id="106"/>
    </w:p>
    <w:p>
      <w:pPr>
        <w:pStyle w:val="Caption"/>
        <w:keepNext/>
        <w:jc w:val="left"/>
      </w:pPr>
      <w:r>
        <w:t>Табела 1. Елемент и Улога у току</w:t>
      </w:r>
    </w:p>
    <w:tbl>
      <w:tblPr>
        <w:tblW w:type="auto" w:w="0"/>
        <w:jc w:val="center"/>
        <w:tblLayout w:type="fixed"/>
        <w:tblLook w:firstColumn="1" w:firstRow="1" w:lastColumn="0" w:lastRow="0" w:noHBand="0" w:noVBand="1" w:val="04A0"/>
      </w:tblPr>
      <w:tblGrid>
        <w:gridCol w:w="1798"/>
        <w:gridCol w:w="2750"/>
        <w:gridCol w:w="5090"/>
      </w:tblGrid>
      <w:tr>
        <w:trPr>
          <w:cantSplit/>
          <w:tblHeader/>
        </w:trPr>
        <w:tc>
          <w:tcPr>
            <w:tcW w:type="dxa" w:w="179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75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509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7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Идентитет</w:t>
            </w:r>
          </w:p>
        </w:tc>
        <w:tc>
          <w:tcPr>
            <w:tcW w:type="dxa" w:w="27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 покреће радњу</w:t>
            </w:r>
          </w:p>
        </w:tc>
        <w:tc>
          <w:tcPr>
            <w:tcW w:type="dxa" w:w="50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идентитет није доступан или даје застарелу информацију?</w:t>
            </w:r>
          </w:p>
        </w:tc>
      </w:tr>
      <w:tr>
        <w:trPr>
          <w:cantSplit/>
        </w:trPr>
        <w:tc>
          <w:tcPr>
            <w:tcW w:type="dxa" w:w="17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Корелација</w:t>
            </w:r>
          </w:p>
        </w:tc>
        <w:tc>
          <w:tcPr>
            <w:tcW w:type="dxa" w:w="27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један ток кроз компоненте</w:t>
            </w:r>
          </w:p>
        </w:tc>
        <w:tc>
          <w:tcPr>
            <w:tcW w:type="dxa" w:w="50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корелација није доступан или даје застарелу информацију?</w:t>
            </w:r>
          </w:p>
        </w:tc>
      </w:tr>
      <w:tr>
        <w:trPr>
          <w:cantSplit/>
        </w:trPr>
        <w:tc>
          <w:tcPr>
            <w:tcW w:type="dxa" w:w="17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Аудит</w:t>
            </w:r>
          </w:p>
        </w:tc>
        <w:tc>
          <w:tcPr>
            <w:tcW w:type="dxa" w:w="27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пословно значајна одлука</w:t>
            </w:r>
          </w:p>
        </w:tc>
        <w:tc>
          <w:tcPr>
            <w:tcW w:type="dxa" w:w="50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аудит није доступан или даје застарелу информацију?</w:t>
            </w:r>
          </w:p>
        </w:tc>
      </w:tr>
      <w:tr>
        <w:trPr>
          <w:cantSplit/>
        </w:trPr>
        <w:tc>
          <w:tcPr>
            <w:tcW w:type="dxa" w:w="17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Конфигурација</w:t>
            </w:r>
          </w:p>
        </w:tc>
        <w:tc>
          <w:tcPr>
            <w:tcW w:type="dxa" w:w="27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услови рада система</w:t>
            </w:r>
          </w:p>
        </w:tc>
        <w:tc>
          <w:tcPr>
            <w:tcW w:type="dxa" w:w="50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конфигурација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07" w:name="h107"/>
      <w:pPr>
        <w:pStyle w:val="Heading2"/>
        <w:pageBreakBefore w:val="0"/>
      </w:pPr>
      <w:r>
        <w:rPr>
          <w:b w:val="0"/>
          <w:i w:val="0"/>
        </w:rPr>
        <w:t>3.7 Питања за анализу дистрибуираног понашања</w:t>
      </w:r>
      <w:bookmarkEnd w:id="107"/>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Аудит чува одлуке које су важне за одговорност и истрагу.</w:t>
      </w:r>
    </w:p>
    <w:p>
      <w:pPr>
        <w:ind w:left="340" w:hanging="340"/>
      </w:pPr>
      <w:r>
        <w:t xml:space="preserve">2. </w:t>
      </w:r>
      <w:r>
        <w:rPr>
          <w:b w:val="0"/>
          <w:i w:val="0"/>
        </w:rPr>
        <w:t>Логови и трагови чувају технички контекст, али не тајне.</w:t>
      </w:r>
    </w:p>
    <w:p>
      <w:pPr>
        <w:ind w:left="340" w:hanging="340"/>
      </w:pPr>
      <w:r>
        <w:t xml:space="preserve">3. </w:t>
      </w:r>
      <w:r>
        <w:rPr>
          <w:b w:val="0"/>
          <w:i w:val="0"/>
        </w:rPr>
        <w:t>Конфигурација има валидно значење, власника и начин промене.</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Како бисте реконструисали једну неуспелу операцију која је прошла кроз Програмски интерфејс, ред порука и воркер, а да не читате неограничену количину логова?</w:t>
      </w:r>
    </w:p>
    <w:p>
      <w:bookmarkStart w:id="108" w:name="h108"/>
      <w:pPr>
        <w:pStyle w:val="Heading2"/>
        <w:pageBreakBefore w:val="0"/>
      </w:pPr>
      <w:r>
        <w:rPr>
          <w:b w:val="0"/>
          <w:i w:val="0"/>
        </w:rPr>
        <w:t>3.8 Извршиви пример</w:t>
      </w:r>
      <w:bookmarkEnd w:id="108"/>
    </w:p>
    <w:p>
      <w:r>
        <w:rPr>
          <w:b w:val="0"/>
          <w:i w:val="0"/>
        </w:rPr>
        <w:t>Пример прати једну операцију кроз две компоненте. Заказивање контакта са станицом добија идентификатор операције (</w:t>
      </w:r>
      <w:r>
        <w:rPr>
          <w:rFonts w:ascii="Courier New" w:hAnsi="Courier New"/>
          <w:b w:val="0"/>
          <w:i w:val="0"/>
          <w:sz w:val="18"/>
        </w:rPr>
        <w:t>CorrelationId</w:t>
      </w:r>
      <w:r>
        <w:rPr>
          <w:b w:val="0"/>
          <w:i w:val="0"/>
        </w:rPr>
        <w:t>) и идентитет актера; исти идентификатор стиже до станице и до ревизијског трага, па се ток може реконструисати и када делови система воде одвојене логове. Ограничење трајања контакта долази из конфигурације која се проверава пре покретања.</w:t>
      </w:r>
    </w:p>
    <w:p>
      <w:pPr>
        <w:pStyle w:val="Caption"/>
        <w:keepNext/>
      </w:pPr>
      <w:r>
        <w:t>Пример 1. Покретање демонстрације и тестова</w:t>
      </w:r>
    </w:p>
    <w:p>
      <w:pPr>
        <w:widowControl w:val="0"/>
        <w:spacing w:line="240" w:lineRule="auto" w:after="140"/>
        <w:jc w:val="left"/>
      </w:pPr>
      <w:r>
        <w:rPr>
          <w:rFonts w:ascii="Courier New" w:hAnsi="Courier New"/>
          <w:sz w:val="18"/>
          <w:lang w:val="en-US"/>
        </w:rPr>
        <w:t>cd examples/odp-dotnet/vezba-03-identitet-audit-konfiguracija</w:t>
        <w:br/>
        <w:t>dotnet run --project src/Odp.Vezba03.ConsoleUi</w:t>
        <w:br/>
        <w:t>dotnet test Odp.Vezba03.sln</w:t>
      </w:r>
    </w:p>
    <w:p>
      <w:bookmarkStart w:id="109" w:name="h109"/>
      <w:pPr>
        <w:pStyle w:val="Heading3"/>
        <w:pageBreakBefore w:val="0"/>
      </w:pPr>
      <w:r>
        <w:rPr>
          <w:b w:val="0"/>
          <w:i w:val="0"/>
        </w:rPr>
        <w:t>Правило у коду</w:t>
      </w:r>
      <w:bookmarkEnd w:id="109"/>
    </w:p>
    <w:p>
      <w:pPr>
        <w:pStyle w:val="Caption"/>
        <w:keepNext/>
      </w:pPr>
      <w:r>
        <w:t>Пример 2. examples/odp-dotnet/vezba-03-identitet-audit-konfiguracija/src/Odp.Vezba03.Application/Contacts/ScheduleContactHandler.cs</w:t>
      </w:r>
    </w:p>
    <w:p>
      <w:pPr>
        <w:widowControl w:val="0"/>
        <w:spacing w:line="240" w:lineRule="auto" w:after="140"/>
        <w:jc w:val="left"/>
      </w:pPr>
      <w:r>
        <w:rPr>
          <w:rFonts w:ascii="Courier New" w:hAnsi="Courier New"/>
          <w:sz w:val="18"/>
          <w:lang w:val="en-US"/>
        </w:rPr>
        <w:t>public ScheduleContactResult Schedule(ContactRequest request, OperationContext context)</w:t>
        <w:br/>
        <w:t>{</w:t>
        <w:br/>
        <w:t xml:space="preserve">    ArgumentNullException.ThrowIfNull(request);</w:t>
        <w:br/>
        <w:t xml:space="preserve">    ArgumentNullException.ThrowIfNull(context);</w:t>
        <w:br/>
        <w:br/>
        <w:t xml:space="preserve">    var code = Decide(request, context);</w:t>
        <w:br/>
        <w:br/>
        <w:t xml:space="preserve">    auditLog.Record(new AuditEntry(</w:t>
        <w:br/>
        <w:t xml:space="preserve">        clock.UtcNow,</w:t>
        <w:br/>
        <w:t xml:space="preserve">        context.CorrelationId,</w:t>
        <w:br/>
        <w:t xml:space="preserve">        context.ActorId,</w:t>
        <w:br/>
        <w:t xml:space="preserve">        Action,</w:t>
        <w:br/>
        <w:t xml:space="preserve">        request.StationId,</w:t>
        <w:br/>
        <w:t xml:space="preserve">        code));</w:t>
        <w:br/>
        <w:br/>
        <w:t xml:space="preserve">    return new ScheduleContactResult(code == ContactCodes.Scheduled, code, context.CorrelationId);</w:t>
        <w:br/>
        <w:t>}</w:t>
      </w:r>
    </w:p>
    <w:p>
      <w:bookmarkStart w:id="110" w:name="h110"/>
      <w:pPr>
        <w:pStyle w:val="Heading3"/>
        <w:pageBreakBefore w:val="0"/>
      </w:pPr>
      <w:r>
        <w:rPr>
          <w:b w:val="0"/>
          <w:i w:val="0"/>
        </w:rPr>
        <w:t>Тест који задаје квар</w:t>
      </w:r>
      <w:bookmarkEnd w:id="110"/>
    </w:p>
    <w:p>
      <w:pPr>
        <w:pStyle w:val="Caption"/>
        <w:keepNext/>
      </w:pPr>
      <w:r>
        <w:t>Пример 3. examples/odp-dotnet/vezba-03-identitet-audit-konfiguracija/tests/Odp.Vezba03.Tests/Application/ScheduleContactHandlerTests.cs</w:t>
      </w:r>
    </w:p>
    <w:p>
      <w:pPr>
        <w:widowControl w:val="0"/>
        <w:spacing w:line="240" w:lineRule="auto" w:after="140"/>
        <w:jc w:val="left"/>
      </w:pPr>
      <w:r>
        <w:rPr>
          <w:rFonts w:ascii="Courier New" w:hAnsi="Courier New"/>
          <w:sz w:val="18"/>
          <w:lang w:val="en-US"/>
        </w:rPr>
        <w:t>[Test]</w:t>
        <w:br/>
        <w:t>public void Schedule_CarriesTheSameCorrelationIdToTheStationAndTheAuditTrail()</w:t>
        <w:br/>
        <w:t>{</w:t>
        <w:br/>
        <w:t xml:space="preserve">    var result = _handler.Schedule(Request, Context);</w:t>
        <w:br/>
        <w:br/>
        <w:t xml:space="preserve">    using (Assert.EnterMultipleScope())</w:t>
        <w:br/>
        <w:t xml:space="preserve">    {</w:t>
        <w:br/>
        <w:t xml:space="preserve">        Assert.That(result, Is.EqualTo(new ScheduleContactResult(true, ContactCodes.Scheduled, "op-42")));</w:t>
        <w:br/>
        <w:t xml:space="preserve">        Assert.That(_stationGateway.Calls.Single().CorrelationId, Is.EqualTo("op-42"));</w:t>
        <w:br/>
        <w:t xml:space="preserve">        Assert.That(</w:t>
        <w:br/>
        <w:t xml:space="preserve">            _auditLog.Entries.Single(),</w:t>
        <w:br/>
        <w:t xml:space="preserve">            Is.EqualTo(new AuditEntry(</w:t>
        <w:br/>
        <w:t xml:space="preserve">                Now,</w:t>
        <w:br/>
        <w:t xml:space="preserve">                "op-42",</w:t>
        <w:br/>
        <w:t xml:space="preserve">                "ana",</w:t>
        <w:br/>
        <w:t xml:space="preserve">                "contact.schedule",</w:t>
        <w:br/>
        <w:t xml:space="preserve">                "GS-NOVI-SAD",</w:t>
        <w:br/>
        <w:t xml:space="preserve">                ContactCodes.Scheduled)));</w:t>
        <w:br/>
        <w:t xml:space="preserve">    }</w:t>
        <w:br/>
        <w:t>}</w:t>
      </w:r>
    </w:p>
    <w:p>
      <w:bookmarkStart w:id="111" w:name="h111"/>
      <w:pPr>
        <w:pStyle w:val="Heading3"/>
        <w:pageBreakBefore w:val="0"/>
      </w:pPr>
      <w:r>
        <w:rPr>
          <w:b w:val="0"/>
          <w:i w:val="0"/>
        </w:rPr>
        <w:t>Испис демонстрације</w:t>
      </w:r>
      <w:bookmarkEnd w:id="111"/>
    </w:p>
    <w:p>
      <w:pPr>
        <w:pStyle w:val="Caption"/>
        <w:keepNext/>
      </w:pPr>
      <w:r>
        <w:t>Пример 4. дотнет рун --пројецт src/Odp.Vezba03.ConsoleUi</w:t>
      </w:r>
    </w:p>
    <w:p>
      <w:pPr>
        <w:widowControl w:val="0"/>
        <w:spacing w:line="240" w:lineRule="auto" w:after="140"/>
        <w:jc w:val="left"/>
      </w:pPr>
      <w:r>
        <w:rPr>
          <w:rFonts w:ascii="Courier New" w:hAnsi="Courier New"/>
          <w:sz w:val="18"/>
          <w:lang w:val="en-US"/>
        </w:rPr>
        <w:t>op-0001: GS-NOVI-SAD, 10 min -&gt; contact_scheduled</w:t>
        <w:br/>
        <w:t>op-0002: GS-NOVI-SAD, 40 min -&gt; duration_too_long</w:t>
        <w:br/>
        <w:t>op-0003: GS-BEOGRAD, 10 min -&gt; station_unavailable</w:t>
        <w:br/>
        <w:br/>
        <w:t>Log stanice:</w:t>
        <w:br/>
        <w:t xml:space="preserve">  op-0001 | GS-NOVI-SAD | reserved=True</w:t>
        <w:br/>
        <w:t xml:space="preserve">  op-0003 | GS-BEOGRAD | reserved=False</w:t>
        <w:br/>
        <w:br/>
        <w:t>Revizijski trag:</w:t>
        <w:br/>
        <w:t xml:space="preserve">  op-0001 | ana | contact.schedule | GS-NOVI-SAD | contact_scheduled</w:t>
        <w:br/>
        <w:t xml:space="preserve">  op-0002 | marko | contact.schedule | GS-NOVI-SAD | duration_too_long</w:t>
        <w:br/>
        <w:t xml:space="preserve">  op-0003 | jelena | contact.schedule | GS-BEOGRAD | station_unavailable</w:t>
      </w:r>
    </w:p>
    <w:p>
      <w:bookmarkStart w:id="112" w:name="h112"/>
      <w:pPr>
        <w:pStyle w:val="Heading3"/>
        <w:pageBreakBefore w:val="0"/>
      </w:pPr>
      <w:r>
        <w:rPr>
          <w:b w:val="0"/>
          <w:i w:val="0"/>
        </w:rPr>
        <w:t>Шта треба уочити</w:t>
      </w:r>
      <w:bookmarkEnd w:id="112"/>
    </w:p>
    <w:p>
      <w:pPr>
        <w:pStyle w:val="ListBullet"/>
      </w:pPr>
      <w:r>
        <w:rPr>
          <w:b w:val="0"/>
          <w:i w:val="0"/>
        </w:rPr>
        <w:t xml:space="preserve">Исти </w:t>
      </w:r>
      <w:r>
        <w:rPr>
          <w:rFonts w:ascii="Courier New" w:hAnsi="Courier New"/>
          <w:b w:val="0"/>
          <w:i w:val="0"/>
          <w:sz w:val="18"/>
        </w:rPr>
        <w:t>CorrelationId</w:t>
      </w:r>
      <w:r>
        <w:rPr>
          <w:b w:val="0"/>
          <w:i w:val="0"/>
        </w:rPr>
        <w:t xml:space="preserve"> види се у логу станице и у ревизијском трагу центра.</w:t>
      </w:r>
    </w:p>
    <w:p>
      <w:pPr>
        <w:pStyle w:val="ListBullet"/>
      </w:pPr>
      <w:r>
        <w:rPr>
          <w:b w:val="0"/>
          <w:i w:val="0"/>
        </w:rPr>
        <w:t>Ревизијски запис настаје и када је захтев одбијен пре позива станице.</w:t>
      </w:r>
    </w:p>
    <w:p>
      <w:pPr>
        <w:pStyle w:val="ListBullet"/>
      </w:pPr>
      <w:r>
        <w:rPr>
          <w:b w:val="0"/>
          <w:i w:val="0"/>
        </w:rPr>
        <w:t>Неисправна конфигурација зауставља покретање са кодом грешке.</w:t>
      </w:r>
    </w:p>
    <w:p>
      <w:pPr>
        <w:keepNext/>
      </w:pPr>
      <w:r>
        <w:rPr>
          <w:b/>
          <w:i w:val="0"/>
        </w:rPr>
        <w:t>Задатак уз пример</w:t>
      </w:r>
    </w:p>
    <w:p>
      <w:r>
        <w:rPr>
          <w:b w:val="0"/>
          <w:i w:val="0"/>
        </w:rPr>
        <w:t xml:space="preserve">Додати у </w:t>
      </w:r>
      <w:r>
        <w:rPr>
          <w:rFonts w:ascii="Courier New" w:hAnsi="Courier New"/>
          <w:b w:val="0"/>
          <w:i w:val="0"/>
          <w:sz w:val="18"/>
        </w:rPr>
        <w:t>OperationContext</w:t>
      </w:r>
      <w:r>
        <w:rPr>
          <w:b w:val="0"/>
          <w:i w:val="0"/>
        </w:rPr>
        <w:t xml:space="preserve"> идентификатор позивајуће компоненте (</w:t>
      </w:r>
      <w:r>
        <w:rPr>
          <w:rFonts w:ascii="Courier New" w:hAnsi="Courier New"/>
          <w:b w:val="0"/>
          <w:i w:val="0"/>
          <w:sz w:val="18"/>
        </w:rPr>
        <w:t>Source</w:t>
      </w:r>
      <w:r>
        <w:rPr>
          <w:b w:val="0"/>
          <w:i w:val="0"/>
        </w:rPr>
        <w:t>) и уписати га у ревизијски запис. Проширити тест тако да доказује да запис садржи и извор операције.</w:t>
      </w:r>
    </w:p>
    <w:p>
      <w:pPr>
        <w:keepNext/>
      </w:pPr>
      <w:r>
        <w:rPr>
          <w:b/>
          <w:i w:val="0"/>
        </w:rPr>
        <w:t>Рад на вежби — примена на пројекат</w:t>
      </w:r>
    </w:p>
    <w:p>
      <w:r>
        <w:rPr>
          <w:b w:val="0"/>
          <w:i w:val="0"/>
        </w:rPr>
        <w:t>На додељеној пројектној целини применити принцип из теме „Идентитет, аудит, могућност посматрања система и конфигурација".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Идентитет, аудит, могућност посматрања система и конфигурација</dc:title>
  <dc:subject>Основе дистрибуираног програмирања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