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Ауторизација над ресурсом и класификација података</w:t>
      </w:r>
    </w:p>
    <w:p>
      <w:pPr>
        <w:pStyle w:val="Subtitle"/>
      </w:pPr>
      <w:r>
        <w:t>Основе информационе безбедности  ·  02</w:t>
      </w:r>
    </w:p>
    <w:p>
      <w:r>
        <w:rPr>
          <w:b w:val="0"/>
          <w:i w:val="0"/>
        </w:rPr>
        <w:t>Ауторизација има смисла тек када је везана за конкретан ресурс и његов контекст. Корисник може имати легитимну улогу, а ипак не сме да чита, мења или дели баш тај запис. Зато се одлука не завршава провером типа ендпоинта или назива улоге.</w:t>
      </w:r>
    </w:p>
    <w:p>
      <w:r>
        <w:rPr>
          <w:b w:val="0"/>
          <w:i w:val="0"/>
        </w:rPr>
        <w:t>Класификација података даје исти језик власницима, развоју и операцијама. Када систем зна колико је податак осетљив, може да примени одговарајући приступ, приказ, чување и евиденцију без ослањања на нечије сећање.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657073"/>
            <wp:docPr id="1" name="Picture 1" descr="Зашто познавање адресе ресурса не значи право приступ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74d532ecba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57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Слика 1. Зашто познавање адресе ресурса не значи право приступа</w:t>
      </w:r>
    </w:p>
    <w:p>
      <w:r>
        <w:rPr>
          <w:b w:val="0"/>
          <w:i w:val="0"/>
        </w:rPr>
        <w:t>Безбедносна одлука настаје повезивањем приказаних појмова.</w:t>
      </w:r>
    </w:p>
    <w:p>
      <w:pPr>
        <w:keepNext/>
      </w:pPr>
      <w:r>
        <w:rPr>
          <w:b/>
          <w:i w:val="0"/>
        </w:rPr>
        <w:t>Циљ вежбе</w:t>
      </w:r>
    </w:p>
    <w:p>
      <w:r>
        <w:rPr>
          <w:b w:val="0"/>
          <w:i w:val="0"/>
        </w:rPr>
        <w:t>Студент треба да образложи одлуку система, податке на којима се она заснива и њен утицај на заштиту података и услуга.</w:t>
      </w:r>
    </w:p>
    <w:p>
      <w:bookmarkStart w:id="100" w:name="h100"/>
      <w:pPr>
        <w:pStyle w:val="Heading2"/>
        <w:pageBreakBefore w:val="0"/>
      </w:pPr>
      <w:r>
        <w:rPr>
          <w:b w:val="0"/>
          <w:i w:val="0"/>
        </w:rPr>
        <w:t>2.1 Одлука мора имати контекст</w:t>
      </w:r>
      <w:bookmarkEnd w:id="100"/>
    </w:p>
    <w:p>
      <w:r>
        <w:rPr>
          <w:b w:val="0"/>
          <w:i w:val="0"/>
        </w:rPr>
        <w:t>Класификација података даје исти језик власницима, развоју и операцијама. Када систем зна колико је податак осетљив, може да примени одговарајући приступ, приказ, чување и евиденцију без ослањања на нечије сећање.</w:t>
      </w:r>
    </w:p>
    <w:p>
      <w:pPr>
        <w:pStyle w:val="ListBullet"/>
      </w:pPr>
      <w:r>
        <w:rPr>
          <w:b w:val="0"/>
          <w:i w:val="0"/>
        </w:rPr>
        <w:t>Провера права укључује субјект, радњу, ресурс и његову припадност.</w:t>
      </w:r>
    </w:p>
    <w:p>
      <w:pPr>
        <w:pStyle w:val="ListBullet"/>
      </w:pPr>
      <w:r>
        <w:rPr>
          <w:b w:val="0"/>
          <w:i w:val="0"/>
        </w:rPr>
        <w:t>Одбијање не треба да открива садржај нити постојање туђег осетљивог ресурса.</w:t>
      </w:r>
    </w:p>
    <w:p>
      <w:pPr>
        <w:pStyle w:val="ListBullet"/>
      </w:pPr>
      <w:r>
        <w:rPr>
          <w:b w:val="0"/>
          <w:i w:val="0"/>
        </w:rPr>
        <w:t>Класификација није етикета за документацију, већ улаз у правила руковања подацима.</w:t>
      </w:r>
    </w:p>
    <w:p>
      <w:pPr>
        <w:keepNext/>
      </w:pPr>
      <w:r>
        <w:rPr>
          <w:b/>
          <w:i w:val="0"/>
        </w:rPr>
        <w:t>Питање за дискусију</w:t>
      </w:r>
    </w:p>
    <w:p>
      <w:r>
        <w:rPr>
          <w:b w:val="0"/>
          <w:i w:val="0"/>
        </w:rPr>
        <w:t>Који ресурс носи ризик хоризонталног приступа и које информације одлука мора да узме у обзир?</w:t>
      </w:r>
    </w:p>
    <w:p>
      <w:bookmarkStart w:id="101" w:name="h101"/>
      <w:pPr>
        <w:pStyle w:val="Heading2"/>
        <w:pageBreakBefore w:val="0"/>
      </w:pPr>
      <w:r>
        <w:rPr>
          <w:b w:val="0"/>
          <w:i w:val="0"/>
        </w:rPr>
        <w:t>2.2 Како се ова тема види у развоју</w:t>
      </w:r>
      <w:bookmarkEnd w:id="101"/>
    </w:p>
    <w:p>
      <w:r>
        <w:rPr>
          <w:b w:val="0"/>
          <w:i w:val="0"/>
        </w:rPr>
        <w:t>За сваку значајну операцију тим формулише и позитиван и негативан сценарио. Негативан сценарио проверава да правилно пријављен корисник не може да заобиђе власништво променом идентификатора или позивом Програмски интерфејс-ја ван интерфејса.</w:t>
      </w:r>
    </w:p>
    <w:p>
      <w:bookmarkStart w:id="102" w:name="h102"/>
      <w:pPr>
        <w:pStyle w:val="Heading3"/>
        <w:pageBreakBefore w:val="0"/>
      </w:pPr>
      <w:r>
        <w:rPr>
          <w:b w:val="0"/>
          <w:i w:val="0"/>
        </w:rPr>
        <w:t>Честе грешке које треба препознати</w:t>
      </w:r>
      <w:bookmarkEnd w:id="102"/>
    </w:p>
    <w:p>
      <w:pPr>
        <w:pStyle w:val="ListBullet"/>
      </w:pPr>
      <w:r>
        <w:rPr>
          <w:b w:val="0"/>
          <w:i w:val="0"/>
        </w:rPr>
        <w:t>Провера улоге без провере односа према конкретном ресурсу.</w:t>
      </w:r>
    </w:p>
    <w:p>
      <w:pPr>
        <w:pStyle w:val="ListBullet"/>
      </w:pPr>
      <w:r>
        <w:rPr>
          <w:b w:val="0"/>
          <w:i w:val="0"/>
        </w:rPr>
        <w:t>Филтрирање листе у клијенту без исте провере на серверу.</w:t>
      </w:r>
    </w:p>
    <w:p>
      <w:pPr>
        <w:pStyle w:val="ListBullet"/>
      </w:pPr>
      <w:r>
        <w:rPr>
          <w:b w:val="0"/>
          <w:i w:val="0"/>
        </w:rPr>
        <w:t>Снижавање класификације без образложења и трага промене.</w:t>
      </w:r>
    </w:p>
    <w:p>
      <w:pPr>
        <w:keepNext/>
      </w:pPr>
      <w:r>
        <w:rPr>
          <w:b/>
          <w:i w:val="0"/>
        </w:rPr>
        <w:t>Веза са осталим темама</w:t>
      </w:r>
    </w:p>
    <w:p>
      <w:r>
        <w:rPr>
          <w:b w:val="0"/>
          <w:i w:val="0"/>
        </w:rPr>
        <w:t>Разматрана одлука повезује идентитет, податке, политике и доказе, а исти поступак анализе примењује се на различите врсте информационих система.</w:t>
      </w:r>
    </w:p>
    <w:p>
      <w:bookmarkStart w:id="103" w:name="h103"/>
      <w:pPr>
        <w:pStyle w:val="Heading2"/>
        <w:pageBreakBefore w:val="0"/>
      </w:pPr>
      <w:r>
        <w:rPr>
          <w:b w:val="0"/>
          <w:i w:val="0"/>
        </w:rPr>
        <w:t>2.3 Пример: исправна улога, погрешан запис</w:t>
      </w:r>
      <w:bookmarkEnd w:id="103"/>
    </w:p>
    <w:p>
      <w:r>
        <w:rPr>
          <w:b w:val="0"/>
          <w:i w:val="0"/>
        </w:rPr>
        <w:t>Два члана тима имају исту улогу и обојица могу да прегледају захтеве. Један мења идентификатор у адреси захтева и долази до туђег записа. Систем који проверава само улогу сматра захтев дозвољеним, иако се променио најважнији део контекста: однос корисника према конкретном ресурсу.</w:t>
      </w:r>
    </w:p>
    <w:p>
      <w:pPr>
        <w:pStyle w:val="ListBullet"/>
      </w:pPr>
      <w:r>
        <w:rPr>
          <w:b w:val="0"/>
          <w:i w:val="0"/>
        </w:rPr>
        <w:t>Одлука укључује идентитет, тражену радњу, ресурс и припадност ресурса одговарајућем домену или власнику.</w:t>
      </w:r>
    </w:p>
    <w:p>
      <w:pPr>
        <w:pStyle w:val="ListBullet"/>
      </w:pPr>
      <w:r>
        <w:rPr>
          <w:b w:val="0"/>
          <w:i w:val="0"/>
        </w:rPr>
        <w:t>Исти принцип важи за Програмски интерфејс позив, извоз података и позадинску обраду, не само за екран који корисник види.</w:t>
      </w:r>
    </w:p>
    <w:p>
      <w:pPr>
        <w:pStyle w:val="ListBullet"/>
      </w:pPr>
      <w:r>
        <w:rPr>
          <w:b w:val="0"/>
          <w:i w:val="0"/>
        </w:rPr>
        <w:t>Одговор на одбијени приступ треба да буде користан клијенту, али не сме да открије податке о заштићеном запису.</w:t>
      </w:r>
    </w:p>
    <w:p>
      <w:pPr>
        <w:keepNext/>
      </w:pPr>
      <w:r>
        <w:rPr>
          <w:b/>
          <w:i w:val="0"/>
        </w:rPr>
        <w:t>Критеријуми решења</w:t>
      </w:r>
    </w:p>
    <w:p>
      <w:r>
        <w:rPr>
          <w:b w:val="0"/>
          <w:i w:val="0"/>
        </w:rPr>
        <w:t>Решење треба да буде образложено пословним контекстом, примењено на серверској страни и потврђено поновљивим тестом, ревизијским записом или демонстрацијом.</w:t>
      </w:r>
    </w:p>
    <w:p>
      <w:bookmarkStart w:id="104" w:name="h104"/>
      <w:pPr>
        <w:pStyle w:val="Heading2"/>
        <w:pageBreakBefore w:val="0"/>
      </w:pPr>
      <w:r>
        <w:rPr>
          <w:b w:val="0"/>
          <w:i w:val="0"/>
        </w:rPr>
        <w:t>2.4 Дизајнерска одлука: податак носи обавезе</w:t>
      </w:r>
      <w:bookmarkEnd w:id="104"/>
    </w:p>
    <w:p>
      <w:r>
        <w:rPr>
          <w:b w:val="0"/>
          <w:i w:val="0"/>
        </w:rPr>
        <w:t>Класификација не говори само колико је податак важан. Она утиче на начин приказа, извоз, дељење, чување и брисање. Када те последице нису јасно везане за класификацију, сваки нови екран или интеграција мора поново да погађа како треба руковати информацијом.</w:t>
      </w:r>
    </w:p>
    <w:p>
      <w:pPr>
        <w:pStyle w:val="ListBullet"/>
      </w:pPr>
      <w:r>
        <w:rPr>
          <w:b w:val="0"/>
          <w:i w:val="0"/>
        </w:rPr>
        <w:t>Класификација има пословно значење које сви чланови тима тумаче на исти начин.</w:t>
      </w:r>
    </w:p>
    <w:p>
      <w:pPr>
        <w:pStyle w:val="ListBullet"/>
      </w:pPr>
      <w:r>
        <w:rPr>
          <w:b w:val="0"/>
          <w:i w:val="0"/>
        </w:rPr>
        <w:t>Правила за приказ и извоз треба да буду строжа када последице грешке расту.</w:t>
      </w:r>
    </w:p>
    <w:p>
      <w:pPr>
        <w:pStyle w:val="ListBullet"/>
      </w:pPr>
      <w:r>
        <w:rPr>
          <w:b w:val="0"/>
          <w:i w:val="0"/>
        </w:rPr>
        <w:t>Власник податка одговара за оправданост промене класификације, а систем чува траг те промене.</w:t>
      </w:r>
    </w:p>
    <w:p>
      <w:bookmarkStart w:id="105" w:name="h105"/>
      <w:pPr>
        <w:pStyle w:val="Heading2"/>
        <w:pageBreakBefore w:val="0"/>
      </w:pPr>
      <w:r>
        <w:rPr>
          <w:b w:val="0"/>
          <w:i w:val="0"/>
        </w:rPr>
        <w:t>2.5 Како знамо да је ауторизација потпуна</w:t>
      </w:r>
      <w:bookmarkEnd w:id="105"/>
    </w:p>
    <w:p>
      <w:r>
        <w:rPr>
          <w:b w:val="0"/>
          <w:i w:val="0"/>
        </w:rPr>
        <w:t>Приступ треба проверити кроз стварну границу система, а не само кроз кориснички интерфејс. То значи да директан Програмски интерфејс захтев, позадински процес и извоз не могу прескочити исто правило. Негативни тестови зато нису додатак после имплементације, већ најјаснији опис границе приступа.</w:t>
      </w:r>
    </w:p>
    <w:p>
      <w:pPr>
        <w:pStyle w:val="ListBullet"/>
      </w:pPr>
      <w:r>
        <w:rPr>
          <w:b w:val="0"/>
          <w:i w:val="0"/>
        </w:rPr>
        <w:t>Систем једнако штити ресурс када се захтев пошаље ван стандардног екрана.</w:t>
      </w:r>
    </w:p>
    <w:p>
      <w:pPr>
        <w:pStyle w:val="ListBullet"/>
      </w:pPr>
      <w:r>
        <w:rPr>
          <w:b w:val="0"/>
          <w:i w:val="0"/>
        </w:rPr>
        <w:t>Одбијени захтев не враћа детаље који помажу да се мапирају туђи подаци.</w:t>
      </w:r>
    </w:p>
    <w:p>
      <w:pPr>
        <w:pStyle w:val="ListBullet"/>
      </w:pPr>
      <w:r>
        <w:rPr>
          <w:b w:val="0"/>
          <w:i w:val="0"/>
        </w:rPr>
        <w:t>Промена класификације и промена власништва остављају довољно трага за каснији преглед.</w:t>
      </w:r>
    </w:p>
    <w:p>
      <w:pPr>
        <w:keepNext/>
      </w:pPr>
      <w:r>
        <w:rPr>
          <w:b/>
          <w:i w:val="0"/>
        </w:rPr>
        <w:t>Самостална провера</w:t>
      </w:r>
    </w:p>
    <w:p>
      <w:r>
        <w:rPr>
          <w:b w:val="0"/>
          <w:i w:val="0"/>
        </w:rPr>
        <w:t>За изабрани сценарио наведите одлуку система, коришћене податке, очекивани исход и доказ на основу ког други члан тима може да потврди резултат.</w:t>
      </w:r>
    </w:p>
    <w:p>
      <w:bookmarkStart w:id="106" w:name="h106"/>
      <w:pPr>
        <w:pStyle w:val="Heading2"/>
        <w:pageBreakBefore w:val="0"/>
      </w:pPr>
      <w:r>
        <w:rPr>
          <w:b w:val="0"/>
          <w:i w:val="0"/>
        </w:rPr>
        <w:t>2.6 Шема заштите једног ресурса</w:t>
      </w:r>
      <w:bookmarkEnd w:id="106"/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657073"/>
            <wp:docPr id="2" name="Picture 2" descr="Шема заштите једног ресурс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e6bc41f128f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57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Слика 2. Шема заштите једног ресурса</w:t>
      </w:r>
    </w:p>
    <w:p>
      <w:r>
        <w:rPr>
          <w:b w:val="0"/>
          <w:i w:val="0"/>
        </w:rPr>
        <w:t>Идентификатор у адреси не представља право приступа. Однос субјекта према ресурсу проверава се на серверу.</w:t>
      </w:r>
    </w:p>
    <w:p>
      <w:r>
        <w:rPr>
          <w:b w:val="0"/>
          <w:i w:val="0"/>
        </w:rPr>
        <w:t>За сваки корак шеме одредите покретача, одлуку која се доноси и запис који остаје након извршења.</w:t>
      </w:r>
    </w:p>
    <w:p>
      <w:bookmarkStart w:id="107" w:name="h107"/>
      <w:pPr>
        <w:pStyle w:val="Heading2"/>
        <w:pageBreakBefore w:val="0"/>
      </w:pPr>
      <w:r>
        <w:rPr>
          <w:b w:val="0"/>
          <w:i w:val="0"/>
        </w:rPr>
        <w:t>2.7 Нивои провере приступа</w:t>
      </w:r>
      <w:bookmarkEnd w:id="107"/>
    </w:p>
    <w:p>
      <w:pPr>
        <w:pStyle w:val="Caption"/>
        <w:keepNext/>
        <w:jc w:val="left"/>
      </w:pPr>
      <w:r>
        <w:t>Табела 1. Ниво и Шта проверава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1"/>
        <w:gridCol w:w="3978"/>
        <w:gridCol w:w="4239"/>
      </w:tblGrid>
      <w:tr>
        <w:trPr>
          <w:cantSplit/>
          <w:tblHeader/>
        </w:trPr>
        <w:tc>
          <w:tcPr>
            <w:tcW w:type="dxa" w:w="142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Ниво</w:t>
            </w:r>
          </w:p>
        </w:tc>
        <w:tc>
          <w:tcPr>
            <w:tcW w:type="dxa" w:w="397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Шта проверава</w:t>
            </w:r>
          </w:p>
        </w:tc>
        <w:tc>
          <w:tcPr>
            <w:tcW w:type="dxa" w:w="42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Зашто није довољан сам</w:t>
            </w:r>
          </w:p>
        </w:tc>
      </w:tr>
      <w:tr>
        <w:trPr>
          <w:cantSplit/>
        </w:trPr>
        <w:tc>
          <w:tcPr>
            <w:tcW w:type="dxa" w:w="142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Пријава</w:t>
            </w:r>
          </w:p>
        </w:tc>
        <w:tc>
          <w:tcPr>
            <w:tcW w:type="dxa" w:w="397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Идентитет субјекта.</w:t>
            </w:r>
          </w:p>
        </w:tc>
        <w:tc>
          <w:tcPr>
            <w:tcW w:type="dxa" w:w="42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Не говори шта субјекат сме да уради.</w:t>
            </w:r>
          </w:p>
        </w:tc>
      </w:tr>
      <w:tr>
        <w:trPr>
          <w:cantSplit/>
        </w:trPr>
        <w:tc>
          <w:tcPr>
            <w:tcW w:type="dxa" w:w="142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Улога</w:t>
            </w:r>
          </w:p>
        </w:tc>
        <w:tc>
          <w:tcPr>
            <w:tcW w:type="dxa" w:w="397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Општи скуп одговорности.</w:t>
            </w:r>
          </w:p>
        </w:tc>
        <w:tc>
          <w:tcPr>
            <w:tcW w:type="dxa" w:w="42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Не зна однос према конкретном запису.</w:t>
            </w:r>
          </w:p>
        </w:tc>
      </w:tr>
      <w:tr>
        <w:trPr>
          <w:cantSplit/>
        </w:trPr>
        <w:tc>
          <w:tcPr>
            <w:tcW w:type="dxa" w:w="142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Ресурс</w:t>
            </w:r>
          </w:p>
        </w:tc>
        <w:tc>
          <w:tcPr>
            <w:tcW w:type="dxa" w:w="397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Власништво, припадност и класификацију.</w:t>
            </w:r>
          </w:p>
        </w:tc>
        <w:tc>
          <w:tcPr>
            <w:tcW w:type="dxa" w:w="42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Мора се комбиновати са радњом и политиком.</w:t>
            </w:r>
          </w:p>
        </w:tc>
      </w:tr>
      <w:tr>
        <w:trPr>
          <w:cantSplit/>
        </w:trPr>
        <w:tc>
          <w:tcPr>
            <w:tcW w:type="dxa" w:w="142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Контекст</w:t>
            </w:r>
          </w:p>
        </w:tc>
        <w:tc>
          <w:tcPr>
            <w:tcW w:type="dxa" w:w="397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Време, стање и пословно оправдање.</w:t>
            </w:r>
          </w:p>
        </w:tc>
        <w:tc>
          <w:tcPr>
            <w:tcW w:type="dxa" w:w="42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Може променити закључак за исту улогу.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keepNext/>
      </w:pPr>
      <w:r>
        <w:rPr>
          <w:b/>
          <w:i w:val="0"/>
        </w:rPr>
        <w:t>Тумачење поређења</w:t>
      </w:r>
    </w:p>
    <w:p>
      <w:r>
        <w:rPr>
          <w:b w:val="0"/>
          <w:i w:val="0"/>
        </w:rPr>
        <w:t>Сваки појам описује посебан део безбедносне одлуке; тек њиховом правилном комбинацијом настаје целовит модел.</w:t>
      </w:r>
    </w:p>
    <w:p>
      <w:bookmarkStart w:id="108" w:name="h108"/>
      <w:pPr>
        <w:pStyle w:val="Heading2"/>
        <w:pageBreakBefore w:val="0"/>
      </w:pPr>
      <w:r>
        <w:rPr>
          <w:b w:val="0"/>
          <w:i w:val="0"/>
        </w:rPr>
        <w:t>2.8 Животни циклус податка</w:t>
      </w:r>
      <w:bookmarkEnd w:id="108"/>
    </w:p>
    <w:p>
      <w:r>
        <w:rPr>
          <w:b w:val="0"/>
          <w:i w:val="0"/>
        </w:rPr>
        <w:t>Заштита података не завршава се у тренутку читања. Исти податак пролази кроз креирање, употребу, дељење, чување и уклањање. Свака фаза поставља друго питање о дозвољеном приступу и потребном трагу.</w:t>
      </w:r>
    </w:p>
    <w:p>
      <w:pPr>
        <w:ind w:left="340" w:hanging="340"/>
      </w:pPr>
      <w:r>
        <w:t xml:space="preserve">1. </w:t>
      </w:r>
      <w:r>
        <w:rPr>
          <w:b w:val="0"/>
          <w:i w:val="0"/>
        </w:rPr>
        <w:t>При креирању се одређују власник и класификација.</w:t>
      </w:r>
    </w:p>
    <w:p>
      <w:pPr>
        <w:ind w:left="340" w:hanging="340"/>
      </w:pPr>
      <w:r>
        <w:t xml:space="preserve">2. </w:t>
      </w:r>
      <w:r>
        <w:rPr>
          <w:b w:val="0"/>
          <w:i w:val="0"/>
        </w:rPr>
        <w:t>При коришћењу се проверава сврха и опсег приступа.</w:t>
      </w:r>
    </w:p>
    <w:p>
      <w:pPr>
        <w:ind w:left="340" w:hanging="340"/>
      </w:pPr>
      <w:r>
        <w:t xml:space="preserve">3. </w:t>
      </w:r>
      <w:r>
        <w:rPr>
          <w:b w:val="0"/>
          <w:i w:val="0"/>
        </w:rPr>
        <w:t>При дељењу се проверава граница поверења и минимални скуп података.</w:t>
      </w:r>
    </w:p>
    <w:p>
      <w:pPr>
        <w:ind w:left="340" w:hanging="340"/>
      </w:pPr>
      <w:r>
        <w:t xml:space="preserve">4. </w:t>
      </w:r>
      <w:r>
        <w:rPr>
          <w:b w:val="0"/>
          <w:i w:val="0"/>
        </w:rPr>
        <w:t>При чувању и уклањању примењују се рокови чувања и правила ревизијског евидентирања.</w:t>
      </w:r>
    </w:p>
    <w:p>
      <w:pPr>
        <w:keepNext/>
      </w:pPr>
      <w:r>
        <w:rPr>
          <w:b/>
          <w:i w:val="0"/>
        </w:rPr>
        <w:t>Исход учења</w:t>
      </w:r>
    </w:p>
    <w:p>
      <w:r>
        <w:rPr>
          <w:b w:val="0"/>
          <w:i w:val="0"/>
        </w:rPr>
        <w:t>Студент треба да уме да изабере одговарајућа питања за анализу безбедносно значајне одлуке и да образложи редослед њихове примене.</w:t>
      </w:r>
    </w:p>
    <w:p>
      <w:pPr>
        <w:keepNext/>
      </w:pPr>
      <w:r>
        <w:rPr>
          <w:b/>
          <w:i w:val="0"/>
        </w:rPr>
        <w:t>Примена на пројекту</w:t>
      </w:r>
    </w:p>
    <w:p>
      <w:r>
        <w:rPr>
          <w:b w:val="0"/>
          <w:i w:val="0"/>
        </w:rPr>
        <w:t>На додељеној пројектној целини применити принцип из теме „Ауторизација над ресурсом и класификација података". Идентификовати одлуку система, имплементирати је на серверској страни и припремити доказ у облику теста, ревизијског записа или демонстрације.</w:t>
      </w:r>
    </w:p>
    <w:p>
      <w:bookmarkStart w:id="109" w:name="h109"/>
      <w:pPr>
        <w:pStyle w:val="Heading2"/>
        <w:pageBreakBefore w:val="0"/>
      </w:pPr>
      <w:r>
        <w:rPr>
          <w:b w:val="0"/>
          <w:i w:val="0"/>
        </w:rPr>
        <w:t>2.9 Извршиви пример</w:t>
      </w:r>
      <w:bookmarkEnd w:id="109"/>
    </w:p>
    <w:p>
      <w:r>
        <w:rPr>
          <w:rFonts w:ascii="Courier New" w:hAnsi="Courier New"/>
          <w:b w:val="0"/>
          <w:i w:val="0"/>
          <w:sz w:val="18"/>
        </w:rPr>
        <w:t>ResourceReadPolicy</w:t>
      </w:r>
      <w:r>
        <w:rPr>
          <w:b w:val="0"/>
          <w:i w:val="0"/>
        </w:rPr>
        <w:t xml:space="preserve"> проверава дозволу, власништво и класификацију конкретног записа. Провера се извршава на серверу за сваки захтев.</w:t>
      </w:r>
    </w:p>
    <w:p>
      <w:pPr>
        <w:pStyle w:val="Caption"/>
        <w:keepNext/>
      </w:pPr>
      <w:r>
        <w:t>Пример 1. Покретање из репозиторијума наставног портала; потребан је дотнет 8 СДК.</w:t>
      </w:r>
    </w:p>
    <w:p>
      <w:pPr>
        <w:widowControl w:val="0"/>
        <w:spacing w:line="240" w:lineRule="auto" w:after="140"/>
        <w:jc w:val="left"/>
      </w:pPr>
      <w:r>
        <w:rPr>
          <w:rFonts w:ascii="Courier New" w:hAnsi="Courier New"/>
          <w:sz w:val="18"/>
          <w:lang w:val="en-US"/>
        </w:rPr>
        <w:t>cd examples/oib-dotnet/vezba-02-resurs-klasifikacija</w:t>
        <w:br/>
        <w:t>dotnet run --project src/Oib.Vezba02.ConsoleUi</w:t>
        <w:br/>
        <w:t>dotnet test Oib.Vezba02.sln</w:t>
      </w:r>
    </w:p>
    <w:p>
      <w:pPr>
        <w:pStyle w:val="Caption"/>
        <w:keepNext/>
        <w:jc w:val="left"/>
      </w:pPr>
      <w:r>
        <w:t>Табела 2. Провера и Садржај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8"/>
        <w:gridCol w:w="7589"/>
      </w:tblGrid>
      <w:tr>
        <w:trPr>
          <w:cantSplit/>
          <w:tblHeader/>
        </w:trPr>
        <w:tc>
          <w:tcPr>
            <w:tcW w:type="dxa" w:w="204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Провера</w:t>
            </w:r>
          </w:p>
        </w:tc>
        <w:tc>
          <w:tcPr>
            <w:tcW w:type="dxa" w:w="758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Садржај</w:t>
            </w:r>
          </w:p>
        </w:tc>
      </w:tr>
      <w:tr>
        <w:trPr>
          <w:cantSplit/>
        </w:trPr>
        <w:tc>
          <w:tcPr>
            <w:tcW w:type="dxa" w:w="204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Сценарио</w:t>
            </w:r>
          </w:p>
        </w:tc>
        <w:tc>
          <w:tcPr>
            <w:tcW w:type="dxa" w:w="758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Корисник погађа идентификатор туђег записа.</w:t>
            </w:r>
          </w:p>
        </w:tc>
      </w:tr>
      <w:tr>
        <w:trPr>
          <w:cantSplit/>
        </w:trPr>
        <w:tc>
          <w:tcPr>
            <w:tcW w:type="dxa" w:w="204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Тестови</w:t>
            </w:r>
          </w:p>
        </w:tc>
        <w:tc>
          <w:tcPr>
            <w:tcW w:type="dxa" w:w="758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ResourceReadPolicyTests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sz w:val="18"/>
              </w:rPr>
              <w:t>ReadResourceHandlerTests</w:t>
            </w:r>
          </w:p>
        </w:tc>
      </w:tr>
      <w:tr>
        <w:trPr>
          <w:cantSplit/>
        </w:trPr>
        <w:tc>
          <w:tcPr>
            <w:tcW w:type="dxa" w:w="204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Доказ</w:t>
            </w:r>
          </w:p>
        </w:tc>
        <w:tc>
          <w:tcPr>
            <w:tcW w:type="dxa" w:w="758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ResourceAccessAuditEntry</w:t>
            </w:r>
            <w:r>
              <w:rPr>
                <w:b w:val="0"/>
                <w:i w:val="0"/>
                <w:sz w:val="19"/>
              </w:rPr>
              <w:t xml:space="preserve"> садржи исход и стабилан код одлуке.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keepNext/>
      </w:pPr>
      <w:r>
        <w:rPr>
          <w:b/>
          <w:i w:val="0"/>
        </w:rPr>
        <w:t>Задатак уз пример</w:t>
      </w:r>
    </w:p>
    <w:p>
      <w:r>
        <w:rPr>
          <w:b w:val="0"/>
          <w:i w:val="0"/>
        </w:rPr>
        <w:t xml:space="preserve">Увести радњу измене записа: мења га само власник, без обзира на </w:t>
      </w:r>
      <w:r>
        <w:rPr>
          <w:rFonts w:ascii="Courier New" w:hAnsi="Courier New"/>
          <w:b w:val="0"/>
          <w:i w:val="0"/>
          <w:sz w:val="18"/>
        </w:rPr>
        <w:t>records:read:any</w:t>
      </w:r>
      <w:r>
        <w:rPr>
          <w:b w:val="0"/>
          <w:i w:val="0"/>
        </w:rPr>
        <w:t xml:space="preserve">. Додати нову политику и случај употребе поред постојећих, без мењања </w:t>
      </w:r>
      <w:r>
        <w:rPr>
          <w:rFonts w:ascii="Courier New" w:hAnsi="Courier New"/>
          <w:b w:val="0"/>
          <w:i w:val="0"/>
          <w:sz w:val="18"/>
        </w:rPr>
        <w:t>ResourceReadPolicy</w:t>
      </w:r>
      <w:r>
        <w:rPr>
          <w:b w:val="0"/>
          <w:i w:val="0"/>
        </w:rPr>
        <w:t>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624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2" w:lineRule="auto"/>
      <w:jc w:val="both"/>
    </w:pPr>
    <w:rPr>
      <w:rFonts w:ascii="Times New Roman" w:hAnsi="Times New Roman" w:eastAsia="Times New Roman" w:cs="Times New Roman"/>
      <w:b w:val="0"/>
      <w:i w:val="0"/>
      <w:color w:val="000000"/>
      <w:sz w:val="21"/>
      <w:lang w:val="sr-Cyrl-R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20" w:line="252" w:lineRule="auto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8"/>
      <w:lang w:val="sr-Cyrl-R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52" w:lineRule="auto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26"/>
      <w:lang w:val="sr-Cyrl-R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20" w:line="252" w:lineRule="auto"/>
      <w:outlineLvl w:val="2"/>
    </w:pPr>
    <w:rPr>
      <w:rFonts w:ascii="Times New Roman" w:hAnsi="Times New Roman" w:eastAsia="Times New Roman" w:cs="Times New Roman"/>
      <w:b/>
      <w:bCs/>
      <w:i w:val="0"/>
      <w:color w:val="000000"/>
      <w:sz w:val="20"/>
      <w:lang w:val="sr-Cyrl-R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40" w:line="252" w:lineRule="auto"/>
      <w:contextualSpacing/>
    </w:pPr>
    <w:rPr>
      <w:rFonts w:ascii="Times New Roman" w:hAnsi="Times New Roman" w:eastAsia="Times New Roman" w:cs="Times New Roman"/>
      <w:b/>
      <w:i w:val="0"/>
      <w:color w:val="000000"/>
      <w:spacing w:val="5"/>
      <w:kern w:val="28"/>
      <w:sz w:val="48"/>
      <w:szCs w:val="52"/>
      <w:lang w:val="sr-Cyrl-RS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200" w:line="252" w:lineRule="auto"/>
    </w:pPr>
    <w:rPr>
      <w:rFonts w:ascii="Times New Roman" w:hAnsi="Times New Roman" w:eastAsia="Times New Roman" w:cs="Times New Roman"/>
      <w:b w:val="0"/>
      <w:i w:val="0"/>
      <w:iCs/>
      <w:color w:val="000000"/>
      <w:spacing w:val="15"/>
      <w:sz w:val="26"/>
      <w:szCs w:val="24"/>
      <w:lang w:val="sr-Cyrl-RS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0" w:line="252" w:lineRule="auto"/>
      <w:ind w:left="283" w:hanging="170"/>
      <w:contextualSpacing/>
    </w:pPr>
    <w:rPr>
      <w:rFonts w:ascii="Times New Roman" w:hAnsi="Times New Roman" w:eastAsia="Times New Roman" w:cs="Times New Roman"/>
      <w:b w:val="0"/>
      <w:i w:val="0"/>
      <w:color w:val="000000"/>
      <w:sz w:val="21"/>
      <w:lang w:val="sr-Cyrl-R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0" w:line="252" w:lineRule="auto"/>
      <w:ind w:left="283" w:hanging="170"/>
      <w:contextualSpacing/>
    </w:pPr>
    <w:rPr>
      <w:rFonts w:ascii="Times New Roman" w:hAnsi="Times New Roman" w:eastAsia="Times New Roman" w:cs="Times New Roman"/>
      <w:b w:val="0"/>
      <w:i w:val="0"/>
      <w:color w:val="000000"/>
      <w:sz w:val="21"/>
      <w:lang w:val="sr-Cyrl-R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2" w:lineRule="auto" w:after="120" w:before="120"/>
    </w:pPr>
    <w:rPr>
      <w:rFonts w:ascii="Times New Roman" w:hAnsi="Times New Roman" w:eastAsia="Times New Roman" w:cs="Times New Roman"/>
      <w:b w:val="0"/>
      <w:bCs/>
      <w:i/>
      <w:color w:val="000000"/>
      <w:sz w:val="20"/>
      <w:szCs w:val="18"/>
      <w:lang w:val="sr-Cyrl-RS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Ауторизација над ресурсом и класификација података</dc:title>
  <dc:subject>Основе информационе безбедности</dc:subject>
  <dc:creator>Данијел Јовановић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sr-Cyrl-RS</dc:language>
</cp:coreProperties>
</file>