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Политике, конфигурација и безбедносна видљивост</w:t>
      </w:r>
    </w:p>
    <w:p>
      <w:pPr>
        <w:pStyle w:val="Subtitle"/>
      </w:pPr>
      <w:r>
        <w:t>Основе информационе безбедности  ·  03</w:t>
      </w:r>
    </w:p>
    <w:p>
      <w:r>
        <w:rPr>
          <w:b w:val="0"/>
          <w:i w:val="0"/>
        </w:rPr>
        <w:t>Безбедносна правила постају поуздана тек када су видљива, верзионисана и проверљива. Правило расуто кроз неколико метода није лако објаснити, прегледати нити променити без нежељених последица. Политика зато представља договорено правило, а конфигурација његову примену у конкретном окружењу.</w:t>
      </w:r>
    </w:p>
    <w:p>
      <w:r>
        <w:rPr>
          <w:b w:val="0"/>
          <w:i w:val="0"/>
        </w:rPr>
        <w:t>Видљивост не служи само реаговању на инцидент. Она омогућава тиму да разуме одлуку система, прати одступање од очекиваног стања и повеже догађаје кроз различите слојеве апликације.</w:t>
      </w:r>
    </w:p>
    <w:p>
      <w:pPr>
        <w:keepNext/>
        <w:spacing w:after="0"/>
        <w:jc w:val="center"/>
      </w:pPr>
      <w:r>
        <w:drawing>
          <wp:inline xmlns:a="http://schemas.openxmlformats.org/drawingml/2006/main" xmlns:pic="http://schemas.openxmlformats.org/drawingml/2006/picture">
            <wp:extent cx="6120000" cy="3657073"/>
            <wp:docPr id="1" name="Picture 1" descr="Експлицитна правила уместо безбедности скривене у коду"/>
            <wp:cNvGraphicFramePr>
              <a:graphicFrameLocks noChangeAspect="1"/>
            </wp:cNvGraphicFramePr>
            <a:graphic>
              <a:graphicData uri="http://schemas.openxmlformats.org/drawingml/2006/picture">
                <pic:pic>
                  <pic:nvPicPr>
                    <pic:cNvPr id="0" name="19a457897dbb.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Експлицитна правила уместо безбедности скривене у коду</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00" w:name="h100"/>
      <w:pPr>
        <w:pStyle w:val="Heading2"/>
        <w:pageBreakBefore w:val="0"/>
      </w:pPr>
      <w:r>
        <w:rPr>
          <w:b w:val="0"/>
          <w:i w:val="0"/>
        </w:rPr>
        <w:t>3.1 Правило без доказа је само намера</w:t>
      </w:r>
      <w:bookmarkEnd w:id="100"/>
    </w:p>
    <w:p>
      <w:r>
        <w:rPr>
          <w:b w:val="0"/>
          <w:i w:val="0"/>
        </w:rPr>
        <w:t>Видљивост не служи само реаговању на инцидент. Она омогућава тиму да разуме одлуку система, прати одступање од очекиваног стања и повеже догађаје кроз различите слојеве апликације.</w:t>
      </w:r>
    </w:p>
    <w:p>
      <w:pPr>
        <w:pStyle w:val="ListBullet"/>
      </w:pPr>
      <w:r>
        <w:rPr>
          <w:b w:val="0"/>
          <w:i w:val="0"/>
        </w:rPr>
        <w:t>Нова верзија политике не брише разлог због ког је стара одлука некада била исправна.</w:t>
      </w:r>
    </w:p>
    <w:p>
      <w:pPr>
        <w:pStyle w:val="ListBullet"/>
      </w:pPr>
      <w:r>
        <w:rPr>
          <w:b w:val="0"/>
          <w:i w:val="0"/>
        </w:rPr>
        <w:t>Конфигурациона вредност има власника, значење и очекивани опсег.</w:t>
      </w:r>
    </w:p>
    <w:p>
      <w:pPr>
        <w:pStyle w:val="ListBullet"/>
      </w:pPr>
      <w:r>
        <w:rPr>
          <w:b w:val="0"/>
          <w:i w:val="0"/>
        </w:rPr>
        <w:t>Корелациони идентификатор повезује један безбедносни ток кроз слојеве система.</w:t>
      </w:r>
    </w:p>
    <w:p>
      <w:pPr>
        <w:keepNext/>
      </w:pPr>
      <w:r>
        <w:rPr>
          <w:b/>
          <w:i w:val="0"/>
        </w:rPr>
        <w:t>Питање за дискусију</w:t>
      </w:r>
    </w:p>
    <w:p>
      <w:r>
        <w:rPr>
          <w:b w:val="0"/>
          <w:i w:val="0"/>
        </w:rPr>
        <w:t>Које безбедносно правило би требало да буде засебан, читљив артефакт у вашој целини и који доказ показује да ради?</w:t>
      </w:r>
    </w:p>
    <w:p>
      <w:bookmarkStart w:id="101" w:name="h101"/>
      <w:pPr>
        <w:pStyle w:val="Heading2"/>
        <w:pageBreakBefore w:val="0"/>
      </w:pPr>
      <w:r>
        <w:rPr>
          <w:b w:val="0"/>
          <w:i w:val="0"/>
        </w:rPr>
        <w:t>3.2 Како се ова тема види у развоју</w:t>
      </w:r>
      <w:bookmarkEnd w:id="101"/>
    </w:p>
    <w:p>
      <w:r>
        <w:rPr>
          <w:b w:val="0"/>
          <w:i w:val="0"/>
        </w:rPr>
        <w:t>Тим бира неколико кључних одлука које мора моћи да објасни из лога и теста. То нису сви догађаји система, већ они чији би нејасан исход отежао истрагу, преглед приступа или корекцију конфигурације.</w:t>
      </w:r>
    </w:p>
    <w:p>
      <w:bookmarkStart w:id="102" w:name="h102"/>
      <w:pPr>
        <w:pStyle w:val="Heading3"/>
        <w:pageBreakBefore w:val="0"/>
      </w:pPr>
      <w:r>
        <w:rPr>
          <w:b w:val="0"/>
          <w:i w:val="0"/>
        </w:rPr>
        <w:t>Честе грешке које треба препознати</w:t>
      </w:r>
      <w:bookmarkEnd w:id="102"/>
    </w:p>
    <w:p>
      <w:pPr>
        <w:pStyle w:val="ListBullet"/>
      </w:pPr>
      <w:r>
        <w:rPr>
          <w:b w:val="0"/>
          <w:i w:val="0"/>
        </w:rPr>
        <w:t>Уређивање објављене политике на месту без историје.</w:t>
      </w:r>
    </w:p>
    <w:p>
      <w:pPr>
        <w:pStyle w:val="ListBullet"/>
      </w:pPr>
      <w:r>
        <w:rPr>
          <w:b w:val="0"/>
          <w:i w:val="0"/>
        </w:rPr>
        <w:t>Тајне у конфигурационим датотекама или логовима.</w:t>
      </w:r>
    </w:p>
    <w:p>
      <w:pPr>
        <w:pStyle w:val="ListBullet"/>
      </w:pPr>
      <w:r>
        <w:rPr>
          <w:b w:val="0"/>
          <w:i w:val="0"/>
        </w:rPr>
        <w:t>Метрика без јасног питања на које треба да одговори.</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03" w:name="h103"/>
      <w:pPr>
        <w:pStyle w:val="Heading2"/>
        <w:pageBreakBefore w:val="0"/>
      </w:pPr>
      <w:r>
        <w:rPr>
          <w:b w:val="0"/>
          <w:i w:val="0"/>
        </w:rPr>
        <w:t>3.3 Пример: промена правила без губитка историје</w:t>
      </w:r>
      <w:bookmarkEnd w:id="103"/>
    </w:p>
    <w:p>
      <w:r>
        <w:rPr>
          <w:b w:val="0"/>
          <w:i w:val="0"/>
        </w:rPr>
        <w:t>Тим пооштрава правило за приступ административном интерфејсу. Ако старо правило само препише новим, касније не може да објасни зашто је ранији приступ био дозвољен нити да реконструише које је очекивање тада важило. Верзионисање не служи бирократији, већ очувању смисла историјских одлука.</w:t>
      </w:r>
    </w:p>
    <w:p>
      <w:pPr>
        <w:pStyle w:val="ListBullet"/>
      </w:pPr>
      <w:r>
        <w:rPr>
          <w:b w:val="0"/>
          <w:i w:val="0"/>
        </w:rPr>
        <w:t>Политика описује намеру и важење, док конфигурација чува вредности којима се та намера примењује у окружењу.</w:t>
      </w:r>
    </w:p>
    <w:p>
      <w:pPr>
        <w:pStyle w:val="ListBullet"/>
      </w:pPr>
      <w:r>
        <w:rPr>
          <w:b w:val="0"/>
          <w:i w:val="0"/>
        </w:rPr>
        <w:t>Свака промена која утиче на одлуку има власника, датум и јасан разлог.</w:t>
      </w:r>
    </w:p>
    <w:p>
      <w:pPr>
        <w:pStyle w:val="ListBullet"/>
      </w:pPr>
      <w:r>
        <w:rPr>
          <w:b w:val="0"/>
          <w:i w:val="0"/>
        </w:rPr>
        <w:t>Лог, метрика или тест дају доказ да систем ради према активном правилу, а не само да је правило записано.</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04" w:name="h104"/>
      <w:pPr>
        <w:pStyle w:val="Heading2"/>
        <w:pageBreakBefore w:val="0"/>
      </w:pPr>
      <w:r>
        <w:rPr>
          <w:b w:val="0"/>
          <w:i w:val="0"/>
        </w:rPr>
        <w:t>3.4 Дизајнерска одлука: правило мора имати границе</w:t>
      </w:r>
      <w:bookmarkEnd w:id="104"/>
    </w:p>
    <w:p>
      <w:r>
        <w:rPr>
          <w:b w:val="0"/>
          <w:i w:val="0"/>
        </w:rPr>
        <w:t>Политика постаје корисна када је довољно прецизна да људи доносе доследне одлуке, а довољно читљива да се може објаснити без читања изворног кода. Добро правило наводи на шта се односи, ко је власник, када важи и шта се дешава ако се правила сукобе.</w:t>
      </w:r>
    </w:p>
    <w:p>
      <w:pPr>
        <w:pStyle w:val="ListBullet"/>
      </w:pPr>
      <w:r>
        <w:rPr>
          <w:b w:val="0"/>
          <w:i w:val="0"/>
        </w:rPr>
        <w:t>Конфликт политика решава се унапред договореним правилом, често рестриктивнијом одлуком.</w:t>
      </w:r>
    </w:p>
    <w:p>
      <w:pPr>
        <w:pStyle w:val="ListBullet"/>
      </w:pPr>
      <w:r>
        <w:rPr>
          <w:b w:val="0"/>
          <w:i w:val="0"/>
        </w:rPr>
        <w:t>Конфигурација не мења смисао политике без видљивог процеса одобравања.</w:t>
      </w:r>
    </w:p>
    <w:p>
      <w:pPr>
        <w:pStyle w:val="ListBullet"/>
      </w:pPr>
      <w:r>
        <w:rPr>
          <w:b w:val="0"/>
          <w:i w:val="0"/>
        </w:rPr>
        <w:t>Безбедносна контрола има власника и очекивани доказ, иначе нико не прати да ли је престала да ради.</w:t>
      </w:r>
    </w:p>
    <w:p>
      <w:bookmarkStart w:id="105" w:name="h105"/>
      <w:pPr>
        <w:pStyle w:val="Heading2"/>
        <w:pageBreakBefore w:val="0"/>
      </w:pPr>
      <w:r>
        <w:rPr>
          <w:b w:val="0"/>
          <w:i w:val="0"/>
        </w:rPr>
        <w:t>3.5 Видљивост као способност тима</w:t>
      </w:r>
      <w:bookmarkEnd w:id="105"/>
    </w:p>
    <w:p>
      <w:r>
        <w:rPr>
          <w:b w:val="0"/>
          <w:i w:val="0"/>
        </w:rPr>
        <w:t>Опсервабилност подразумева да се за значајну одлуку може пронаћи одговарајући контекст: место настанка, ток кроз слојеве система и разлог успешног или одбијеног исхода. Корелациони идентификатор повезује записе који припадају истој операцији.</w:t>
      </w:r>
    </w:p>
    <w:p>
      <w:pPr>
        <w:pStyle w:val="ListBullet"/>
      </w:pPr>
      <w:r>
        <w:rPr>
          <w:b w:val="0"/>
          <w:i w:val="0"/>
        </w:rPr>
        <w:t>Технички логови разликују се од безбедносно значајних ревизијских записа.</w:t>
      </w:r>
    </w:p>
    <w:p>
      <w:pPr>
        <w:pStyle w:val="ListBullet"/>
      </w:pPr>
      <w:r>
        <w:rPr>
          <w:b w:val="0"/>
          <w:i w:val="0"/>
        </w:rPr>
        <w:t>Метрика има назив, власника и прецизно дефинисано питање на које одговара.</w:t>
      </w:r>
    </w:p>
    <w:p>
      <w:pPr>
        <w:pStyle w:val="ListBullet"/>
      </w:pPr>
      <w:r>
        <w:rPr>
          <w:b w:val="0"/>
          <w:i w:val="0"/>
        </w:rPr>
        <w:t>Тајне, токени и непотребни лични подаци не бележе се у логове нити у ознаке метрика.</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06" w:name="h106"/>
      <w:pPr>
        <w:pStyle w:val="Heading2"/>
        <w:pageBreakBefore w:val="0"/>
      </w:pPr>
      <w:r>
        <w:rPr>
          <w:b w:val="0"/>
          <w:i w:val="0"/>
        </w:rPr>
        <w:t>3.6 Шема од правила до доказа</w:t>
      </w:r>
      <w:bookmarkEnd w:id="106"/>
    </w:p>
    <w:p>
      <w:pPr>
        <w:keepNext/>
        <w:spacing w:after="0"/>
        <w:jc w:val="center"/>
      </w:pPr>
      <w:r>
        <w:drawing>
          <wp:inline xmlns:a="http://schemas.openxmlformats.org/drawingml/2006/main" xmlns:pic="http://schemas.openxmlformats.org/drawingml/2006/picture">
            <wp:extent cx="6120000" cy="3657073"/>
            <wp:docPr id="2" name="Picture 2" descr="Шема од правила до доказа"/>
            <wp:cNvGraphicFramePr>
              <a:graphicFrameLocks noChangeAspect="1"/>
            </wp:cNvGraphicFramePr>
            <a:graphic>
              <a:graphicData uri="http://schemas.openxmlformats.org/drawingml/2006/picture">
                <pic:pic>
                  <pic:nvPicPr>
                    <pic:cNvPr id="0" name="dfa9f123eaac.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од правила до доказа</w:t>
      </w:r>
    </w:p>
    <w:p>
      <w:r>
        <w:rPr>
          <w:b w:val="0"/>
          <w:i w:val="0"/>
        </w:rPr>
        <w:t>Правило може бити добро написано, а контрола ипак неефективна. Доказ повезује очекивање са реалним понашањем.</w:t>
      </w:r>
    </w:p>
    <w:p>
      <w:r>
        <w:rPr>
          <w:b w:val="0"/>
          <w:i w:val="0"/>
        </w:rPr>
        <w:t>За сваки корак шеме одредите покретача, одлуку која се доноси и запис који остаје након извршења.</w:t>
      </w:r>
    </w:p>
    <w:p>
      <w:bookmarkStart w:id="107" w:name="h107"/>
      <w:pPr>
        <w:pStyle w:val="Heading2"/>
        <w:pageBreakBefore w:val="0"/>
      </w:pPr>
      <w:r>
        <w:rPr>
          <w:b w:val="0"/>
          <w:i w:val="0"/>
        </w:rPr>
        <w:t>3.7 Политика, процедура и контрола</w:t>
      </w:r>
      <w:bookmarkEnd w:id="107"/>
    </w:p>
    <w:p>
      <w:pPr>
        <w:pStyle w:val="Caption"/>
        <w:keepNext/>
        <w:jc w:val="left"/>
      </w:pPr>
      <w:r>
        <w:t>Табела 1. Елемент и Улога</w:t>
      </w:r>
    </w:p>
    <w:tbl>
      <w:tblPr>
        <w:tblW w:type="auto" w:w="0"/>
        <w:jc w:val="center"/>
        <w:tblLayout w:type="fixed"/>
        <w:tblLook w:firstColumn="1" w:firstRow="1" w:lastColumn="0" w:lastRow="0" w:noHBand="0" w:noVBand="1" w:val="04A0"/>
      </w:tblPr>
      <w:tblGrid>
        <w:gridCol w:w="1488"/>
        <w:gridCol w:w="4356"/>
        <w:gridCol w:w="3794"/>
      </w:tblGrid>
      <w:tr>
        <w:trPr>
          <w:cantSplit/>
          <w:tblHeader/>
        </w:trPr>
        <w:tc>
          <w:tcPr>
            <w:tcW w:type="dxa" w:w="148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435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w:t>
            </w:r>
          </w:p>
        </w:tc>
        <w:tc>
          <w:tcPr>
            <w:tcW w:type="dxa" w:w="379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Пример доказа</w:t>
            </w:r>
          </w:p>
        </w:tc>
      </w:tr>
      <w:tr>
        <w:trPr>
          <w:cantSplit/>
        </w:trPr>
        <w:tc>
          <w:tcPr>
            <w:tcW w:type="dxa" w:w="14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Политика</w:t>
            </w:r>
          </w:p>
        </w:tc>
        <w:tc>
          <w:tcPr>
            <w:tcW w:type="dxa" w:w="4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Одређује правило и циљ заштите.</w:t>
            </w:r>
          </w:p>
        </w:tc>
        <w:tc>
          <w:tcPr>
            <w:tcW w:type="dxa" w:w="379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Верзионисан текст са власником.</w:t>
            </w:r>
          </w:p>
        </w:tc>
      </w:tr>
      <w:tr>
        <w:trPr>
          <w:cantSplit/>
        </w:trPr>
        <w:tc>
          <w:tcPr>
            <w:tcW w:type="dxa" w:w="14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Процедура</w:t>
            </w:r>
          </w:p>
        </w:tc>
        <w:tc>
          <w:tcPr>
            <w:tcW w:type="dxa" w:w="4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Описује како људи или систем спроводе правило.</w:t>
            </w:r>
          </w:p>
        </w:tc>
        <w:tc>
          <w:tcPr>
            <w:tcW w:type="dxa" w:w="379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Преглед корака или аутоматизовани ток.</w:t>
            </w:r>
          </w:p>
        </w:tc>
      </w:tr>
      <w:tr>
        <w:trPr>
          <w:cantSplit/>
        </w:trPr>
        <w:tc>
          <w:tcPr>
            <w:tcW w:type="dxa" w:w="14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Контрола</w:t>
            </w:r>
          </w:p>
        </w:tc>
        <w:tc>
          <w:tcPr>
            <w:tcW w:type="dxa" w:w="4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Спречава, открива или ограничава ризик.</w:t>
            </w:r>
          </w:p>
        </w:tc>
        <w:tc>
          <w:tcPr>
            <w:tcW w:type="dxa" w:w="379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 лог или резултат провере.</w:t>
            </w:r>
          </w:p>
        </w:tc>
      </w:tr>
      <w:tr>
        <w:trPr>
          <w:cantSplit/>
        </w:trPr>
        <w:tc>
          <w:tcPr>
            <w:tcW w:type="dxa" w:w="14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Метрика</w:t>
            </w:r>
          </w:p>
        </w:tc>
        <w:tc>
          <w:tcPr>
            <w:tcW w:type="dxa" w:w="4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Показује тренд или одступање.</w:t>
            </w:r>
          </w:p>
        </w:tc>
        <w:tc>
          <w:tcPr>
            <w:tcW w:type="dxa" w:w="379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Дефинисан праг и извор података.</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08" w:name="h108"/>
      <w:pPr>
        <w:pStyle w:val="Heading2"/>
        <w:pageBreakBefore w:val="0"/>
      </w:pPr>
      <w:r>
        <w:rPr>
          <w:b w:val="0"/>
          <w:i w:val="0"/>
        </w:rPr>
        <w:t>3.8 Како се бира безбедносна метрика</w:t>
      </w:r>
      <w:bookmarkEnd w:id="108"/>
    </w:p>
    <w:p>
      <w:r>
        <w:rPr>
          <w:b w:val="0"/>
          <w:i w:val="0"/>
        </w:rPr>
        <w:t>Метрика је корисна само ако води ка одлуци. Зато се не почиње бројем, већ питањем које оператер или власник система мора да реши. Затим се бира извор, период посматрања и праг при коме је потребна акција.</w:t>
      </w:r>
    </w:p>
    <w:p>
      <w:pPr>
        <w:ind w:left="340" w:hanging="340"/>
      </w:pPr>
      <w:r>
        <w:t xml:space="preserve">1. </w:t>
      </w:r>
      <w:r>
        <w:rPr>
          <w:b w:val="0"/>
          <w:i w:val="0"/>
        </w:rPr>
        <w:t>Које понашање желимо да разумемо или ограничимо?</w:t>
      </w:r>
    </w:p>
    <w:p>
      <w:pPr>
        <w:ind w:left="340" w:hanging="340"/>
      </w:pPr>
      <w:r>
        <w:t xml:space="preserve">2. </w:t>
      </w:r>
      <w:r>
        <w:rPr>
          <w:b w:val="0"/>
          <w:i w:val="0"/>
        </w:rPr>
        <w:t>Који догађаји поуздано представљају то понашање?</w:t>
      </w:r>
    </w:p>
    <w:p>
      <w:pPr>
        <w:ind w:left="340" w:hanging="340"/>
      </w:pPr>
      <w:r>
        <w:t xml:space="preserve">3. </w:t>
      </w:r>
      <w:r>
        <w:rPr>
          <w:b w:val="0"/>
          <w:i w:val="0"/>
        </w:rPr>
        <w:t>Ко је власник прага и шта ради када се праг пређе?</w:t>
      </w:r>
    </w:p>
    <w:p>
      <w:pPr>
        <w:ind w:left="340" w:hanging="340"/>
      </w:pPr>
      <w:r>
        <w:t xml:space="preserve">4. </w:t>
      </w:r>
      <w:r>
        <w:rPr>
          <w:b w:val="0"/>
          <w:i w:val="0"/>
        </w:rPr>
        <w:t>Како разликујемо нормалну промену рада од безбедносног одступања?</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„Политике, конфигурација и безбедносна видљивост".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09" w:name="h109"/>
      <w:pPr>
        <w:pStyle w:val="Heading2"/>
        <w:pageBreakBefore w:val="0"/>
      </w:pPr>
      <w:r>
        <w:rPr>
          <w:b w:val="0"/>
          <w:i w:val="0"/>
        </w:rPr>
        <w:t>3.9 Извршиви пример</w:t>
      </w:r>
      <w:bookmarkEnd w:id="109"/>
    </w:p>
    <w:p>
      <w:r>
        <w:rPr>
          <w:rFonts w:ascii="Courier New" w:hAnsi="Courier New"/>
          <w:b w:val="0"/>
          <w:i w:val="0"/>
          <w:sz w:val="18"/>
        </w:rPr>
        <w:t>ConfigurationDriftDetector</w:t>
      </w:r>
      <w:r>
        <w:rPr>
          <w:b w:val="0"/>
          <w:i w:val="0"/>
        </w:rPr>
        <w:t xml:space="preserve"> пореди активну конфигурацију са усвојеним баселине-ом. Контроле имплементирају </w:t>
      </w:r>
      <w:r>
        <w:rPr>
          <w:rFonts w:ascii="Courier New" w:hAnsi="Courier New"/>
          <w:b w:val="0"/>
          <w:i w:val="0"/>
          <w:sz w:val="18"/>
        </w:rPr>
        <w:t>IConfigurationControl</w:t>
      </w:r>
      <w:r>
        <w:rPr>
          <w:b w:val="0"/>
          <w:i w:val="0"/>
        </w:rPr>
        <w:t>; налаз означава слабљење заштите.</w:t>
      </w:r>
    </w:p>
    <w:p>
      <w:pPr>
        <w:pStyle w:val="Caption"/>
        <w:keepNext/>
      </w:pPr>
      <w:r>
        <w:t>Пример 1.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examples/oib-dotnet/vezba-03-politike-konfiguracija</w:t>
        <w:br/>
        <w:t>dotnet run --project src/Oib.Vezba03.ConsoleUi</w:t>
        <w:br/>
        <w:t>dotnet test Oib.Vezba03.sln</w:t>
      </w:r>
    </w:p>
    <w:p>
      <w:pPr>
        <w:pStyle w:val="Caption"/>
        <w:keepNext/>
        <w:jc w:val="left"/>
      </w:pPr>
      <w:r>
        <w:t>Табела 2. Провера и Садржај</w:t>
      </w:r>
    </w:p>
    <w:tbl>
      <w:tblPr>
        <w:tblW w:type="auto" w:w="0"/>
        <w:jc w:val="center"/>
        <w:tblLayout w:type="fixed"/>
        <w:tblLook w:firstColumn="1" w:firstRow="1" w:lastColumn="0" w:lastRow="0" w:noHBand="0" w:noVBand="1" w:val="04A0"/>
      </w:tblPr>
      <w:tblGrid>
        <w:gridCol w:w="1974"/>
        <w:gridCol w:w="7664"/>
      </w:tblGrid>
      <w:tr>
        <w:trPr>
          <w:cantSplit/>
          <w:tblHeader/>
        </w:trPr>
        <w:tc>
          <w:tcPr>
            <w:tcW w:type="dxa" w:w="19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66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Минимална дужина лозинке или захтев за администраторски Вишефакторска аутентикација ослаби у односу на баселине.</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ConfigurationControlTests</w:t>
            </w:r>
            <w:r>
              <w:rPr>
                <w:b w:val="0"/>
                <w:i w:val="0"/>
                <w:sz w:val="19"/>
              </w:rPr>
              <w:t xml:space="preserve">, </w:t>
            </w:r>
            <w:r>
              <w:rPr>
                <w:rFonts w:ascii="Courier New" w:hAnsi="Courier New"/>
                <w:b w:val="0"/>
                <w:i w:val="0"/>
                <w:sz w:val="18"/>
              </w:rPr>
              <w:t>DetectConfigurationDriftHandlerTests</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DriftReport</w:t>
            </w:r>
            <w:r>
              <w:rPr>
                <w:b w:val="0"/>
                <w:i w:val="0"/>
                <w:sz w:val="19"/>
              </w:rPr>
              <w:t xml:space="preserve"> садржи цоррелатион ИД и верзију баселине-а.</w:t>
            </w:r>
          </w:p>
        </w:tc>
      </w:tr>
    </w:tbl>
    <w:p>
      <w:pPr>
        <w:spacing w:after="0" w:before="0" w:line="60" w:lineRule="exact"/>
      </w:pPr>
      <w:r>
        <w:rPr>
          <w:sz w:val="6"/>
        </w:rPr>
      </w:r>
    </w:p>
    <w:p>
      <w:pPr>
        <w:keepNext/>
      </w:pPr>
      <w:r>
        <w:rPr>
          <w:b/>
          <w:i w:val="0"/>
        </w:rPr>
        <w:t>Задатак уз пример</w:t>
      </w:r>
    </w:p>
    <w:p>
      <w:r>
        <w:rPr>
          <w:b w:val="0"/>
          <w:i w:val="0"/>
        </w:rPr>
        <w:t xml:space="preserve">Додати контролу за максимално трајање сесије: проширити </w:t>
      </w:r>
      <w:r>
        <w:rPr>
          <w:rFonts w:ascii="Courier New" w:hAnsi="Courier New"/>
          <w:b w:val="0"/>
          <w:i w:val="0"/>
          <w:sz w:val="18"/>
        </w:rPr>
        <w:t>SecurityBaseline</w:t>
      </w:r>
      <w:r>
        <w:rPr>
          <w:b w:val="0"/>
          <w:i w:val="0"/>
        </w:rPr>
        <w:t xml:space="preserve"> и </w:t>
      </w:r>
      <w:r>
        <w:rPr>
          <w:rFonts w:ascii="Courier New" w:hAnsi="Courier New"/>
          <w:b w:val="0"/>
          <w:i w:val="0"/>
          <w:sz w:val="18"/>
        </w:rPr>
        <w:t>SecurityConfiguration</w:t>
      </w:r>
      <w:r>
        <w:rPr>
          <w:b w:val="0"/>
          <w:i w:val="0"/>
        </w:rPr>
        <w:t xml:space="preserve">, написати нову </w:t>
      </w:r>
      <w:r>
        <w:rPr>
          <w:rFonts w:ascii="Courier New" w:hAnsi="Courier New"/>
          <w:b w:val="0"/>
          <w:i w:val="0"/>
          <w:sz w:val="18"/>
        </w:rPr>
        <w:t>IConfigurationControl</w:t>
      </w:r>
      <w:r>
        <w:rPr>
          <w:b w:val="0"/>
          <w:i w:val="0"/>
        </w:rPr>
        <w:t xml:space="preserve"> класу и тест који показује да дужа сесија од дозвољене даје налаз.</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Политике, конфигурација и безбедносна видљивост</dc:title>
  <dc:subject>Основе информационе безбедности</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