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Наставни материјали ФТН</w:t>
      </w:r>
    </w:p>
    <w:p>
      <w:r>
        <w:rPr>
          <w:b w:val="0"/>
          <w:i w:val="0"/>
        </w:rPr>
        <w:t>Документи, презентације и примери кода организовани су по предметима као на наставном порталу. Изворни наставни документи уређују се у Ворд формату, а презентације у PowerPoint формату. Извоз у ПДФ обавља аутор.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Организација материјала</w:t>
      </w:r>
      <w:bookmarkEnd w:id="100"/>
    </w:p>
    <w:p>
      <w:r>
        <w:rPr>
          <w:b w:val="0"/>
          <w:i w:val="0"/>
        </w:rPr>
        <w:t>ЕРС има три целине: Општи материјали, Наставни материјали и Пројекат. Практикум је први у наставним материјалима. Следе фасцикле са двоцифреним бројем и називом теме, на пример 01 Захтеви, листа планираних задатака и Гит. Тема садржи презентацију, поглавље практикума и повезане примере кода. Извори кода налазе се у потфасцикли Примери.</w:t>
      </w:r>
    </w:p>
    <w:p>
      <w:r>
        <w:rPr>
          <w:b w:val="0"/>
          <w:i w:val="0"/>
        </w:rPr>
        <w:t>ОИБ и ОДП имају практикум, рачунарске вежбе, пројекат и упутства. ИБИС има презентације, пројекте и упутства. Свака фасцикла предмета носи пуни назив и скраћеницу у загради.</w:t>
      </w:r>
    </w:p>
    <w:p>
      <w:bookmarkStart w:id="101" w:name="h101"/>
      <w:pPr>
        <w:pStyle w:val="Heading1"/>
        <w:pageBreakBefore w:val="0"/>
      </w:pPr>
      <w:r>
        <w:rPr>
          <w:b w:val="0"/>
          <w:i w:val="0"/>
        </w:rPr>
        <w:t>Правила полагања</w:t>
      </w:r>
      <w:bookmarkEnd w:id="101"/>
    </w:p>
    <w:p>
      <w:r>
        <w:rPr>
          <w:b w:val="0"/>
          <w:i w:val="0"/>
        </w:rPr>
        <w:t>ЕРС и ОИБ имају по две контролне тачке. Важећа правила налазе се у засебним Ворд документима. Теоријска питања за одбрану ЕРС издвојена су у посебан документ. Број недеља по теми биће одређен посебно.</w:t>
      </w:r>
    </w:p>
    <w:p>
      <w:bookmarkStart w:id="102" w:name="h102"/>
      <w:pPr>
        <w:pStyle w:val="Heading1"/>
        <w:pageBreakBefore w:val="0"/>
      </w:pPr>
      <w:r>
        <w:rPr>
          <w:b w:val="0"/>
          <w:i w:val="0"/>
        </w:rPr>
        <w:t>Програмски примери</w:t>
      </w:r>
      <w:bookmarkEnd w:id="102"/>
    </w:p>
    <w:p>
      <w:r>
        <w:rPr>
          <w:b w:val="0"/>
          <w:i w:val="0"/>
        </w:rPr>
        <w:t>За примере је потребан дотнет 8 СДК. Команде се извршавају из фасцикле Примери одговарајуће теме или вежбе. Детаљи покретања и тестирања налазе се уз изворни код.</w:t>
      </w:r>
    </w:p>
    <w:p>
      <w:r>
        <w:rPr>
          <w:b w:val="0"/>
          <w:i w:val="0"/>
        </w:rPr>
        <w:t>Датотеке README.md, AGENTS.md и датотеке у .Кова/ које су део извршивих примера задржавају изворни формат, јер их користе развојни алати.</w:t>
      </w:r>
    </w:p>
    <w:p>
      <w:bookmarkStart w:id="103" w:name="h103"/>
      <w:pPr>
        <w:pStyle w:val="Heading1"/>
        <w:pageBreakBefore w:val="0"/>
      </w:pPr>
      <w:r>
        <w:rPr>
          <w:b w:val="0"/>
          <w:i w:val="0"/>
        </w:rPr>
        <w:t>Провера усклађености</w:t>
      </w:r>
      <w:bookmarkEnd w:id="103"/>
    </w:p>
    <w:p>
      <w:r>
        <w:rPr>
          <w:b w:val="0"/>
          <w:i w:val="0"/>
        </w:rPr>
        <w:t xml:space="preserve">Мапа физичких путања налази се у </w:t>
      </w:r>
      <w:r>
        <w:rPr>
          <w:rFonts w:ascii="Courier New" w:hAnsi="Courier New"/>
          <w:b w:val="0"/>
          <w:i w:val="0"/>
          <w:sz w:val="18"/>
        </w:rPr>
        <w:t>scripts/teaching-materials.json</w:t>
      </w:r>
      <w:r>
        <w:rPr>
          <w:b w:val="0"/>
          <w:i w:val="0"/>
        </w:rPr>
        <w:t xml:space="preserve"> у репозиторијуму портала. Команда </w:t>
      </w:r>
      <w:r>
        <w:rPr>
          <w:rFonts w:ascii="Courier New" w:hAnsi="Courier New"/>
          <w:b w:val="0"/>
          <w:i w:val="0"/>
          <w:sz w:val="18"/>
        </w:rPr>
        <w:t>npm run check:materials-sync</w:t>
      </w:r>
      <w:r>
        <w:rPr>
          <w:b w:val="0"/>
          <w:i w:val="0"/>
        </w:rPr>
        <w:t xml:space="preserve"> проверава једнакост датотека портала и наставних материјала.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Наставни материјали ФТН</dc:title>
  <dc:subject>README.md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