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eastAsia="SimHei" w:hAnsi="Times New Roman"/>
          <w:sz w:val="36"/>
          <w:szCs w:val="36"/>
        </w:rPr>
        <w:t xml:space="preserve">审 稿 意 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eastAsia="SimHei" w:hAnsi="Times New Roman"/>
                <w:sz w:val="22"/>
                <w:szCs w:val="22"/>
              </w:rPr>
              <w:t xml:space="preserve">稿件题目</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eastAsia="SimSun" w:hAnsi="Times New Roman"/>
                <w:sz w:val="22"/>
                <w:szCs w:val="22"/>
              </w:rPr>
              <w:t xml:space="preserve">黏弹性流体本构模型及其参数识别的增强型物理信息神经网络框架研究</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eastAsia="SimHei" w:hAnsi="Times New Roman"/>
                <w:sz w:val="22"/>
                <w:szCs w:val="22"/>
              </w:rPr>
              <w:t xml:space="preserve">审稿结论</w:t>
            </w:r>
          </w:p>
        </w:tc>
        <w:tc>
          <w:tcPr>
            <w:tcW w:type="dxa" w:w="7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eastAsia="SimSun" w:hAnsi="Times New Roman"/>
                <w:sz w:val="22"/>
                <w:szCs w:val="22"/>
              </w:rPr>
              <w:t xml:space="preserve">大修后重审</w:t>
            </w:r>
          </w:p>
        </w:tc>
      </w:tr>
    </w:tbl>
    <w:p>
      <w:pPr>
        <w:spacing w:after="100" w:before="240"/>
      </w:pPr>
      <w:r>
        <w:rPr>
          <w:rFonts w:ascii="Times New Roman" w:eastAsia="SimHei" w:hAnsi="Times New Roman"/>
          <w:sz w:val="26"/>
          <w:szCs w:val="26"/>
        </w:rPr>
        <w:t xml:space="preserve">一、稿件概述</w:t>
      </w:r>
    </w:p>
    <w:p>
      <w:pPr>
        <w:spacing w:after="60" w:line="360"/>
        <w:ind w:firstLine="480"/>
      </w:pPr>
      <w:r>
        <w:rPr>
          <w:rFonts w:ascii="Times New Roman" w:eastAsia="SimSun" w:hAnsi="Times New Roman"/>
          <w:sz w:val="24"/>
          <w:szCs w:val="24"/>
        </w:rPr>
        <w:t xml:space="preserve">本文针对黏弹性流体本构模型选择与参数辨识问题，在统一本构方程下（Oldroyd-B、Giesekus、线性PTT），提出了一种增强型物理信息神经网络框架。主要做法包括：对物理参数施加指数/softplus变换以保证正性，在对数空间引入高斯弱先验，按模型类别施加动态稀疏正则化，设计随训练进度变化的损失权重调度，以及以时间递推构造、逐点自适应缩放的本构一致性损失。作者以二维瞬态顶盖驱动方腔流为算例，报告三类模型均被正确识别，黏度参数误差低于5%，PTT伸长参数误差为4.1%，并通过先验消融和先验权重扫描讨论了松弛时间的辨识困难。</w:t>
      </w:r>
    </w:p>
    <w:p>
      <w:pPr>
        <w:spacing w:after="100" w:before="240"/>
      </w:pPr>
      <w:r>
        <w:rPr>
          <w:rFonts w:ascii="Times New Roman" w:eastAsia="SimHei" w:hAnsi="Times New Roman"/>
          <w:sz w:val="26"/>
          <w:szCs w:val="26"/>
        </w:rPr>
        <w:t xml:space="preserve">二、总体评价</w:t>
      </w:r>
    </w:p>
    <w:p>
      <w:pPr>
        <w:spacing w:after="60" w:line="360"/>
        <w:ind w:firstLine="480"/>
      </w:pPr>
      <w:r>
        <w:rPr>
          <w:rFonts w:ascii="Times New Roman" w:eastAsia="SimSun" w:hAnsi="Times New Roman"/>
          <w:sz w:val="24"/>
          <w:szCs w:val="24"/>
        </w:rPr>
        <w:t xml:space="preserve">该问题属于计算流变学中的反问题，具有明确的研究价值。文章对参数正性约束、损失量级平衡和训练数值稳定性做了较细致的工程处理，对先验缺失、先验偏离和先验权重敏感性的分析也有参考意义。但就目前的实验设计和结果而言，摘要与结论中的两项核心主张，即“自动模型甄别”和“可靠的参数辨识”，尚缺乏充分证据。此外，正文在方程表述、数据设置、测试方案以及数值引用上存在多处不一致。具体意见如下。</w:t>
      </w:r>
    </w:p>
    <w:p>
      <w:pPr>
        <w:spacing w:after="100" w:before="240"/>
      </w:pPr>
      <w:r>
        <w:rPr>
          <w:rFonts w:ascii="Times New Roman" w:eastAsia="SimHei" w:hAnsi="Times New Roman"/>
          <w:sz w:val="26"/>
          <w:szCs w:val="26"/>
        </w:rPr>
        <w:t xml:space="preserve">三、主要问题</w:t>
      </w:r>
    </w:p>
    <w:p>
      <w:pPr>
        <w:spacing w:after="60" w:line="360"/>
        <w:ind w:firstLine="480"/>
      </w:pPr>
      <w:r>
        <w:rPr>
          <w:rFonts w:ascii="Times New Roman" w:eastAsia="SimSun" w:hAnsi="Times New Roman"/>
          <w:sz w:val="24"/>
          <w:szCs w:val="24"/>
        </w:rPr>
        <w:t xml:space="preserve">1. 模型选择实验预先使用了模型类别信息。式(33)按模型类型分别设置稀疏惩罚：Giesekus模式惩罚ε，PTT模式惩罚α，Oldroyd-B模式同时惩罚两者。也就是说，哪些参数应被压缩为零，是由预设的模型类别决定的。这只能说明在给定模型假设下，无关参数可以被压缩到零，不能说明网络从未知数据中识别出了模型类别。第1.5.2节自身也使用了“在预设模型类别下”的限定，而摘要、第2.3节和结论却表述为三类模型被“自动甄别”“全部正确识别”，前后口径不一致。请作者说明实际使用时是否需要预先指定模型类别；若不需要，请用同一目标函数、同一初始化规则和同一选择准则，在隐藏模型标签的数据上验证；若需要，则应相应修改题目、摘要和结论。另外，参数被压缩到10⁻⁶量级并不等于严格为零，“无需后验阈值”的说法与实际仍需区分“近零”和“非零”并不相符，请说明具体判定规则。</w:t>
      </w:r>
    </w:p>
    <w:p>
      <w:pPr>
        <w:spacing w:after="60" w:line="360"/>
        <w:ind w:firstLine="480"/>
      </w:pPr>
      <w:r>
        <w:rPr>
          <w:rFonts w:ascii="Times New Roman" w:eastAsia="SimSun" w:hAnsi="Times New Roman"/>
          <w:sz w:val="24"/>
          <w:szCs w:val="24"/>
        </w:rPr>
        <w:t xml:space="preserve">2. 参数辨识精度被高估，先验与数据的贡献无法区分。按文中真值和表1计算，三种模型的松弛时间λ相对误差分别约为289%、286%和400%，Giesekus模型α=0.1614相对真值0.2的误差为19.3%，这与摘要和结论中对参数辨识效果的概括性评价不符。结论称先验权重取5×10⁻⁴～10⁻³时“全部参数收敛至真值附近”，但表2中该区间λ为0.42～0.56，仍明显偏离真值0.1。更重要的是，表1中ηp=0.9000、ηs=0.1000与真值在四位有效数字上完全相同，而第2.5节又指出先验偏离真值20%～100%时黏度参数会完全锁定在先验值，因此黏度的小误差究竟来自数据还是来自设在真值上的先验，目前无法判断。请作者列出各参数先验均值、权重、取值依据及初始化方式，说明先验是否来自独立信息而非基准算例真值，补充先验偏离和无先验条件下的对照及重复训练结果，并在摘要和结论中分别评价黏度、松弛时间和非线性参数的辨识表现。</w:t>
      </w:r>
    </w:p>
    <w:p>
      <w:pPr>
        <w:spacing w:after="60" w:line="360"/>
        <w:ind w:firstLine="480"/>
      </w:pPr>
      <w:r>
        <w:rPr>
          <w:rFonts w:ascii="Times New Roman" w:eastAsia="SimSun" w:hAnsi="Times New Roman"/>
          <w:sz w:val="24"/>
          <w:szCs w:val="24"/>
        </w:rPr>
        <w:t xml:space="preserve">3. 关于松弛时间偏高的理论解释不充分。式(41)直接给出∂L_consistency/∂λ&lt;0对λ∈[0.1,2.0]成立，并据此解释λ上漂，英文摘要进一步称之为“理论可辨识性边界”，但正文没有给出足以支撑全区间单调性的推导或数值验证。按式(20)，T1可展开为τ/λ+(ε/ηp)tr(τ)τ，第二项并不显含λ；一致性损失分子是两个时刻的应力差，分母S又依赖F，不能仅凭部分项含1/λ就推断归一化损失必然随λ单调下降。同时，文中未说明实现中是否对S停止梯度，这直接影响梯度分析。请补充与实际实现一致的推导，或通过固定网络后的参数扫描、重新优化其余变量后的损失剖面、时间步长敏感性以及S是否停止梯度的对照实验来检验。特定训练方案未能恢复参数，并不等同于参数在理论上不可辨识，在排除离散误差、归一化不一致和优化偏差之前，应将相关表述限定为当前设置下观察到的辨识困难。</w:t>
      </w:r>
    </w:p>
    <w:p>
      <w:pPr>
        <w:spacing w:after="60" w:line="360"/>
        <w:ind w:firstLine="480"/>
      </w:pPr>
      <w:r>
        <w:rPr>
          <w:rFonts w:ascii="Times New Roman" w:eastAsia="SimSun" w:hAnsi="Times New Roman"/>
          <w:sz w:val="24"/>
          <w:szCs w:val="24"/>
        </w:rPr>
        <w:t xml:space="preserve">4. 瞬态控制方程与时间递推的描述不统一。第1.1节称“在本文稳态框架下忽略时间导数”，而算例是瞬态的，网络输入含t，第1.4.2节的一致性损失本身就是对∂τ/∂t的离散。请明确式(19)中的F是完整本构残差还是不含∂τ/∂t的算子，并给出从瞬态本构方程到式(18)的完整推导，同时说明采用标准化时间步长Δt_phys/σ_t后，时间导数与空间导数的尺度变换如何保持一致。另外，摘要和引言中“以时间递推替代高阶空间导数”的说法不准确：本构方程只含一阶空间导数，T2=u·∇τ仍需对应力网络求空间导数，被替换的只是∂τ/∂t。请据此修正相关表述。此外，文中列出了不可压缩条件，但两个阶段的损失中均未出现连续性方程残差，也未说明是否采用硬约束，请补充。</w:t>
      </w:r>
    </w:p>
    <w:p>
      <w:pPr>
        <w:spacing w:after="60" w:line="360"/>
        <w:ind w:firstLine="480"/>
      </w:pPr>
      <w:r>
        <w:rPr>
          <w:rFonts w:ascii="Times New Roman" w:eastAsia="SimSun" w:hAnsi="Times New Roman"/>
          <w:sz w:val="24"/>
          <w:szCs w:val="24"/>
        </w:rPr>
        <w:t xml:space="preserve">5. 训练所用信息与“仅依赖稀疏速度观测”的表述不符。损失函数同时使用了应力初值、壁面及进出口应力参考值和压力参考值，并在训练前用全场数据预计算速度、应力、压力的标准差；参考数据为COMSOL生成的1.29×10⁵个稠密无噪声点。这些信息在真实实验中大多无法获得。请逐项区分实际观测数据、已知初边值条件、独立先验信息和仅用于验证的参考解，并回答：应力边界值是否直接取自COMSOL参考解、使用范围和采样量如何；σ_τ、σ_p是否由不可观测的完整真实场计算，去除后方法表现如何；封闭方腔中损失函数里的inlet、outlet和“压力出口”条件对应哪些区域。摘要关于“可与粒子图像测速直接衔接”的表述，在未增加观测噪声和采样密度变化的验证前，应限定为潜在应用方向。</w:t>
      </w:r>
    </w:p>
    <w:p>
      <w:pPr>
        <w:spacing w:after="60" w:line="360"/>
        <w:ind w:firstLine="480"/>
      </w:pPr>
      <w:r>
        <w:rPr>
          <w:rFonts w:ascii="Times New Roman" w:eastAsia="SimSun" w:hAnsi="Times New Roman"/>
          <w:sz w:val="24"/>
          <w:szCs w:val="24"/>
        </w:rPr>
        <w:t xml:space="preserve">6. 数据设置与测试方案存在问题。第2.1节同时给出T=0.03 s、输出间隔Δt=0.01 s和16个快照，按等间隔理解三者不能同时成立，请列出实际输出时刻，并区分数值求解步长、数据保存间隔和一致性损失所用时间步长。测试集取t=0快照，而该时刻全域为零且已用于初始条件约束，这样的测试不能评价重建精度，应在未参与拟合的非零时刻或空间位置验证，并区分观测点留出、时空插值和时间外推。摘要中“约6500个时空采样点”与第2.2节“1.29×10⁵个时空点”也需要对应说明，请分别给出参考数据总量、速度观测点数、物理配置点数、初边值点数和独立测试点数。第2.4节题为“场量预测对比”，实际仅展示训练损失，缺少速度、应力、压力的参考场、预测场、误差场及相对L2误差等定量比较。</w:t>
      </w:r>
    </w:p>
    <w:p>
      <w:pPr>
        <w:spacing w:after="60" w:line="360"/>
        <w:ind w:firstLine="480"/>
      </w:pPr>
      <w:r>
        <w:rPr>
          <w:rFonts w:ascii="Times New Roman" w:eastAsia="SimSun" w:hAnsi="Times New Roman"/>
          <w:sz w:val="24"/>
          <w:szCs w:val="24"/>
        </w:rPr>
        <w:t xml:space="preserve">7. 动态损失权重的公式与所述作用不一致。式(36)和(37)对数据损失和一致性损失乘以同一个s_dyn，两者的有效权重之比恒等于初始权重之比（按式(45)恒为2:5），并不随训练进度变化，这与“训练初期由数据项主导、后期物理约束充分激活”的解释不符。实际随进度变化的只有初始条件权重，而且初始条件权重在训练初期并未被降低，而是随后逐渐衰减，也与文中描述不符。请核对公式与代码，说明该调度究竟改变了哪些项之间的相对关系，并提供各项加权损失或梯度贡献随训练进度变化的曲线。</w:t>
      </w:r>
    </w:p>
    <w:p>
      <w:pPr>
        <w:spacing w:after="60" w:line="360"/>
        <w:ind w:firstLine="480"/>
      </w:pPr>
      <w:r>
        <w:rPr>
          <w:rFonts w:ascii="Times New Roman" w:eastAsia="SimSun" w:hAnsi="Times New Roman"/>
          <w:sz w:val="24"/>
          <w:szCs w:val="24"/>
        </w:rPr>
        <w:t xml:space="preserve">8. “增强”效果缺少基线比较和针对性消融。文章以ViscoelasticNet为主要比较对象，并宣称逐点缩放“优于传统全局方差缩放”，但未在相同数据和训练预算下给出直接比较。第2.5节的实验只围绕先验设置展开，没有对参数变换、稀疏正则化、动态调度、逐点缩放和梯度缩放各自的贡献做消融，与引言所述“四项消融实验系统评估了上述策略”不符。不同缩放方式下的损失值也不宜直接作为精度优劣的证据，应在统一测试集上用相同的场误差和物理残差指标比较。此外，所有结果均为单次运行，“24组鲁棒性实验无发散”也未列出具体配置，请报告多随机种子的均值、标准差和失败比例。</w:t>
      </w:r>
    </w:p>
    <w:p>
      <w:pPr>
        <w:spacing w:after="100" w:before="240"/>
      </w:pPr>
      <w:r>
        <w:rPr>
          <w:rFonts w:ascii="Times New Roman" w:eastAsia="SimHei" w:hAnsi="Times New Roman"/>
          <w:sz w:val="26"/>
          <w:szCs w:val="26"/>
        </w:rPr>
        <w:t xml:space="preserve">四、其他修改意见</w:t>
      </w:r>
    </w:p>
    <w:p>
      <w:pPr>
        <w:spacing w:after="60" w:line="360"/>
        <w:ind w:firstLine="480"/>
      </w:pPr>
      <w:r>
        <w:rPr>
          <w:rFonts w:ascii="Times New Roman" w:eastAsia="SimSun" w:hAnsi="Times New Roman"/>
          <w:sz w:val="24"/>
          <w:szCs w:val="24"/>
        </w:rPr>
        <w:t xml:space="preserve">1. 数值与表格前后不一致，请逐项核对：(1)第2.2节称黏度参数最大偏差不超过4%，但表2中Giesekus的ηp为0.0141、0.0151、0.0123（真值0.01，偏差23%～51%），PTT在γλ=10⁻³时ηp=0.0125（偏差25%）；(2)第2.5节称α误差16%，但表1为19.3%，表2各行为4%～8%；(3)称γλ=10⁻³时ε偏离23%，按0.0797计算约为20.3%；(4)“证实了式(21)的力平衡机制”应为式(42)；(5)第1.4.3节“第3节的配置”实为结论章，未给出各项权重；(6)表1未说明对应哪个γλ，其λ、α在表2中无对应行，且Giesekus、PTT的λ真值以“–”省略，与正文λ=0.1不一致。</w:t>
      </w:r>
    </w:p>
    <w:p>
      <w:pPr>
        <w:spacing w:after="60" w:line="360"/>
        <w:ind w:firstLine="480"/>
      </w:pPr>
      <w:r>
        <w:rPr>
          <w:rFonts w:ascii="Times New Roman" w:eastAsia="SimSun" w:hAnsi="Times New Roman"/>
          <w:sz w:val="24"/>
          <w:szCs w:val="24"/>
        </w:rPr>
        <w:t xml:space="preserve">2. 参数约束的表述需更准确。softplus在有限输入下严格大于零，只能渐近趋零；exp与softplus均无上界，引言所称“保证有界性”与实际的裁剪操作应区分。“正定性”一词适用于矩阵，标量参数应称为正性或非负性。请列出各参数的裁剪区间及取值依据，例如λ的下界0.1恰等于其真值，需说明原因。</w:t>
      </w:r>
    </w:p>
    <w:p>
      <w:pPr>
        <w:spacing w:after="60" w:line="360"/>
        <w:ind w:firstLine="480"/>
      </w:pPr>
      <w:r>
        <w:rPr>
          <w:rFonts w:ascii="Times New Roman" w:eastAsia="SimSun" w:hAnsi="Times New Roman"/>
          <w:sz w:val="24"/>
          <w:szCs w:val="24"/>
        </w:rPr>
        <w:t xml:space="preserve">3. 式(26)计算的是惯性项幅值的均方根，并非减去均值的标准差，请统一名称；式(6)与式(12)(13)重复。</w:t>
      </w:r>
    </w:p>
    <w:p>
      <w:pPr>
        <w:spacing w:after="60" w:line="360"/>
        <w:ind w:firstLine="480"/>
      </w:pPr>
      <w:r>
        <w:rPr>
          <w:rFonts w:ascii="Times New Roman" w:eastAsia="SimSun" w:hAnsi="Times New Roman"/>
          <w:sz w:val="24"/>
          <w:szCs w:val="24"/>
        </w:rPr>
        <w:t xml:space="preserve">4. 非有限导数置零、F裁剪至±10⁶、全局梯度裁剪以及式(9)的参数特异梯度缩放，都可能改变实际被优化的残差。请报告这些机制的触发频率（尤其训练后期），并给出未经这些处理的独立残差检查。</w:t>
      </w:r>
    </w:p>
    <w:p>
      <w:pPr>
        <w:spacing w:after="60" w:line="360"/>
        <w:ind w:firstLine="480"/>
      </w:pPr>
      <w:r>
        <w:rPr>
          <w:rFonts w:ascii="Times New Roman" w:eastAsia="SimSun" w:hAnsi="Times New Roman"/>
          <w:sz w:val="24"/>
          <w:szCs w:val="24"/>
        </w:rPr>
        <w:t xml:space="preserve">5. 请补充可复现信息：两阶段迭代次数、优化器、批量大小、学习率、全部损失权重、先验均值、随机种子、GPU型号，以及“不足1小时”对应的迭代数。</w:t>
      </w:r>
    </w:p>
    <w:p>
      <w:pPr>
        <w:spacing w:after="60" w:line="360"/>
        <w:ind w:firstLine="480"/>
      </w:pPr>
      <w:r>
        <w:rPr>
          <w:rFonts w:ascii="Times New Roman" w:eastAsia="SimSun" w:hAnsi="Times New Roman"/>
          <w:sz w:val="24"/>
          <w:szCs w:val="24"/>
        </w:rPr>
        <w:t xml:space="preserve">6. 英文摘要中的“ViscoelasticNet++”未见于中文摘要和正文，请统一，并说明其与ViscoelasticNet的关系；“黏/粘”“伸长/伸展性”等术语请统一。</w:t>
      </w:r>
    </w:p>
    <w:p>
      <w:pPr>
        <w:spacing w:after="100" w:before="240"/>
      </w:pPr>
      <w:r>
        <w:rPr>
          <w:rFonts w:ascii="Times New Roman" w:eastAsia="SimHei" w:hAnsi="Times New Roman"/>
          <w:sz w:val="26"/>
          <w:szCs w:val="26"/>
        </w:rPr>
        <w:t xml:space="preserve">五、审稿结论</w:t>
      </w:r>
    </w:p>
    <w:p>
      <w:pPr>
        <w:spacing w:after="60" w:line="360"/>
        <w:ind w:firstLine="480"/>
      </w:pPr>
      <w:r>
        <w:rPr>
          <w:rFonts w:ascii="Times New Roman" w:eastAsia="SimSun" w:hAnsi="Times New Roman"/>
          <w:sz w:val="24"/>
          <w:szCs w:val="24"/>
        </w:rPr>
        <w:t xml:space="preserve">本文研究的问题有意义，方法组合具有一定工程价值，但目前的实验尚不能支撑“自动模型甄别”“高精度参数辨识”“理论可辨识性边界”以及“可直接对接实验”等核心结论。需要优先回答三个问题：模型类别是否真正由未知数据识别；参数估计是否有独立于正确先验的数据证据；松弛时间的偏差是否经过与实际实现一致的分析。上述问题涉及方法与结论的有效性，不能仅靠文字修改解决。建议作者完成方法核验、补充关键对照实验并相应收缩结论后，提交修改稿重审。</w:t>
      </w:r>
    </w:p>
    <w:sectPr>
      <w:footerReference w:type="default" r:id="rId6"/>
      <w:pgSz w:w="11906" w:h="16838" w:orient="portrait"/>
      <w:pgMar w:top="144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2026-09-30T13:04:45.654Z</dcterms:created>
  <dcterms:modified xsi:type="dcterms:W3CDTF">2026-09-30T13:04:45.655Z</dcterms:modified>
</cp:coreProperties>
</file>

<file path=docProps/custom.xml><?xml version="1.0" encoding="utf-8"?>
<Properties xmlns="http://schemas.openxmlformats.org/officeDocument/2006/custom-properties" xmlns:vt="http://schemas.openxmlformats.org/officeDocument/2006/docPropsVTypes"/>
</file>