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Times New Roman" w:eastAsia="SimHei" w:hAnsi="Times New Roman"/>
          <w:sz w:val="36"/>
          <w:szCs w:val="36"/>
        </w:rPr>
        <w:t xml:space="preserve">审 稿 意 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eastAsia="SimHei" w:hAnsi="Times New Roman"/>
                <w:sz w:val="22"/>
                <w:szCs w:val="22"/>
              </w:rPr>
              <w:t xml:space="preserve">稿件题目</w:t>
            </w:r>
          </w:p>
        </w:tc>
        <w:tc>
          <w:tcPr>
            <w:tcW w:type="dxa" w:w="756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eastAsia="SimSun" w:hAnsi="Times New Roman"/>
                <w:sz w:val="22"/>
                <w:szCs w:val="22"/>
              </w:rPr>
              <w:t xml:space="preserve">黏弹性流体本构模型及其参数识别的增强型物理信息神经网络框架研究</w:t>
            </w:r>
          </w:p>
        </w:tc>
      </w:tr>
      <w:tr>
        <w:tc>
          <w:tcPr>
            <w:tcW w:type="dxa" w:w="180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eastAsia="SimHei" w:hAnsi="Times New Roman"/>
                <w:sz w:val="22"/>
                <w:szCs w:val="22"/>
              </w:rPr>
              <w:t xml:space="preserve">审稿结论</w:t>
            </w:r>
          </w:p>
        </w:tc>
        <w:tc>
          <w:tcPr>
            <w:tcW w:type="dxa" w:w="756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eastAsia="SimSun" w:hAnsi="Times New Roman"/>
                <w:sz w:val="22"/>
                <w:szCs w:val="22"/>
              </w:rPr>
              <w:t xml:space="preserve">大修后重审</w:t>
            </w:r>
          </w:p>
        </w:tc>
      </w:tr>
    </w:tbl>
    <w:p>
      <w:pPr>
        <w:spacing w:after="100" w:before="240"/>
      </w:pPr>
      <w:r>
        <w:rPr>
          <w:rFonts w:ascii="Times New Roman" w:eastAsia="SimHei" w:hAnsi="Times New Roman"/>
          <w:sz w:val="26"/>
          <w:szCs w:val="26"/>
        </w:rPr>
        <w:t xml:space="preserve">一、稿件概述</w:t>
      </w:r>
    </w:p>
    <w:p>
      <w:pPr>
        <w:spacing w:after="80" w:line="360"/>
        <w:ind w:firstLine="480"/>
      </w:pPr>
      <w:r>
        <w:rPr>
          <w:rFonts w:ascii="Times New Roman" w:eastAsia="SimSun" w:hAnsi="Times New Roman"/>
          <w:sz w:val="24"/>
          <w:szCs w:val="24"/>
        </w:rPr>
        <w:t xml:space="preserve">本文在统一本构方程下（Oldroyd-B、Giesekus、线性PTT），用物理信息神经网络从速度场反演本构参数并判别模型类型。作者对参数做了指数/softplus变换，加入对数–高斯先验和稀疏正则，损失权重随训练进度调整，并提出了按点缩放的、基于时间递推的本构一致性损失。算例为二维瞬态顶盖驱动方腔流，文中称三类模型均被正确识别，并分析了先验对收敛的影响。</w:t>
      </w:r>
    </w:p>
    <w:p>
      <w:pPr>
        <w:spacing w:after="100" w:before="240"/>
      </w:pPr>
      <w:r>
        <w:rPr>
          <w:rFonts w:ascii="Times New Roman" w:eastAsia="SimHei" w:hAnsi="Times New Roman"/>
          <w:sz w:val="26"/>
          <w:szCs w:val="26"/>
        </w:rPr>
        <w:t xml:space="preserve">二、总体评价</w:t>
      </w:r>
    </w:p>
    <w:p>
      <w:pPr>
        <w:spacing w:after="80" w:line="360"/>
        <w:ind w:firstLine="480"/>
      </w:pPr>
      <w:r>
        <w:rPr>
          <w:rFonts w:ascii="Times New Roman" w:eastAsia="SimSun" w:hAnsi="Times New Roman"/>
          <w:sz w:val="24"/>
          <w:szCs w:val="24"/>
        </w:rPr>
        <w:t xml:space="preserve">这个问题有研究意义，文章在参数约束和训练稳定性上下了不少功夫，先验敏感性的分析也有参考价值。但目前的结果还撑不起摘要中“自动甄别模型”和“可靠辨识参数”的结论，另外方程描述、数据设置和部分数字前后对不上。具体意见如下。</w:t>
      </w:r>
    </w:p>
    <w:p>
      <w:pPr>
        <w:spacing w:after="100" w:before="240"/>
      </w:pPr>
      <w:r>
        <w:rPr>
          <w:rFonts w:ascii="Times New Roman" w:eastAsia="SimHei" w:hAnsi="Times New Roman"/>
          <w:sz w:val="26"/>
          <w:szCs w:val="26"/>
        </w:rPr>
        <w:t xml:space="preserve">三、修改意见</w:t>
      </w:r>
    </w:p>
    <w:p>
      <w:pPr>
        <w:spacing w:after="80" w:line="360"/>
        <w:ind w:firstLine="480"/>
      </w:pPr>
      <w:r>
        <w:rPr>
          <w:rFonts w:ascii="Times New Roman" w:eastAsia="SimSun" w:hAnsi="Times New Roman"/>
          <w:sz w:val="24"/>
          <w:szCs w:val="24"/>
        </w:rPr>
        <w:t xml:space="preserve">1. 模型选择。式(33)按模型类型分别设置稀疏惩罚，哪个参数要压到零，实际上已由预设的模型类别决定。第1.5.2节自己写的是“给定模型假设下”，而摘要、第2.3节和结论却说成“自动甄别”“全部正确识别”，两者差别不小。请讲清楚实际使用时是否需要事先指定真实模型类别。如果不需要，应给出未知类别下的完整流程，并在不使用真实类别信息的条件下验证；如果是逐个候选模型拟合后再比较，要说明事先定好的比较准则；如果需要事先指定，题目、摘要和结论就应相应修改。另外，参数压到10⁻⁶量级不等于零，“近零”与“非零”如何判定也应交代。</w:t>
      </w:r>
    </w:p>
    <w:p>
      <w:pPr>
        <w:spacing w:after="80" w:line="360"/>
        <w:ind w:firstLine="480"/>
      </w:pPr>
      <w:r>
        <w:rPr>
          <w:rFonts w:ascii="Times New Roman" w:eastAsia="SimSun" w:hAnsi="Times New Roman"/>
          <w:sz w:val="24"/>
          <w:szCs w:val="24"/>
        </w:rPr>
        <w:t xml:space="preserve">2. 参数辨识结果。按表1计算，三个算例的松弛时间λ相对误差分别约为289%、286%和400%，Giesekus的α误差约19%。结论称“全部参数收敛至真值附近”，但表2在该先验权重区间内λ仍为0.42～0.56，与此不符。建议摘要和结论把黏度、松弛时间和非线性参数分开评价，λ未能恢复这一点应如实写明。</w:t>
      </w:r>
    </w:p>
    <w:p>
      <w:pPr>
        <w:spacing w:after="80" w:line="360"/>
        <w:ind w:firstLine="480"/>
      </w:pPr>
      <w:r>
        <w:rPr>
          <w:rFonts w:ascii="Times New Roman" w:eastAsia="SimSun" w:hAnsi="Times New Roman"/>
          <w:sz w:val="24"/>
          <w:szCs w:val="24"/>
        </w:rPr>
        <w:t xml:space="preserve">3. 先验的作用。表1中有些黏度参数在所报小数位上与真值完全一致，而第2.5节又说先验偏离真值时部分黏度参数会停在先验值附近，这样就很难判断黏度的小误差有多少来自数据、多少来自先验。请列出各参数先验的均值、权重、取值依据和初始化方式，说明先验有无独立来源；已做的无先验和先验偏差实验，请把配置和定量结果完整给出，并补充多次独立训练的统计结果。</w:t>
      </w:r>
    </w:p>
    <w:p>
      <w:pPr>
        <w:spacing w:after="80" w:line="360"/>
        <w:ind w:firstLine="480"/>
      </w:pPr>
      <w:r>
        <w:rPr>
          <w:rFonts w:ascii="Times New Roman" w:eastAsia="SimSun" w:hAnsi="Times New Roman"/>
          <w:sz w:val="24"/>
          <w:szCs w:val="24"/>
        </w:rPr>
        <w:t xml:space="preserve">4. 松弛时间偏高的解释。式(41)直接断言∂L_consistency/∂λ&lt;0在λ∈[0.1,2.0]内成立，文中既没有推导，也没有数值验证。按式(20)，T1展开后的第二项并不含λ，分母S又依赖F，单调性并不显然。另请说明实现中S是否停止梯度。可以通过固定网络后的参数扫描、损失剖面和时间步长敏感性来检验。此外，训练没有恢复出参数，并不等于参数在理论上不可辨识，英文摘要中“理论可辨识性边界”的说法建议改为对当前设置下观察到的现象的描述。</w:t>
      </w:r>
    </w:p>
    <w:p>
      <w:pPr>
        <w:spacing w:after="80" w:line="360"/>
        <w:ind w:firstLine="480"/>
      </w:pPr>
      <w:r>
        <w:rPr>
          <w:rFonts w:ascii="Times New Roman" w:eastAsia="SimSun" w:hAnsi="Times New Roman"/>
          <w:sz w:val="24"/>
          <w:szCs w:val="24"/>
        </w:rPr>
        <w:t xml:space="preserve">5. 方程与时间递推。第1.1节说“稳态框架下忽略时间导数”，但算例是瞬态的，一致性损失本身就是对∂τ/∂t的离散。请说明式(19)中的F具体指什么，给出从瞬态本构方程到式(18)的推导，并交代采用标准化时间步长之后，时间导数与空间导数的尺度如何保持一致。摘要中“以时间递推替代高阶空间导数”也不准确：本构方程只含一阶空间导数，被替换的是时间导数。另外，文中列出了不可压缩条件，但损失函数里没有连续性方程残差，请说明它是如何满足的。</w:t>
      </w:r>
    </w:p>
    <w:p>
      <w:pPr>
        <w:spacing w:after="80" w:line="360"/>
        <w:ind w:firstLine="480"/>
      </w:pPr>
      <w:r>
        <w:rPr>
          <w:rFonts w:ascii="Times New Roman" w:eastAsia="SimSun" w:hAnsi="Times New Roman"/>
          <w:sz w:val="24"/>
          <w:szCs w:val="24"/>
        </w:rPr>
        <w:t xml:space="preserve">6. 训练所用的信息。除速度观测外，损失中还用到应力初边值、压力参考值，以及应力和压力的归一化统计量。请区分哪些是可以独立给定的物理条件，哪些是从参考解中取出的辅助信息，并说明应力边界值是否取自参考解、标准差是否由全场数据算出、使用范围有多大。封闭方腔中的inlet、outlet和压力出口分别对应哪些位置，也请解释。在补充噪声和采样密度的验证之前，“可与粒子图像测速直接衔接”建议改为潜在应用方向。</w:t>
      </w:r>
    </w:p>
    <w:p>
      <w:pPr>
        <w:spacing w:after="80" w:line="360"/>
        <w:ind w:firstLine="480"/>
      </w:pPr>
      <w:r>
        <w:rPr>
          <w:rFonts w:ascii="Times New Roman" w:eastAsia="SimSun" w:hAnsi="Times New Roman"/>
          <w:sz w:val="24"/>
          <w:szCs w:val="24"/>
        </w:rPr>
        <w:t xml:space="preserve">7. 数据与验证。第2.1节中总时长0.03 s、输出间隔0.01 s和16个快照，按等间隔理解对不上，请给出实际的输出时刻。摘要中的“约6500个采样点”与第2.2节的1.29×10⁵个点是什么关系，文中没有交代，请说明二者是否分别为抽样观测点和全量参考数据，并分别给出观测点、配置点、初边值点和测试点的数量及采样方式。t=0是已知的零初始状态，至少应力初值还参与了训练约束，用它作测试集说明不了非平凡流场的重建效果，请说明测试变量与初值约束是否重叠，并在未参与训练的非零时刻或位置上验证。第2.4节标题为“场量预测对比”，实际只有损失曲线，建议补充速度、应力、压力的参考场、预测场、误差场及相对L2误差。</w:t>
      </w:r>
    </w:p>
    <w:p>
      <w:pPr>
        <w:spacing w:after="80" w:line="360"/>
        <w:ind w:firstLine="480"/>
      </w:pPr>
      <w:r>
        <w:rPr>
          <w:rFonts w:ascii="Times New Roman" w:eastAsia="SimSun" w:hAnsi="Times New Roman"/>
          <w:sz w:val="24"/>
          <w:szCs w:val="24"/>
        </w:rPr>
        <w:t xml:space="preserve">8. 损失权重调度。式(36)(37)给数据损失和一致性损失乘的是同一个系数，二者预设的相对权重不随训练变化，因此仅凭这两式推不出“前期数据项主导、后期物理约束充分激活”。请结合各项加权损失和梯度贡献随训练进度的变化来说明。初始条件权重在前期并未降低，而是之后才衰减，也请核对。</w:t>
      </w:r>
    </w:p>
    <w:p>
      <w:pPr>
        <w:spacing w:after="80" w:line="360"/>
        <w:ind w:firstLine="480"/>
      </w:pPr>
      <w:r>
        <w:rPr>
          <w:rFonts w:ascii="Times New Roman" w:eastAsia="SimSun" w:hAnsi="Times New Roman"/>
          <w:sz w:val="24"/>
          <w:szCs w:val="24"/>
        </w:rPr>
        <w:t xml:space="preserve">9. 对比与消融。文章主要与ViscoelasticNet比较，但没有在相同数据和训练预算下的直接对比。第2.5节的实验基本围绕先验展开，参数变换、稀疏正则、动态调度和逐点缩放各自的作用没有单独检验，“优于全局方差缩放”缺少定量依据。请补充基线对比和针对性消融，在统一的测试集上用相同指标评价，并给出多次独立训练的结果（“24组鲁棒性实验”的具体配置也请列出）。</w:t>
      </w:r>
    </w:p>
    <w:p>
      <w:pPr>
        <w:spacing w:after="80" w:line="360"/>
        <w:ind w:firstLine="480"/>
      </w:pPr>
      <w:r>
        <w:rPr>
          <w:rFonts w:ascii="Times New Roman" w:eastAsia="SimSun" w:hAnsi="Times New Roman"/>
          <w:sz w:val="24"/>
          <w:szCs w:val="24"/>
        </w:rPr>
        <w:t xml:space="preserve">10. 数字与表述的核对。(1)第2.2节“黏度最大偏差不超过4%”应限定在表1的基准配置。表2中不同先验权重下部分黏度误差明显变大（如Giesekus的ηp为0.0123～0.0151，真值0.01），请区分基准配置下的精度和先验变化下的鲁棒性，不要把前者推广为普遍结论。(2)第2.5节的百分比与表格对不上：称γλ=10⁻⁵时ε误差3%、α误差16%，而表2对应结果约为0.7%和6.6%；称γλ=10⁻³时ε偏离23%，按0.0797算约为20.3%。请明确各百分比对应哪一组实验。(3)“式(21)的力平衡机制”应为式(42)。(4)第1.4.3节所称“第3节的配置”指向的是结论章，请核对；文中给出了部分损失权重，但第二阶段等配置仍不完整，建议集中列一张超参数表。(5)表1未说明对应的γλ和其他先验配置；Giesekus和PTT的松弛时间真值以横线表示，而正文明确为0.1，请补齐并说明横线的含义。</w:t>
      </w:r>
    </w:p>
    <w:p>
      <w:pPr>
        <w:spacing w:after="80" w:line="360"/>
        <w:ind w:firstLine="480"/>
      </w:pPr>
      <w:r>
        <w:rPr>
          <w:rFonts w:ascii="Times New Roman" w:eastAsia="SimSun" w:hAnsi="Times New Roman"/>
          <w:sz w:val="24"/>
          <w:szCs w:val="24"/>
        </w:rPr>
        <w:t xml:space="preserve">11. 方法实现、复现信息及术语表述还需补充或规范。(1)softplus在有限输入下严格大于零，只能渐近趋零；exp与softplus本身均不提供上界。请把“归零”“保证有界性”等说法与实际的数值判定及裁剪操作区分开。对于本文讨论的标量参数，建议用“正性”或“非负性”等准确术语，并给出各参数的裁剪区间及依据。(2)式(26)算的是均方根，不是标准差。(3)非有限导数置零、F裁剪等数值处理可能改变实际被优化的残差，请报告它们的触发频率。(4)请补充迭代次数、优化器、批量大小、学习率、各损失权重、先验均值和GPU型号等信息。(5)英文摘要中的“ViscoelasticNet++”在中文摘要和正文中没有出现，请统一；“黏/粘”等用字也请统一。</w:t>
      </w:r>
    </w:p>
    <w:p>
      <w:pPr>
        <w:spacing w:after="100" w:before="240"/>
      </w:pPr>
      <w:r>
        <w:rPr>
          <w:rFonts w:ascii="Times New Roman" w:eastAsia="SimHei" w:hAnsi="Times New Roman"/>
          <w:sz w:val="26"/>
          <w:szCs w:val="26"/>
        </w:rPr>
        <w:t xml:space="preserve">四、审稿结论</w:t>
      </w:r>
    </w:p>
    <w:p>
      <w:pPr>
        <w:spacing w:after="80" w:line="360"/>
        <w:ind w:firstLine="480"/>
      </w:pPr>
      <w:r>
        <w:rPr>
          <w:rFonts w:ascii="Times New Roman" w:eastAsia="SimSun" w:hAnsi="Times New Roman"/>
          <w:sz w:val="24"/>
          <w:szCs w:val="24"/>
        </w:rPr>
        <w:t xml:space="preserve">本文选题有研究价值，但现有结果对模型自动甄别和参数可靠辨识的支持仍不充分。建议作者澄清模型选择流程和训练所用信息，补充关键的对照与验证结果，并核对方程、实现及数据设置后，提交修改稿重审。</w:t>
      </w:r>
    </w:p>
    <w:sectPr>
      <w:footerReference w:type="default" r:id="rId6"/>
      <w:pgSz w:w="11906" w:h="16838" w:orient="portrait"/>
      <w:pgMar w:top="1440" w:right="1273" w:bottom="1300" w:left="127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2026-09-30T13:43:00.686Z</dcterms:created>
  <dcterms:modified xsi:type="dcterms:W3CDTF">2026-09-30T13:43:00.687Z</dcterms:modified>
</cp:coreProperties>
</file>

<file path=docProps/custom.xml><?xml version="1.0" encoding="utf-8"?>
<Properties xmlns="http://schemas.openxmlformats.org/officeDocument/2006/custom-properties" xmlns:vt="http://schemas.openxmlformats.org/officeDocument/2006/docPropsVTypes"/>
</file>