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eastAsia="SimHei" w:hAnsi="Arial"/>
          <w:b/>
          <w:bCs/>
          <w:sz w:val="40"/>
          <w:szCs w:val="40"/>
        </w:rPr>
        <w:t xml:space="preserve">审稿意见</w:t>
      </w:r>
    </w:p>
    <w:p>
      <w:pPr>
        <w:spacing w:after="60"/>
        <w:jc w:val="center"/>
      </w:pPr>
      <w:r>
        <w:rPr>
          <w:rFonts w:ascii="Times New Roman" w:eastAsia="SimSun" w:hAnsi="Times New Roman"/>
          <w:sz w:val="21"/>
          <w:szCs w:val="21"/>
        </w:rPr>
        <w:t xml:space="preserve">稿件：《黏弹性流体本构模型及其参数识别的增强型物理信息神经网络框架研究》</w:t>
      </w:r>
    </w:p>
    <w:p>
      <w:pPr>
        <w:spacing w:after="200"/>
        <w:jc w:val="center"/>
      </w:pPr>
      <w:r>
        <w:rPr>
          <w:rFonts w:ascii="Times New Roman" w:eastAsia="SimSun" w:hAnsi="Times New Roman"/>
          <w:sz w:val="21"/>
          <w:szCs w:val="21"/>
        </w:rPr>
        <w:t xml:space="preserve">审稿建议：</w:t>
      </w:r>
      <w:r>
        <w:rPr>
          <w:rFonts w:ascii="Arial" w:eastAsia="SimHei" w:hAnsi="Arial"/>
          <w:b/>
          <w:bCs/>
          <w:sz w:val="21"/>
          <w:szCs w:val="21"/>
        </w:rPr>
        <w:t xml:space="preserve">大修后重审（Major Revision）</w:t>
      </w:r>
    </w:p>
    <w:p>
      <w:pPr>
        <w:pStyle w:val="Heading1"/>
        <w:spacing w:after="140" w:before="300"/>
      </w:pPr>
      <w:r>
        <w:rPr>
          <w:rFonts w:ascii="Arial" w:eastAsia="SimHei" w:hAnsi="Arial"/>
          <w:b/>
          <w:bCs/>
          <w:sz w:val="28"/>
          <w:szCs w:val="28"/>
        </w:rPr>
        <w:t xml:space="preserve">一、总体评价</w:t>
      </w:r>
    </w:p>
    <w:p>
      <w:pPr>
        <w:spacing w:after="100" w:line="340"/>
      </w:pPr>
      <w:r>
        <w:rPr>
          <w:rFonts w:ascii="Times New Roman" w:eastAsia="SimSun" w:hAnsi="Times New Roman"/>
          <w:sz w:val="22"/>
          <w:szCs w:val="22"/>
        </w:rPr>
        <w:t xml:space="preserve">本文针对黏弹性流体本构模型选择与参数辨识问题，在统一本构方程（Oldroyd-B / Giesekus / 线性 PTT）框架下，综合采用参数正性变换、对数–高斯先验、动态稀疏正则化、动态损失权重调度以及逐点自适应缩放的一致性损失，并以二维瞬态顶盖驱动方腔流为算例进行验证。问题具有明确的应用背景，工程实现细节较完整，作者对先验缺失、先验偏离及先验权重敏感性的讨论，也为理解该反问题的求解困难提供了有价值的信息。</w:t>
      </w:r>
    </w:p>
    <w:p>
      <w:pPr>
        <w:spacing w:after="100" w:line="340"/>
      </w:pPr>
      <w:r>
        <w:rPr>
          <w:rFonts w:ascii="Times New Roman" w:eastAsia="SimSun" w:hAnsi="Times New Roman"/>
          <w:sz w:val="22"/>
          <w:szCs w:val="22"/>
        </w:rPr>
        <w:t xml:space="preserve">然而，现有实验设计不足以支撑摘要与结论中的两项核心主张：</w:t>
      </w:r>
      <w:r>
        <w:rPr>
          <w:rFonts w:ascii="Arial" w:eastAsia="SimHei" w:hAnsi="Arial"/>
          <w:b/>
          <w:bCs/>
          <w:sz w:val="22"/>
          <w:szCs w:val="22"/>
        </w:rPr>
        <w:t xml:space="preserve">“自动模型甄别”</w:t>
      </w:r>
      <w:r>
        <w:rPr>
          <w:rFonts w:ascii="Times New Roman" w:eastAsia="SimSun" w:hAnsi="Times New Roman"/>
          <w:sz w:val="22"/>
          <w:szCs w:val="22"/>
        </w:rPr>
        <w:t xml:space="preserve">与</w:t>
      </w:r>
      <w:r>
        <w:rPr>
          <w:rFonts w:ascii="Arial" w:eastAsia="SimHei" w:hAnsi="Arial"/>
          <w:b/>
          <w:bCs/>
          <w:sz w:val="22"/>
          <w:szCs w:val="22"/>
        </w:rPr>
        <w:t xml:space="preserve">“可靠的参数辨识”</w:t>
      </w:r>
      <w:r>
        <w:rPr>
          <w:rFonts w:ascii="Times New Roman" w:eastAsia="SimSun" w:hAnsi="Times New Roman"/>
          <w:sz w:val="22"/>
          <w:szCs w:val="22"/>
        </w:rPr>
        <w:t xml:space="preserve">。主要问题包括：（1）模型类别已被预先编码进稀疏正则项；（2）黏度等参数的“高精度”很可能来自先验而非数据，松弛时间误差接近 3–4 倍，非线性参数的可辨识性缺乏独立证据；（3）对松弛时间偏离的理论解释缺少推导或数值验证；（4）控制方程表述、可用信息、数据设置与测试方案存在多处不一致；（5）所宣称的“增强”缺少基线比较与针对性消融。此外，正文数值与表格之间存在若干相互矛盾之处。上述问题涉及主要方法与结论的有效性，不能仅通过文字润色解决。建议作者完成方法核验、补充关键对照实验并收缩未经充分验证的结论后，再行重审。</w:t>
      </w:r>
    </w:p>
    <w:p>
      <w:pPr>
        <w:pStyle w:val="Heading1"/>
        <w:spacing w:after="140" w:before="300"/>
      </w:pPr>
      <w:r>
        <w:rPr>
          <w:rFonts w:ascii="Arial" w:eastAsia="SimHei" w:hAnsi="Arial"/>
          <w:b/>
          <w:bCs/>
          <w:sz w:val="28"/>
          <w:szCs w:val="28"/>
        </w:rPr>
        <w:t xml:space="preserve">二、主要意见</w:t>
      </w:r>
    </w:p>
    <w:p>
      <w:pPr>
        <w:pStyle w:val="Heading2"/>
        <w:spacing w:after="100" w:before="200"/>
      </w:pPr>
      <w:r>
        <w:rPr>
          <w:rFonts w:ascii="Arial" w:eastAsia="SimHei" w:hAnsi="Arial"/>
          <w:b/>
          <w:bCs/>
          <w:sz w:val="24"/>
          <w:szCs w:val="24"/>
        </w:rPr>
        <w:t xml:space="preserve">1. 模型选择实验预先使用了模型类别信息</w:t>
      </w:r>
    </w:p>
    <w:p>
      <w:pPr>
        <w:spacing w:after="100" w:line="340"/>
      </w:pPr>
      <w:r>
        <w:rPr>
          <w:rFonts w:ascii="Times New Roman" w:eastAsia="SimSun" w:hAnsi="Times New Roman"/>
          <w:sz w:val="22"/>
          <w:szCs w:val="22"/>
        </w:rPr>
        <w:t xml:space="preserve">式（33）针对不同“模式”分别设置稀疏惩罚：Giesekus 模式只惩罚 ε，PTT 模式只惩罚 α，Oldroyd-B 模式同时惩罚二者。哪些参数应被压缩为零实际上已由预设类别决定。这只能说明“给定模型假设下无关参数可以被压缩到零”，并不等同于从未知数据中识别模型类别。第 1.5.2 节自身使用了“在预设模型类别下”“给定模型假设下的参数识别能力”的限定，而摘要、第 2.3 节和结论则宣称“三种模型类别均正确识别”，两者范围不一致。</w:t>
      </w:r>
    </w:p>
    <w:p>
      <w:pPr>
        <w:spacing w:after="100" w:line="340"/>
      </w:pPr>
      <w:r>
        <w:rPr>
          <w:rFonts w:ascii="Arial" w:eastAsia="SimHei" w:hAnsi="Arial"/>
          <w:b/>
          <w:bCs/>
          <w:sz w:val="22"/>
          <w:szCs w:val="22"/>
        </w:rPr>
        <w:t xml:space="preserve">建议：</w:t>
      </w:r>
    </w:p>
    <w:p>
      <w:pPr>
        <w:pStyle w:val="ListParagraph"/>
        <w:numPr>
          <w:ilvl w:val="0"/>
          <w:numId w:val="2"/>
        </w:numPr>
        <w:spacing w:after="60" w:line="330"/>
      </w:pPr>
      <w:r>
        <w:rPr>
          <w:rFonts w:ascii="Times New Roman" w:eastAsia="SimSun" w:hAnsi="Times New Roman"/>
          <w:sz w:val="22"/>
          <w:szCs w:val="22"/>
        </w:rPr>
        <w:t xml:space="preserve">明确实际辨识时是否需要预先指定模型类别。若不需要，应给出不依赖真实类别的完整流程：对所有数据使用同一目标函数（例如对 ε、α 同时施加相同的稀疏惩罚）、同一初始化与同一选择准则，并在隐藏模型标签的数据上验证。</w:t>
      </w:r>
    </w:p>
    <w:p>
      <w:pPr>
        <w:pStyle w:val="ListParagraph"/>
        <w:numPr>
          <w:ilvl w:val="0"/>
          <w:numId w:val="2"/>
        </w:numPr>
        <w:spacing w:after="60" w:line="330"/>
      </w:pPr>
      <w:r>
        <w:rPr>
          <w:rFonts w:ascii="Times New Roman" w:eastAsia="SimSun" w:hAnsi="Times New Roman"/>
          <w:sz w:val="22"/>
          <w:szCs w:val="22"/>
        </w:rPr>
        <w:t xml:space="preserve">增加交叉模型测试（如 Giesekus 数据在 PTT 模式下训练、Oldroyd-B 数据在 Giesekus 模式下训练），比较拟合误差与物理残差；并增加 (ε, α) 均非零的混合或未知模型数据，检验方法是否会被“强制”选成某个纯模型。</w:t>
      </w:r>
    </w:p>
    <w:p>
      <w:pPr>
        <w:pStyle w:val="ListParagraph"/>
        <w:numPr>
          <w:ilvl w:val="0"/>
          <w:numId w:val="2"/>
        </w:numPr>
        <w:spacing w:after="60" w:line="330"/>
      </w:pPr>
      <w:r>
        <w:rPr>
          <w:rFonts w:ascii="Times New Roman" w:eastAsia="SimSun" w:hAnsi="Times New Roman"/>
          <w:sz w:val="22"/>
          <w:szCs w:val="22"/>
        </w:rPr>
        <w:t xml:space="preserve">若现有实现必须指定类别，则应相应修改题目、摘要与结论，不宜再表述为已实现自动模型选择。</w:t>
      </w:r>
    </w:p>
    <w:p>
      <w:pPr>
        <w:pStyle w:val="ListParagraph"/>
        <w:numPr>
          <w:ilvl w:val="0"/>
          <w:numId w:val="2"/>
        </w:numPr>
        <w:spacing w:after="60" w:line="330"/>
      </w:pPr>
      <w:r>
        <w:rPr>
          <w:rFonts w:ascii="Times New Roman" w:eastAsia="SimSun" w:hAnsi="Times New Roman"/>
          <w:sz w:val="22"/>
          <w:szCs w:val="22"/>
        </w:rPr>
        <w:t xml:space="preserve">将参数压缩至 10⁻⁶ 量级并不等同于严格为零（softplus 只能渐近趋零）。既然仍需区分“近零”与“非零”，应说明“无需后验阈值”的含义及实际判定规则。</w:t>
      </w:r>
    </w:p>
    <w:p>
      <w:pPr>
        <w:pStyle w:val="Heading2"/>
        <w:spacing w:after="100" w:before="200"/>
      </w:pPr>
      <w:r>
        <w:rPr>
          <w:rFonts w:ascii="Arial" w:eastAsia="SimHei" w:hAnsi="Arial"/>
          <w:b/>
          <w:bCs/>
          <w:sz w:val="24"/>
          <w:szCs w:val="24"/>
        </w:rPr>
        <w:t xml:space="preserve">2. 参数辨识精度被高估，先验与数据的贡献无法区分</w:t>
      </w:r>
    </w:p>
    <w:p>
      <w:pPr>
        <w:spacing w:after="100" w:line="340"/>
      </w:pPr>
      <w:r>
        <w:rPr>
          <w:rFonts w:ascii="Times New Roman" w:eastAsia="SimSun" w:hAnsi="Times New Roman"/>
          <w:sz w:val="22"/>
          <w:szCs w:val="22"/>
        </w:rPr>
        <w:t xml:space="preserve">据正文真值与表 1 计算，三种模型的松弛时间 λ 相对误差分别约为 288.9%、286.4% 与 400.5%；Giesekus 模型 α=0.1614 相对真值 0.2 的误差为 19.3%。这些结果与摘要、结论中的笼统高精度评价不符。结论称先验权重在 5×10⁻⁴～10⁻³ 区间内“全部参数收敛至真值附近”，但表 2 中该区间 λ 仍为约 0.42–0.56，明显偏离真值 0.1。</w:t>
      </w:r>
    </w:p>
    <w:p>
      <w:pPr>
        <w:spacing w:after="100" w:line="340"/>
      </w:pPr>
      <w:r>
        <w:rPr>
          <w:rFonts w:ascii="Times New Roman" w:eastAsia="SimSun" w:hAnsi="Times New Roman"/>
          <w:sz w:val="22"/>
          <w:szCs w:val="22"/>
        </w:rPr>
        <w:t xml:space="preserve">更关键的是，表 1 中 ηp=0.9000、ηs=0.1000 与真值在四位有效数字上完全一致，而第 2.5 节又指出先验偏离真值 20%–100% 时，黏度参数“完全锁死”在先验均值。因此，较小的黏度误差究竟来自观测数据，还是来自设在真值上的先验，目前无法区分。使用先验本身并无不妥，但先验提供的信息必须与数据提供的信息明确分开。</w:t>
      </w:r>
    </w:p>
    <w:p>
      <w:pPr>
        <w:spacing w:after="100" w:line="340"/>
      </w:pPr>
      <w:r>
        <w:rPr>
          <w:rFonts w:ascii="Arial" w:eastAsia="SimHei" w:hAnsi="Arial"/>
          <w:b/>
          <w:bCs/>
          <w:sz w:val="22"/>
          <w:szCs w:val="22"/>
        </w:rPr>
        <w:t xml:space="preserve">ηp 在阶段一存在结构性不可辨识的风险。</w:t>
      </w:r>
      <w:r>
        <w:rPr>
          <w:rFonts w:ascii="Times New Roman" w:eastAsia="SimSun" w:hAnsi="Times New Roman"/>
          <w:sz w:val="22"/>
          <w:szCs w:val="22"/>
        </w:rPr>
        <w:t xml:space="preserve">阶段一仅有速度观测、一致性损失及应力初边值约束，内部应力无数据。对式（3）的各项，若同时令 τ→cτ、ηp→cηp，则 T1–T6 均整体乘以 c，而逐点缩放因子 S 也同步放大 c 倍，因此一致性损失对此变换（除 10⁻³ 下限截断外）保持不变；该对称性只能由先验、应力初边值条件打破。阶段二又冻结 τ 与 ηp，仅优化压力与 ηs。这与“ηp 锁死于先验”的现象相吻合，并使第 2.5 节用式（47）比较 ∂L/∂ηs 与 ∂L/∂λ 的解释缺乏依据——阶段一并未训练 ηs，阶段二又冻结了 λ，二者并不在同一优化中竞争。作者应对此进行检查，并考虑把动量方程纳入联合训练。</w:t>
      </w:r>
    </w:p>
    <w:p>
      <w:pPr>
        <w:spacing w:after="100" w:line="340"/>
      </w:pPr>
      <w:r>
        <w:rPr>
          <w:rFonts w:ascii="Arial" w:eastAsia="SimHei" w:hAnsi="Arial"/>
          <w:b/>
          <w:bCs/>
          <w:sz w:val="22"/>
          <w:szCs w:val="22"/>
        </w:rPr>
        <w:t xml:space="preserve">建议：</w:t>
      </w:r>
      <w:r>
        <w:rPr>
          <w:rFonts w:ascii="Times New Roman" w:eastAsia="SimSun" w:hAnsi="Times New Roman"/>
          <w:sz w:val="22"/>
          <w:szCs w:val="22"/>
        </w:rPr>
        <w:t xml:space="preserve">完整报告各参数的先验均值、权重、取值依据与初始化，并说明先验是否来自独立信息而非基准算例的真值；定量展示“估计值—先验均值”关系及重复训练结果；增加“无先验但数据充分”和“先验严重偏离”的对照；摘要与结论应分别评价黏度、松弛时间及非线性参数的辨识表现。</w:t>
      </w:r>
    </w:p>
    <w:p>
      <w:pPr>
        <w:pStyle w:val="Heading2"/>
        <w:spacing w:after="100" w:before="200"/>
      </w:pPr>
      <w:r>
        <w:rPr>
          <w:rFonts w:ascii="Arial" w:eastAsia="SimHei" w:hAnsi="Arial"/>
          <w:b/>
          <w:bCs/>
          <w:sz w:val="24"/>
          <w:szCs w:val="24"/>
        </w:rPr>
        <w:t xml:space="preserve">3. 非线性参数 ε、α 的可辨识性缺乏证据</w:t>
      </w:r>
    </w:p>
    <w:p>
      <w:pPr>
        <w:spacing w:after="100" w:line="340"/>
      </w:pPr>
      <w:r>
        <w:rPr>
          <w:rFonts w:ascii="Times New Roman" w:eastAsia="SimSun" w:hAnsi="Times New Roman"/>
          <w:sz w:val="22"/>
          <w:szCs w:val="22"/>
        </w:rPr>
        <w:t xml:space="preserve">算例顶盖速度为 U_wall=t，总时长 T=0.03 s，故顶盖速度最大仅 0.03，总时长约为 0.3 倍松弛时间，实际有效 Wi 量级约 10⁻³，流动接近线性黏弹性响应。此时 PTT 项 (ε/ηp)tr(τ)τ、Giesekus 项 (α/ηp)τ·τ 以及对流项、上随体项均为二阶小量，对速度场的影响很可能远小于 10⁻⁴，而训练数据损失已降至 10⁻⁷～10⁻⁶ 量级。在这种条件下，ε 被辨识到 4.1% 误差需要有力解释，否则更可能是先验或优化过程所致（另需注意 Giesekus 与 PTT 算例改用 ηs=ηp=0.01，Re 由 1 变为约 50，条件与 Oldroyd-B 算例不同，且未说明原因）。</w:t>
      </w:r>
    </w:p>
    <w:p>
      <w:pPr>
        <w:spacing w:after="100" w:line="340"/>
      </w:pPr>
      <w:r>
        <w:rPr>
          <w:rFonts w:ascii="Arial" w:eastAsia="SimHei" w:hAnsi="Arial"/>
          <w:b/>
          <w:bCs/>
          <w:sz w:val="22"/>
          <w:szCs w:val="22"/>
        </w:rPr>
        <w:t xml:space="preserve">建议：</w:t>
      </w:r>
      <w:r>
        <w:rPr>
          <w:rFonts w:ascii="Times New Roman" w:eastAsia="SimSun" w:hAnsi="Times New Roman"/>
          <w:sz w:val="22"/>
          <w:szCs w:val="22"/>
        </w:rPr>
        <w:t xml:space="preserve">给出速度场对 ε、α 的灵敏度（如固定其他变量后的损失剖面）；做“仅先验、无速度数据”的对照；将 ε、α 先验设在偏离真值处；在同一设置下运行三类模型；并在更长时间（若干 λ）、更大 Wi（0.5–2）或稳态条件下验证。</w:t>
      </w:r>
    </w:p>
    <w:p>
      <w:pPr>
        <w:pStyle w:val="Heading2"/>
        <w:spacing w:after="100" w:before="200"/>
      </w:pPr>
      <w:r>
        <w:rPr>
          <w:rFonts w:ascii="Arial" w:eastAsia="SimHei" w:hAnsi="Arial"/>
          <w:b/>
          <w:bCs/>
          <w:sz w:val="24"/>
          <w:szCs w:val="24"/>
        </w:rPr>
        <w:t xml:space="preserve">4. 松弛时间偏高的理论解释不充分，“可辨识性边界”的结论过强</w:t>
      </w:r>
    </w:p>
    <w:p>
      <w:pPr>
        <w:spacing w:after="100" w:line="340"/>
      </w:pPr>
      <w:r>
        <w:rPr>
          <w:rFonts w:ascii="Times New Roman" w:eastAsia="SimSun" w:hAnsi="Times New Roman"/>
          <w:sz w:val="22"/>
          <w:szCs w:val="22"/>
        </w:rPr>
        <w:t xml:space="preserve">式（41）直接给出 ∂L_consistency/∂λ&lt;0 对 λ∈[0.1,2.0] 成立，并据此解释 λ 上漂，英文摘要更将其表述为“建立了理论可辨识性边界”。但文中并无支撑全区间单调性的推导或数值验证：</w:t>
      </w:r>
    </w:p>
    <w:p>
      <w:pPr>
        <w:pStyle w:val="ListParagraph"/>
        <w:numPr>
          <w:ilvl w:val="0"/>
          <w:numId w:val="2"/>
        </w:numPr>
        <w:spacing w:after="60" w:line="330"/>
      </w:pPr>
      <w:r>
        <w:rPr>
          <w:rFonts w:ascii="Times New Roman" w:eastAsia="SimSun" w:hAnsi="Times New Roman"/>
          <w:sz w:val="22"/>
          <w:szCs w:val="22"/>
        </w:rPr>
        <w:t xml:space="preserve">按式（20），T1 可展开为 τ/λ + (ε/ηp)tr(τ)τ，其中第二项并不显含 λ，不能仅因部分项含 1/λ 就推断损失单调下降；</w:t>
      </w:r>
    </w:p>
    <w:p>
      <w:pPr>
        <w:pStyle w:val="ListParagraph"/>
        <w:numPr>
          <w:ilvl w:val="0"/>
          <w:numId w:val="2"/>
        </w:numPr>
        <w:spacing w:after="60" w:line="330"/>
      </w:pPr>
      <w:r>
        <w:rPr>
          <w:rFonts w:ascii="Times New Roman" w:eastAsia="SimSun" w:hAnsi="Times New Roman"/>
          <w:sz w:val="22"/>
          <w:szCs w:val="22"/>
        </w:rPr>
        <w:t xml:space="preserve">一致性损失分子为两个时刻的应力差，分母 S 又依赖 F（进而依赖 λ），归一化后损失在 |ΔtF|≫|τ| 时趋于饱和，单调性并不显然；</w:t>
      </w:r>
    </w:p>
    <w:p>
      <w:pPr>
        <w:pStyle w:val="ListParagraph"/>
        <w:numPr>
          <w:ilvl w:val="0"/>
          <w:numId w:val="2"/>
        </w:numPr>
        <w:spacing w:after="60" w:line="330"/>
      </w:pPr>
      <w:r>
        <w:rPr>
          <w:rFonts w:ascii="Times New Roman" w:eastAsia="SimSun" w:hAnsi="Times New Roman"/>
          <w:sz w:val="22"/>
          <w:szCs w:val="22"/>
        </w:rPr>
        <w:t xml:space="preserve">作者未说明实现中是否对 S 做停止梯度（stop-gradient）。若不停止，网络可通过增大 |τ| 或 |ΔtF| 来降低损失，这直接影响梯度分析；</w:t>
      </w:r>
    </w:p>
    <w:p>
      <w:pPr>
        <w:pStyle w:val="ListParagraph"/>
        <w:numPr>
          <w:ilvl w:val="0"/>
          <w:numId w:val="2"/>
        </w:numPr>
        <w:spacing w:after="60" w:line="330"/>
      </w:pPr>
      <w:r>
        <w:rPr>
          <w:rFonts w:ascii="Times New Roman" w:eastAsia="SimSun" w:hAnsi="Times New Roman"/>
          <w:sz w:val="22"/>
          <w:szCs w:val="22"/>
        </w:rPr>
        <w:t xml:space="preserve">λ 最终收敛到 0.39–0.50 而非上界，与“沿单调下降方向上行”的解释也需要进一步说明。</w:t>
      </w:r>
    </w:p>
    <w:p>
      <w:pPr>
        <w:spacing w:after="100" w:line="340"/>
      </w:pPr>
      <w:r>
        <w:rPr>
          <w:rFonts w:ascii="Arial" w:eastAsia="SimHei" w:hAnsi="Arial"/>
          <w:b/>
          <w:bCs/>
          <w:sz w:val="22"/>
          <w:szCs w:val="22"/>
        </w:rPr>
        <w:t xml:space="preserve">建议：</w:t>
      </w:r>
      <w:r>
        <w:rPr>
          <w:rFonts w:ascii="Times New Roman" w:eastAsia="SimSun" w:hAnsi="Times New Roman"/>
          <w:sz w:val="22"/>
          <w:szCs w:val="22"/>
        </w:rPr>
        <w:t xml:space="preserve">补充与实际实现一致的推导，或通过固定网络后的参数扫描、重新优化其余变量后的损失剖面，并辅以时间步长敏感性、S 是否 detach 的对照实验检验。特定训练方案未能恢复参数，并不直接等同于该参数在理论上不可辨识；在排除离散误差、归一化不一致和优化偏差之前，应将相关表述限定为“当前设置下观察到的辨识困难”。式（43）、（47）、（48）的量级论证同理，应给出推导或数值证据。</w:t>
      </w:r>
    </w:p>
    <w:p>
      <w:pPr>
        <w:pStyle w:val="Heading2"/>
        <w:spacing w:after="100" w:before="200"/>
      </w:pPr>
      <w:r>
        <w:rPr>
          <w:rFonts w:ascii="Arial" w:eastAsia="SimHei" w:hAnsi="Arial"/>
          <w:b/>
          <w:bCs/>
          <w:sz w:val="24"/>
          <w:szCs w:val="24"/>
        </w:rPr>
        <w:t xml:space="preserve">5. 瞬态控制方程、时间递推与物理约束的描述不统一</w:t>
      </w:r>
    </w:p>
    <w:p>
      <w:pPr>
        <w:pStyle w:val="ListParagraph"/>
        <w:numPr>
          <w:ilvl w:val="0"/>
          <w:numId w:val="2"/>
        </w:numPr>
        <w:spacing w:after="60" w:line="330"/>
      </w:pPr>
      <w:r>
        <w:rPr>
          <w:rFonts w:ascii="Times New Roman" w:eastAsia="SimSun" w:hAnsi="Times New Roman"/>
          <w:sz w:val="22"/>
          <w:szCs w:val="22"/>
        </w:rPr>
        <w:t xml:space="preserve">第 1.1 节称“在本文稳态框架下忽略时间导数”，但算例是瞬态的，网络输入含 t，第 1.4.2 节的一致性损失本身就是对 ∂τ/∂t 的离散。请明确式（19）中的 F 是完整本构残差，还是不含 ∂τ/∂t 的空间与代数算子，并给出从瞬态本构方程到式（18）的完整推导（包括“向后欧拉”的符号约定）。</w:t>
      </w:r>
    </w:p>
    <w:p>
      <w:pPr>
        <w:pStyle w:val="ListParagraph"/>
        <w:numPr>
          <w:ilvl w:val="0"/>
          <w:numId w:val="2"/>
        </w:numPr>
        <w:spacing w:after="60" w:line="330"/>
      </w:pPr>
      <w:r>
        <w:rPr>
          <w:rFonts w:ascii="Times New Roman" w:eastAsia="SimSun" w:hAnsi="Times New Roman"/>
          <w:sz w:val="22"/>
          <w:szCs w:val="22"/>
        </w:rPr>
        <w:t xml:space="preserve">采用标准化时间步长 Δt_phys/σ_t 后，时间导数与空间导数的尺度变换如何在残差中保持一致，需要说明；现有文字不足以判断这只是表述错误，还是会影响辨识结果的实现问题。</w:t>
      </w:r>
    </w:p>
    <w:p>
      <w:pPr>
        <w:pStyle w:val="ListParagraph"/>
        <w:numPr>
          <w:ilvl w:val="0"/>
          <w:numId w:val="2"/>
        </w:numPr>
        <w:spacing w:after="60" w:line="330"/>
      </w:pPr>
      <w:r>
        <w:rPr>
          <w:rFonts w:ascii="Times New Roman" w:eastAsia="SimSun" w:hAnsi="Times New Roman"/>
          <w:sz w:val="22"/>
          <w:szCs w:val="22"/>
        </w:rPr>
        <w:t xml:space="preserve">“以时间递推替代高阶空间导数”的说法与事实不符：本构方程只含一阶空间导数，T2=u·∇τ 仍需对应力网络求空间导数，被替换的仅是 ∂τ/∂t。该做法本质上是隐式欧拉时间离散，属已有思路（如离散时间 PINN），应准确定位创新点并引用相关文献。</w:t>
      </w:r>
    </w:p>
    <w:p>
      <w:pPr>
        <w:pStyle w:val="ListParagraph"/>
        <w:numPr>
          <w:ilvl w:val="0"/>
          <w:numId w:val="2"/>
        </w:numPr>
        <w:spacing w:after="60" w:line="330"/>
      </w:pPr>
      <w:r>
        <w:rPr>
          <w:rFonts w:ascii="Times New Roman" w:eastAsia="SimSun" w:hAnsi="Times New Roman"/>
          <w:sz w:val="22"/>
          <w:szCs w:val="22"/>
        </w:rPr>
        <w:t xml:space="preserve">文中列出不可压缩条件，但第一阶段与第二阶段的总损失均未出现连续性方程残差，也未说明是否采用硬约束。请补充实现方式。</w:t>
      </w:r>
    </w:p>
    <w:p>
      <w:pPr>
        <w:pStyle w:val="ListParagraph"/>
        <w:numPr>
          <w:ilvl w:val="0"/>
          <w:numId w:val="2"/>
        </w:numPr>
        <w:spacing w:after="60" w:line="330"/>
      </w:pPr>
      <w:r>
        <w:rPr>
          <w:rFonts w:ascii="Times New Roman" w:eastAsia="SimSun" w:hAnsi="Times New Roman"/>
          <w:sz w:val="22"/>
          <w:szCs w:val="22"/>
        </w:rPr>
        <w:t xml:space="preserve">边界损失含 inlet / outlet 与“压力出口”条件，而算例为封闭方腔、压力仅在 (0,0) 单点约束，请说明各项对应的区域。</w:t>
      </w:r>
    </w:p>
    <w:p>
      <w:pPr>
        <w:pStyle w:val="Heading2"/>
        <w:spacing w:after="100" w:before="200"/>
      </w:pPr>
      <w:r>
        <w:rPr>
          <w:rFonts w:ascii="Arial" w:eastAsia="SimHei" w:hAnsi="Arial"/>
          <w:b/>
          <w:bCs/>
          <w:sz w:val="24"/>
          <w:szCs w:val="24"/>
        </w:rPr>
        <w:t xml:space="preserve">6. 训练中可获得的信息未明确，“仅依赖稀疏速度观测”的表述不成立</w:t>
      </w:r>
    </w:p>
    <w:p>
      <w:pPr>
        <w:spacing w:after="100" w:line="340"/>
      </w:pPr>
      <w:r>
        <w:rPr>
          <w:rFonts w:ascii="Times New Roman" w:eastAsia="SimSun" w:hAnsi="Times New Roman"/>
          <w:sz w:val="22"/>
          <w:szCs w:val="22"/>
        </w:rPr>
        <w:t xml:space="preserve">本文强调基于稀疏速度观测，但损失同时使用应力初值、壁面及进出口应力参考值、压力参考值，并在训练前预计算速度、应力、压力的全场标准差；参考数据为 COMSOL 生成的 1.29×10⁵ 个稠密无噪声点。这些信息在真实实验（如 PIV）中大多不可得。请逐项区分：实际观测数据、已知初边值条件、独立先验信息、以及仅用于验证的参考解，并回答：</w:t>
      </w:r>
    </w:p>
    <w:p>
      <w:pPr>
        <w:pStyle w:val="ListParagraph"/>
        <w:numPr>
          <w:ilvl w:val="0"/>
          <w:numId w:val="2"/>
        </w:numPr>
        <w:spacing w:after="60" w:line="330"/>
      </w:pPr>
      <w:r>
        <w:rPr>
          <w:rFonts w:ascii="Times New Roman" w:eastAsia="SimSun" w:hAnsi="Times New Roman"/>
          <w:sz w:val="22"/>
          <w:szCs w:val="22"/>
        </w:rPr>
        <w:t xml:space="preserve">应力边界值是否直接取自 COMSOL 参考解？其使用范围与采样量是多少？</w:t>
      </w:r>
    </w:p>
    <w:p>
      <w:pPr>
        <w:pStyle w:val="ListParagraph"/>
        <w:numPr>
          <w:ilvl w:val="0"/>
          <w:numId w:val="2"/>
        </w:numPr>
        <w:spacing w:after="60" w:line="330"/>
      </w:pPr>
      <w:r>
        <w:rPr>
          <w:rFonts w:ascii="Times New Roman" w:eastAsia="SimSun" w:hAnsi="Times New Roman"/>
          <w:sz w:val="22"/>
          <w:szCs w:val="22"/>
        </w:rPr>
        <w:t xml:space="preserve">σ_τ、σ_p 是否由原本不可观测的完整真实场计算？若是，应评估去除该信息后方法的表现。</w:t>
      </w:r>
    </w:p>
    <w:p>
      <w:pPr>
        <w:pStyle w:val="ListParagraph"/>
        <w:numPr>
          <w:ilvl w:val="0"/>
          <w:numId w:val="2"/>
        </w:numPr>
        <w:spacing w:after="60" w:line="330"/>
      </w:pPr>
      <w:r>
        <w:rPr>
          <w:rFonts w:ascii="Times New Roman" w:eastAsia="SimSun" w:hAnsi="Times New Roman"/>
          <w:sz w:val="22"/>
          <w:szCs w:val="22"/>
        </w:rPr>
        <w:t xml:space="preserve">采用高斯观测噪声与不同采样密度进行验证；若暂不补充，应将“与 PIV 等实验技术直接衔接”限定为潜在应用方向。</w:t>
      </w:r>
    </w:p>
    <w:p>
      <w:pPr>
        <w:pStyle w:val="Heading2"/>
        <w:spacing w:after="100" w:before="200"/>
      </w:pPr>
      <w:r>
        <w:rPr>
          <w:rFonts w:ascii="Arial" w:eastAsia="SimHei" w:hAnsi="Arial"/>
          <w:b/>
          <w:bCs/>
          <w:sz w:val="24"/>
          <w:szCs w:val="24"/>
        </w:rPr>
        <w:t xml:space="preserve">7. 数据设置与测试方案存在不一致，验证不足以评价重建能力</w:t>
      </w:r>
    </w:p>
    <w:p>
      <w:pPr>
        <w:pStyle w:val="ListParagraph"/>
        <w:numPr>
          <w:ilvl w:val="0"/>
          <w:numId w:val="2"/>
        </w:numPr>
        <w:spacing w:after="60" w:line="330"/>
      </w:pPr>
      <w:r>
        <w:rPr>
          <w:rFonts w:ascii="Times New Roman" w:eastAsia="SimSun" w:hAnsi="Times New Roman"/>
          <w:sz w:val="22"/>
          <w:szCs w:val="22"/>
        </w:rPr>
        <w:t xml:space="preserve">第 2.1 节同时给出 T=0.03 s、输出间隔 Δt=0.01 s 与 16 个快照，按等间隔理解三者不能同时成立（仅 4 个时刻）。请列出实际输出时刻，并区分数值求解内部步长、数据保存间隔与一致性损失所用步长。</w:t>
      </w:r>
    </w:p>
    <w:p>
      <w:pPr>
        <w:pStyle w:val="ListParagraph"/>
        <w:numPr>
          <w:ilvl w:val="0"/>
          <w:numId w:val="2"/>
        </w:numPr>
        <w:spacing w:after="60" w:line="330"/>
      </w:pPr>
      <w:r>
        <w:rPr>
          <w:rFonts w:ascii="Times New Roman" w:eastAsia="SimSun" w:hAnsi="Times New Roman"/>
          <w:sz w:val="22"/>
          <w:szCs w:val="22"/>
        </w:rPr>
        <w:t xml:space="preserve">以 t=0 快照作测试集，而该时刻全域为零且又被用于初始条件约束，此测试无评价意义。建议在未参与拟合的非零时刻或空间位置验证，并明确区分观测点留出、时空插值与时间外推。</w:t>
      </w:r>
    </w:p>
    <w:p>
      <w:pPr>
        <w:pStyle w:val="ListParagraph"/>
        <w:numPr>
          <w:ilvl w:val="0"/>
          <w:numId w:val="2"/>
        </w:numPr>
        <w:spacing w:after="60" w:line="330"/>
      </w:pPr>
      <w:r>
        <w:rPr>
          <w:rFonts w:ascii="Times New Roman" w:eastAsia="SimSun" w:hAnsi="Times New Roman"/>
          <w:sz w:val="22"/>
          <w:szCs w:val="22"/>
        </w:rPr>
        <w:t xml:space="preserve">摘要中“约 6500 个时空采样点”与第 2.2 节“1.29×10⁵ 个时空点”需建立对应关系；请分别报告参考数据总量、速度观测点数、物理配置点数、初边值点数与独立测试点数及采样方式。</w:t>
      </w:r>
    </w:p>
    <w:p>
      <w:pPr>
        <w:pStyle w:val="ListParagraph"/>
        <w:numPr>
          <w:ilvl w:val="0"/>
          <w:numId w:val="2"/>
        </w:numPr>
        <w:spacing w:after="60" w:line="330"/>
      </w:pPr>
      <w:r>
        <w:rPr>
          <w:rFonts w:ascii="Times New Roman" w:eastAsia="SimSun" w:hAnsi="Times New Roman"/>
          <w:sz w:val="22"/>
          <w:szCs w:val="22"/>
        </w:rPr>
        <w:t xml:space="preserve">第 2.4 节题为“场量预测对比”，实际仅展示训练损失，缺少速度、应力、压力的参考场–预测场–误差场比较及相对 L2 误差等定量指标。</w:t>
      </w:r>
    </w:p>
    <w:p>
      <w:pPr>
        <w:pStyle w:val="Heading2"/>
        <w:spacing w:after="100" w:before="200"/>
      </w:pPr>
      <w:r>
        <w:rPr>
          <w:rFonts w:ascii="Arial" w:eastAsia="SimHei" w:hAnsi="Arial"/>
          <w:b/>
          <w:bCs/>
          <w:sz w:val="24"/>
          <w:szCs w:val="24"/>
        </w:rPr>
        <w:t xml:space="preserve">8. 动态损失权重的公式与所宣称的作用不一致</w:t>
      </w:r>
    </w:p>
    <w:p>
      <w:pPr>
        <w:spacing w:after="100" w:line="340"/>
      </w:pPr>
      <w:r>
        <w:rPr>
          <w:rFonts w:ascii="Times New Roman" w:eastAsia="SimSun" w:hAnsi="Times New Roman"/>
          <w:sz w:val="22"/>
          <w:szCs w:val="22"/>
        </w:rPr>
        <w:t xml:space="preserve">式（36）、（37）对数据损失与一致性损失乘以相同的 s_dyn，故二者有效权重之比恒等于初始权重之比（按式（45）恒为 2:5），并不随训练进度改变，与“训练初期由数据项主导、后期物理约束充分激活”的解释不符。实际随进度变化的只有：初始条件权重（逐渐衰减），以及未乘 s_dyn 的先验项与稀疏项相对数据项的比重（初期约被放大 10 倍）——后者还可能与 λ 被先验“牵引”的现象有关。另外，IC 权重在训练初期并未被降低，也与文中描述不符。</w:t>
      </w:r>
    </w:p>
    <w:p>
      <w:pPr>
        <w:spacing w:after="100" w:line="340"/>
      </w:pPr>
      <w:r>
        <w:rPr>
          <w:rFonts w:ascii="Arial" w:eastAsia="SimHei" w:hAnsi="Arial"/>
          <w:b/>
          <w:bCs/>
          <w:sz w:val="22"/>
          <w:szCs w:val="22"/>
        </w:rPr>
        <w:t xml:space="preserve">建议：</w:t>
      </w:r>
      <w:r>
        <w:rPr>
          <w:rFonts w:ascii="Times New Roman" w:eastAsia="SimSun" w:hAnsi="Times New Roman"/>
          <w:sz w:val="22"/>
          <w:szCs w:val="22"/>
        </w:rPr>
        <w:t xml:space="preserve">核对公式与代码，准确说明该调度改变了哪些损失项之间的相对关系；提供各项加权损失或梯度贡献随训练进度变化的曲线。仅展示总损失下降，不能证明实现了所宣称的数据–物理切换。</w:t>
      </w:r>
    </w:p>
    <w:p>
      <w:pPr>
        <w:pStyle w:val="Heading2"/>
        <w:spacing w:after="100" w:before="200"/>
      </w:pPr>
      <w:r>
        <w:rPr>
          <w:rFonts w:ascii="Arial" w:eastAsia="SimHei" w:hAnsi="Arial"/>
          <w:b/>
          <w:bCs/>
          <w:sz w:val="24"/>
          <w:szCs w:val="24"/>
        </w:rPr>
        <w:t xml:space="preserve">9. “增强”效果缺少基线比较与针对性消融</w:t>
      </w:r>
    </w:p>
    <w:p>
      <w:pPr>
        <w:spacing w:after="100" w:line="340"/>
      </w:pPr>
      <w:r>
        <w:rPr>
          <w:rFonts w:ascii="Times New Roman" w:eastAsia="SimSun" w:hAnsi="Times New Roman"/>
          <w:sz w:val="22"/>
          <w:szCs w:val="22"/>
        </w:rPr>
        <w:t xml:space="preserve">文章以 ViscoelasticNet 为主要比较对象，并将逐点缩放、动态调度等作为核心改进，但未在相同数据和训练预算下提供直接基线比较。第 2.5 节仅围绕先验设置展开（无先验、初始偏差、先验偏离、权重扫描），并未对参数变换、稀疏正则化、动态调度、逐点缩放、梯度缩放各自的贡献进行消融，与引言所称“四项消融实验系统评估了上述策略”不相称。“优于传统全局方差缩放”“克服了文献[13]中的偏差”等结论缺少定量支撑；不同缩放方式下的损失值本身也不宜直接作为准确度优劣的证据，应在统一测试集上用相同场误差和物理残差指标比较。</w:t>
      </w:r>
    </w:p>
    <w:p>
      <w:pPr>
        <w:spacing w:after="100" w:line="340"/>
      </w:pPr>
      <w:r>
        <w:rPr>
          <w:rFonts w:ascii="Arial" w:eastAsia="SimHei" w:hAnsi="Arial"/>
          <w:b/>
          <w:bCs/>
          <w:sz w:val="22"/>
          <w:szCs w:val="22"/>
        </w:rPr>
        <w:t xml:space="preserve">建议：</w:t>
      </w:r>
      <w:r>
        <w:rPr>
          <w:rFonts w:ascii="Times New Roman" w:eastAsia="SimSun" w:hAnsi="Times New Roman"/>
          <w:sz w:val="22"/>
          <w:szCs w:val="22"/>
        </w:rPr>
        <w:t xml:space="preserve">补充主要基线及与各创新点一一对应的控制实验；对所有结果报告多随机种子的均值±标准差与失败比例，并列出“24 组鲁棒性实验”的具体配置；核实对文献[13]局限性的描述。</w:t>
      </w:r>
    </w:p>
    <w:p>
      <w:pPr>
        <w:pStyle w:val="Heading2"/>
        <w:spacing w:after="100" w:before="200"/>
      </w:pPr>
      <w:r>
        <w:rPr>
          <w:rFonts w:ascii="Arial" w:eastAsia="SimHei" w:hAnsi="Arial"/>
          <w:b/>
          <w:bCs/>
          <w:sz w:val="24"/>
          <w:szCs w:val="24"/>
        </w:rPr>
        <w:t xml:space="preserve">10. 数值与表格前后矛盾</w:t>
      </w:r>
    </w:p>
    <w:p>
      <w:pPr>
        <w:spacing w:after="100" w:line="340"/>
      </w:pPr>
      <w:r>
        <w:rPr>
          <w:rFonts w:ascii="Times New Roman" w:eastAsia="SimSun" w:hAnsi="Times New Roman"/>
          <w:sz w:val="22"/>
          <w:szCs w:val="22"/>
        </w:rPr>
        <w:t xml:space="preserve">请逐条核对下列问题（“文中表述”与“据表格重新计算”不一致）：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460"/>
      </w:tblGrid>
      <w:tr>
        <w:trPr>
          <w:tblHeader/>
        </w:trPr>
        <w:tc>
          <w:tcPr>
            <w:tcW w:type="dxa" w:w="25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pPr>
              <w:spacing w:after="0"/>
            </w:pPr>
            <w:r>
              <w:rPr>
                <w:rFonts w:ascii="Arial" w:eastAsia="SimHei" w:hAnsi="Arial"/>
                <w:b/>
                <w:bCs/>
                <w:sz w:val="20"/>
                <w:szCs w:val="20"/>
              </w:rPr>
              <w:t xml:space="preserve">位置</w:t>
            </w:r>
          </w:p>
        </w:tc>
        <w:tc>
          <w:tcPr>
            <w:tcW w:type="dxa" w:w="3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pPr>
              <w:spacing w:after="0"/>
            </w:pPr>
            <w:r>
              <w:rPr>
                <w:rFonts w:ascii="Arial" w:eastAsia="SimHei" w:hAnsi="Arial"/>
                <w:b/>
                <w:bCs/>
                <w:sz w:val="20"/>
                <w:szCs w:val="20"/>
              </w:rPr>
              <w:t xml:space="preserve">文中表述</w:t>
            </w:r>
          </w:p>
        </w:tc>
        <w:tc>
          <w:tcPr>
            <w:tcW w:type="dxa" w:w="346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pPr>
              <w:spacing w:after="0"/>
            </w:pPr>
            <w:r>
              <w:rPr>
                <w:rFonts w:ascii="Arial" w:eastAsia="SimHei" w:hAnsi="Arial"/>
                <w:b/>
                <w:bCs/>
                <w:sz w:val="20"/>
                <w:szCs w:val="20"/>
              </w:rPr>
              <w:t xml:space="preserve">核对结果</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第 2.2 节</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黏度参数最大偏差不超过 4%</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表 2 中 Giesekus 的 ηp 为 0.0141 / 0.0151 / 0.0123（真值 0.01，偏差 23%–51%），PTT 在 γλ=10⁻³ 时 ηp=0.0125（偏 25%）</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第 2.5 节</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α 误差 16%</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表 1 为 0.1614（偏差 19.3%），表 2 各行为 0.184–0.192（偏 4%–8%），均非 16%</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第 2.5 节</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γλ=10⁻³ 时 ε 偏离 23%</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(0.1−0.0797)/0.1≈20.3%</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第 2.5 节</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“证实了式(21)的力平衡机制”</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应为式(42)；另第 1.4.3 节“第 3 节的配置”实为结论章</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表 1 / 表 2</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未说明表 1 对应哪个 γλ，且表 1 的 λ、α 在表 2 中无对应行</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表 1</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Giesekus、PTT 的 λ 真值以“–”省略</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正文已给 λ=0.1，应统一</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摘要 / 第 2.2 节</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约 6500 点 / 1.29×10⁵ 点</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数据量不一致</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第 2.1 节</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T=0.03 s、Δt=0.01 s、16 个快照</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三者不能同时成立</w:t>
            </w:r>
          </w:p>
        </w:tc>
      </w:tr>
      <w:tr>
        <w:trPr>
          <w:tblHeader w:val="off"/>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结论</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λ 先验权重 5×10⁻⁴～10⁻³ 时全部参数接近真值</w:t>
            </w:r>
          </w:p>
        </w:tc>
        <w:tc>
          <w:tcPr>
            <w:tcW w:type="dxa" w:w="34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表 2 中 λ=0.42–0.56，远离 0.1</w:t>
            </w:r>
          </w:p>
        </w:tc>
      </w:tr>
    </w:tbl>
    <w:p>
      <w:pPr>
        <w:pStyle w:val="Heading1"/>
        <w:spacing w:after="140" w:before="300"/>
      </w:pPr>
      <w:r>
        <w:rPr>
          <w:rFonts w:ascii="Arial" w:eastAsia="SimHei" w:hAnsi="Arial"/>
          <w:b/>
          <w:bCs/>
          <w:sz w:val="28"/>
          <w:szCs w:val="28"/>
        </w:rPr>
        <w:t xml:space="preserve">三、次要意见</w:t>
      </w:r>
    </w:p>
    <w:p>
      <w:pPr>
        <w:pStyle w:val="ListParagraph"/>
        <w:numPr>
          <w:ilvl w:val="0"/>
          <w:numId w:val="2"/>
        </w:numPr>
        <w:spacing w:after="60" w:line="330"/>
      </w:pPr>
      <w:r>
        <w:rPr>
          <w:rFonts w:ascii="Arial" w:eastAsia="SimHei" w:hAnsi="Arial"/>
          <w:b/>
          <w:bCs/>
          <w:sz w:val="22"/>
          <w:szCs w:val="22"/>
        </w:rPr>
        <w:t xml:space="preserve">参数约束的表述。</w:t>
      </w:r>
      <w:r>
        <w:rPr>
          <w:rFonts w:ascii="Times New Roman" w:eastAsia="SimSun" w:hAnsi="Times New Roman"/>
          <w:sz w:val="22"/>
          <w:szCs w:val="22"/>
        </w:rPr>
        <w:t xml:space="preserve">softplus 在有限输入下严格大于零，只能渐近趋零；exp 与 softplus 均无上界，“保证有界性”“严格归零”应与实际裁剪操作区分。“正定性”一词适用于矩阵，标量参数应称“正性/非负性”。请列出各参数的裁剪区间及取值依据——例如 λ 的下界 0.1 恰等于其真值，需说明原因。</w:t>
      </w:r>
    </w:p>
    <w:p>
      <w:pPr>
        <w:pStyle w:val="ListParagraph"/>
        <w:numPr>
          <w:ilvl w:val="0"/>
          <w:numId w:val="2"/>
        </w:numPr>
        <w:spacing w:after="60" w:line="330"/>
      </w:pPr>
      <w:r>
        <w:rPr>
          <w:rFonts w:ascii="Arial" w:eastAsia="SimHei" w:hAnsi="Arial"/>
          <w:b/>
          <w:bCs/>
          <w:sz w:val="22"/>
          <w:szCs w:val="22"/>
        </w:rPr>
        <w:t xml:space="preserve">术语与统计量。</w:t>
      </w:r>
      <w:r>
        <w:rPr>
          <w:rFonts w:ascii="Times New Roman" w:eastAsia="SimSun" w:hAnsi="Times New Roman"/>
          <w:sz w:val="22"/>
          <w:szCs w:val="22"/>
        </w:rPr>
        <w:t xml:space="preserve">式（26）计算的是惯性项幅值的均方根，并非减去均值的标准差；式（6）与式（12）（13）重复；请统一术语并说明代码中的实际定义。</w:t>
      </w:r>
    </w:p>
    <w:p>
      <w:pPr>
        <w:pStyle w:val="ListParagraph"/>
        <w:numPr>
          <w:ilvl w:val="0"/>
          <w:numId w:val="2"/>
        </w:numPr>
        <w:spacing w:after="60" w:line="330"/>
      </w:pPr>
      <w:r>
        <w:rPr>
          <w:rFonts w:ascii="Arial" w:eastAsia="SimHei" w:hAnsi="Arial"/>
          <w:b/>
          <w:bCs/>
          <w:sz w:val="22"/>
          <w:szCs w:val="22"/>
        </w:rPr>
        <w:t xml:space="preserve">数值安全机制。</w:t>
      </w:r>
      <w:r>
        <w:rPr>
          <w:rFonts w:ascii="Times New Roman" w:eastAsia="SimSun" w:hAnsi="Times New Roman"/>
          <w:sz w:val="22"/>
          <w:szCs w:val="22"/>
        </w:rPr>
        <w:t xml:space="preserve">非有限导数置零、F 裁剪至 ±10⁶、全局梯度裁剪与参数特异梯度缩放（式 9）等可能改变实际被优化的残差。请报告触发频率（尤其训练后期）并给出未经处理的独立残差检查；式（9）中针对 ηp 的 clip(ηp,0.1,2.0) 缩放需说明依据。</w:t>
      </w:r>
    </w:p>
    <w:p>
      <w:pPr>
        <w:pStyle w:val="ListParagraph"/>
        <w:numPr>
          <w:ilvl w:val="0"/>
          <w:numId w:val="2"/>
        </w:numPr>
        <w:spacing w:after="60" w:line="330"/>
      </w:pPr>
      <w:r>
        <w:rPr>
          <w:rFonts w:ascii="Arial" w:eastAsia="SimHei" w:hAnsi="Arial"/>
          <w:b/>
          <w:bCs/>
          <w:sz w:val="22"/>
          <w:szCs w:val="22"/>
        </w:rPr>
        <w:t xml:space="preserve">可复现性。</w:t>
      </w:r>
      <w:r>
        <w:rPr>
          <w:rFonts w:ascii="Times New Roman" w:eastAsia="SimSun" w:hAnsi="Times New Roman"/>
          <w:sz w:val="22"/>
          <w:szCs w:val="22"/>
        </w:rPr>
        <w:t xml:space="preserve">补充两阶段迭代次数、优化器、批量大小、学习率与全部损失权重、先验均值、随机种子、GPU 型号及“不足 1 小时”对应的迭代数。</w:t>
      </w:r>
    </w:p>
    <w:p>
      <w:pPr>
        <w:pStyle w:val="ListParagraph"/>
        <w:numPr>
          <w:ilvl w:val="0"/>
          <w:numId w:val="2"/>
        </w:numPr>
        <w:spacing w:after="60" w:line="330"/>
      </w:pPr>
      <w:r>
        <w:rPr>
          <w:rFonts w:ascii="Arial" w:eastAsia="SimHei" w:hAnsi="Arial"/>
          <w:b/>
          <w:bCs/>
          <w:sz w:val="22"/>
          <w:szCs w:val="22"/>
        </w:rPr>
        <w:t xml:space="preserve">图表。</w:t>
      </w:r>
      <w:r>
        <w:rPr>
          <w:rFonts w:ascii="Times New Roman" w:eastAsia="SimSun" w:hAnsi="Times New Roman"/>
          <w:sz w:val="22"/>
          <w:szCs w:val="22"/>
        </w:rPr>
        <w:t xml:space="preserve">请核查图 3–11 中曲线终值与表 1 的一致性（如是否含不同训练阶段的连接），并统一图例。</w:t>
      </w:r>
    </w:p>
    <w:p>
      <w:pPr>
        <w:pStyle w:val="ListParagraph"/>
        <w:numPr>
          <w:ilvl w:val="0"/>
          <w:numId w:val="2"/>
        </w:numPr>
        <w:spacing w:after="60" w:line="330"/>
      </w:pPr>
      <w:r>
        <w:rPr>
          <w:rFonts w:ascii="Arial" w:eastAsia="SimHei" w:hAnsi="Arial"/>
          <w:b/>
          <w:bCs/>
          <w:sz w:val="22"/>
          <w:szCs w:val="22"/>
        </w:rPr>
        <w:t xml:space="preserve">文献与写作。</w:t>
      </w:r>
      <w:r>
        <w:rPr>
          <w:rFonts w:ascii="Times New Roman" w:eastAsia="SimSun" w:hAnsi="Times New Roman"/>
          <w:sz w:val="22"/>
          <w:szCs w:val="22"/>
        </w:rPr>
        <w:t xml:space="preserve">英文摘要出现的 “ViscoelasticNet++” 未见于中文摘要与正文，请统一并说明与 ViscoelasticNet 的关系；损失加权文献综述（[21]–[27]）篇幅较长但正文未做对比，建议压缩并补充本构发现方向文献（如 EUCLID、SINDy / PDE-FIND 等）；“黏/粘”“伸长/伸展性”等术语需统一；建议增设“局限性”小节。</w:t>
      </w:r>
    </w:p>
    <w:p>
      <w:pPr>
        <w:pStyle w:val="Heading1"/>
        <w:spacing w:after="140" w:before="300"/>
      </w:pPr>
      <w:r>
        <w:rPr>
          <w:rFonts w:ascii="Arial" w:eastAsia="SimHei" w:hAnsi="Arial"/>
          <w:b/>
          <w:bCs/>
          <w:sz w:val="28"/>
          <w:szCs w:val="28"/>
        </w:rPr>
        <w:t xml:space="preserve">四、建议补充的关键实验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4360"/>
      </w:tblGrid>
      <w:tr>
        <w:trPr>
          <w:tblHeader/>
        </w:trPr>
        <w:tc>
          <w:tcPr>
            <w:tcW w:type="dxa" w:w="6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pPr>
              <w:spacing w:after="0"/>
            </w:pPr>
            <w:r>
              <w:rPr>
                <w:rFonts w:ascii="Arial" w:eastAsia="SimHei" w:hAnsi="Arial"/>
                <w:b/>
                <w:bCs/>
                <w:sz w:val="20"/>
                <w:szCs w:val="20"/>
              </w:rPr>
              <w:t xml:space="preserve">序号</w:t>
            </w:r>
          </w:p>
        </w:tc>
        <w:tc>
          <w:tcPr>
            <w:tcW w:type="dxa" w:w="4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pPr>
              <w:spacing w:after="0"/>
            </w:pPr>
            <w:r>
              <w:rPr>
                <w:rFonts w:ascii="Arial" w:eastAsia="SimHei" w:hAnsi="Arial"/>
                <w:b/>
                <w:bCs/>
                <w:sz w:val="20"/>
                <w:szCs w:val="20"/>
              </w:rPr>
              <w:t xml:space="preserve">实验</w:t>
            </w:r>
          </w:p>
        </w:tc>
        <w:tc>
          <w:tcPr>
            <w:tcW w:type="dxa" w:w="436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pPr>
              <w:spacing w:after="0"/>
            </w:pPr>
            <w:r>
              <w:rPr>
                <w:rFonts w:ascii="Arial" w:eastAsia="SimHei" w:hAnsi="Arial"/>
                <w:b/>
                <w:bCs/>
                <w:sz w:val="20"/>
                <w:szCs w:val="20"/>
              </w:rPr>
              <w:t xml:space="preserve">目的</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1</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统一稀疏惩罚 + 隐藏标签数据；交叉模型与混合模型测试</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证明模型类别由数据识别</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2</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先验均值偏离 / 无先验但数据充分 / 无数据仅先验</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区分数据与先验的信息贡献</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3</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固定网络后的 λ、ηp、ε、α 损失剖面；S 是否 detach；Δt 敏感性</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验证 λ 偏离与可辨识性解释</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4</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更长时间、更大 Wi、三类模型同一设置</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检验 ε、α 是否确有可辨识信息</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5</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加入观测噪声、降低采样密度、去除应力边界与全场统计量</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检验“稀疏观测 / 对接实验”</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6</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与 ViscoelasticNet 同数据同预算对比；对各创新组件逐一消融</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验证“增强”效果</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7</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非零时刻留出的场误差（u, τ, p）与物理残差；多随机种子统计</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评估重建能力与稳健性</w:t>
            </w:r>
          </w:p>
        </w:tc>
      </w:tr>
      <w:tr>
        <w:trPr>
          <w:tblHeader w:val="off"/>
        </w:trPr>
        <w:tc>
          <w:tcPr>
            <w:tcW w:type="dxa" w:w="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8</w:t>
            </w:r>
          </w:p>
        </w:tc>
        <w:tc>
          <w:tcPr>
            <w:tcW w:type="dxa" w:w="4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动量方程参与的联合训练（消除 τ–ηp 缩放对称性）</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Times New Roman" w:eastAsia="SimSun" w:hAnsi="Times New Roman"/>
                <w:sz w:val="22"/>
                <w:szCs w:val="22"/>
              </w:rPr>
              <w:t xml:space="preserve">检验 ηp 的数据可辨识性</w:t>
            </w:r>
          </w:p>
        </w:tc>
      </w:tr>
    </w:tbl>
    <w:p>
      <w:pPr>
        <w:pStyle w:val="Heading1"/>
        <w:spacing w:after="140" w:before="300"/>
      </w:pPr>
      <w:r>
        <w:rPr>
          <w:rFonts w:ascii="Arial" w:eastAsia="SimHei" w:hAnsi="Arial"/>
          <w:b/>
          <w:bCs/>
          <w:sz w:val="28"/>
          <w:szCs w:val="28"/>
        </w:rPr>
        <w:t xml:space="preserve">五、审稿结论</w:t>
      </w:r>
    </w:p>
    <w:p>
      <w:pPr>
        <w:spacing w:after="100" w:line="340"/>
      </w:pPr>
      <w:r>
        <w:rPr>
          <w:rFonts w:ascii="Times New Roman" w:eastAsia="SimSun" w:hAnsi="Times New Roman"/>
          <w:sz w:val="22"/>
          <w:szCs w:val="22"/>
        </w:rPr>
        <w:t xml:space="preserve">本文所研究的问题有价值，方法组合也具有一定工程意义。但目前需要优先回答三个根本问题：</w:t>
      </w:r>
      <w:r>
        <w:rPr>
          <w:rFonts w:ascii="Arial" w:eastAsia="SimHei" w:hAnsi="Arial"/>
          <w:b/>
          <w:bCs/>
          <w:sz w:val="22"/>
          <w:szCs w:val="22"/>
        </w:rPr>
        <w:t xml:space="preserve">（1）模型类别是否真正由未知数据识别；（2）参数估计是否具有独立于正确先验的数据证据；（3）松弛时间异常是否经过与实际实现一致的分析。</w:t>
      </w:r>
      <w:r>
        <w:rPr>
          <w:rFonts w:ascii="Times New Roman" w:eastAsia="SimSun" w:hAnsi="Times New Roman"/>
          <w:sz w:val="22"/>
          <w:szCs w:val="22"/>
        </w:rPr>
        <w:t xml:space="preserve">此外，控制方程与信息条件的描述、数据与测试设置、损失调度的机理解释以及基线比较也需要核实与补充。在完成方法核验、补充上述对照实验并收缩未经充分验证的结论（特别是“自动模型选择”“高精度参数辨识”“理论可辨识性边界”及“可直接对接 PIV”）后，建议提交修改稿重审。</w:t>
      </w:r>
    </w:p>
    <w:sectPr>
      <w:footerReference w:type="default" r:id="rId6"/>
      <w:pgSz w:w="11906" w:h="16838" w:orient="portrait"/>
      <w:pgMar w:top="144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18"/>
        <w:szCs w:val="18"/>
      </w:rPr>
      <w:t xml:space="preserve">第 </w:t>
    </w:r>
    <w:r>
      <w:rPr>
        <w:rFonts w:ascii="Times New Roman" w:eastAsia="SimSun" w:hAnsi="Times New Roman"/>
        <w:sz w:val="18"/>
        <w:szCs w:val="18"/>
      </w:rPr>
      <w:fldChar w:fldCharType="begin"/>
      <w:instrText xml:space="preserve">PAGE</w:instrText>
      <w:fldChar w:fldCharType="separate"/>
      <w:fldChar w:fldCharType="end"/>
    </w:r>
    <w:r>
      <w:rPr>
        <w:rFonts w:ascii="Times New Roman" w:eastAsia="SimSun" w:hAnsi="Times New Roman"/>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eastAsia="SimHei" w:hAnsi="Arial"/>
      <w:b/>
      <w:bCs/>
      <w:sz w:val="28"/>
      <w:szCs w:val="28"/>
    </w:rPr>
  </w:style>
  <w:style w:type="paragraph" w:styleId="Heading2">
    <w:name w:val="Heading 2"/>
    <w:basedOn w:val="Normal"/>
    <w:next w:val="Normal"/>
    <w:qFormat/>
    <w:pPr>
      <w:spacing w:after="100" w:before="200"/>
      <w:outlineLvl w:val="1"/>
    </w:pPr>
    <w:rPr>
      <w:rFonts w:ascii="Arial" w:eastAsia="SimHei"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2026-09-30T12:49:09.758Z</dcterms:created>
  <dcterms:modified xsi:type="dcterms:W3CDTF">2026-09-30T12:49:09.758Z</dcterms:modified>
</cp:coreProperties>
</file>

<file path=docProps/custom.xml><?xml version="1.0" encoding="utf-8"?>
<Properties xmlns="http://schemas.openxmlformats.org/officeDocument/2006/custom-properties" xmlns:vt="http://schemas.openxmlformats.org/officeDocument/2006/docPropsVTypes"/>
</file>