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" w:after="80"/>
      </w:pPr>
      <w:r>
        <w:rPr>
          <w:rFonts w:ascii="Times New Roman" w:hAnsi="Times New Roman" w:eastAsia="Times New Roman"/>
          <w:b/>
          <w:i w:val="0"/>
          <w:color w:val="0D2B43"/>
          <w:sz w:val="41"/>
        </w:rPr>
        <w:t>Finly: A Trading Agent That Knows What It Is Allowed to Decide</w:t>
      </w:r>
    </w:p>
    <w:p>
      <w:pPr>
        <w:spacing w:after="140"/>
        <w:pBdr>
          <w:bottom w:val="single" w:sz="9" w:space="5" w:color="2E6F5C"/>
        </w:pBdr>
      </w:pPr>
      <w:r>
        <w:rPr>
          <w:rFonts w:ascii="Arial" w:hAnsi="Arial" w:eastAsia="Arial"/>
          <w:b/>
          <w:i w:val="0"/>
          <w:color w:val="68706F"/>
          <w:sz w:val="16"/>
        </w:rPr>
        <w:t>Bruce Wen · Brandeis University · bwen412@brandeis.edu</w:t>
      </w:r>
    </w:p>
    <w:p>
      <w:pPr>
        <w:keepLines w:val="0"/>
        <w:widowControl/>
        <w:spacing w:line="250" w:lineRule="auto" w:after="76"/>
        <w:jc w:val="both"/>
      </w:pPr>
      <w:r>
        <w:rPr>
          <w:rFonts w:ascii="Times New Roman" w:hAnsi="Times New Roman" w:eastAsia="Times New Roman"/>
          <w:b w:val="0"/>
          <w:i w:val="0"/>
          <w:color w:val="263238"/>
          <w:sz w:val="19"/>
        </w:rPr>
        <w:t xml:space="preserve">Most trading agents begin with the question, “What should I trade?” Finly begins one step earlier: which parts of that decision should an AI be allowed to control? Its answer is a division of authority rather than another promise of machine foresight. The project contains three deliberately separate objects. </w:t>
      </w:r>
      <w:r>
        <w:rPr>
          <w:rFonts w:ascii="Times New Roman" w:hAnsi="Times New Roman" w:eastAsia="Times New Roman"/>
          <w:b/>
          <w:i w:val="0"/>
          <w:color w:val="263238"/>
          <w:sz w:val="19"/>
        </w:rPr>
        <w:t>G4</w:t>
      </w:r>
      <w:r>
        <w:rPr>
          <w:rFonts w:ascii="Times New Roman" w:hAnsi="Times New Roman" w:eastAsia="Times New Roman"/>
          <w:b w:val="0"/>
          <w:i w:val="0"/>
          <w:color w:val="263238"/>
          <w:sz w:val="19"/>
        </w:rPr>
        <w:t xml:space="preserve"> is a retrospective research challenger, designed to make the strongest historical case against restraint. </w:t>
      </w:r>
      <w:r>
        <w:rPr>
          <w:rFonts w:ascii="Menlo" w:hAnsi="Menlo" w:eastAsia="Menlo"/>
          <w:b/>
          <w:i w:val="0"/>
          <w:color w:val="263238"/>
          <w:sz w:val="17"/>
        </w:rPr>
        <w:t>tsmom_ensemble_vol</w:t>
      </w:r>
      <w:r>
        <w:rPr>
          <w:rFonts w:ascii="Times New Roman" w:hAnsi="Times New Roman" w:eastAsia="Times New Roman"/>
          <w:b w:val="0"/>
          <w:i w:val="0"/>
          <w:color w:val="263238"/>
          <w:sz w:val="19"/>
        </w:rPr>
        <w:t xml:space="preserve"> is the frozen production policy, a long-only SPY/BIL allocation intended to limit risk. The </w:t>
      </w:r>
      <w:r>
        <w:rPr>
          <w:rFonts w:ascii="Times New Roman" w:hAnsi="Times New Roman" w:eastAsia="Times New Roman"/>
          <w:b/>
          <w:i w:val="0"/>
          <w:color w:val="263238"/>
          <w:sz w:val="19"/>
        </w:rPr>
        <w:t>options compiler</w:t>
      </w:r>
      <w:r>
        <w:rPr>
          <w:rFonts w:ascii="Times New Roman" w:hAnsi="Times New Roman" w:eastAsia="Times New Roman"/>
          <w:b w:val="0"/>
          <w:i w:val="0"/>
          <w:color w:val="263238"/>
          <w:sz w:val="19"/>
        </w:rPr>
        <w:t xml:space="preserve"> is neither strategy: it is the control boundary that can turn an already-permitted view into a defined-risk order intent. AI may assess bounded evidence, explain its judgment, or veto a proposal; deterministic code alone owns direction, horizon, structure, maximum loss, order fields, and the final </w:t>
      </w:r>
      <w:r>
        <w:rPr>
          <w:rFonts w:ascii="Menlo" w:hAnsi="Menlo" w:eastAsia="Menlo"/>
          <w:b w:val="0"/>
          <w:i w:val="0"/>
          <w:color w:val="263238"/>
          <w:sz w:val="17"/>
        </w:rPr>
        <w:t>PERMIT</w:t>
      </w:r>
      <w:r>
        <w:rPr>
          <w:rFonts w:ascii="Times New Roman" w:hAnsi="Times New Roman" w:eastAsia="Times New Roman"/>
          <w:b w:val="0"/>
          <w:i w:val="0"/>
          <w:color w:val="263238"/>
          <w:sz w:val="19"/>
        </w:rPr>
        <w:t xml:space="preserve"> or </w:t>
      </w:r>
      <w:r>
        <w:rPr>
          <w:rFonts w:ascii="Menlo" w:hAnsi="Menlo" w:eastAsia="Menlo"/>
          <w:b w:val="0"/>
          <w:i w:val="0"/>
          <w:color w:val="263238"/>
          <w:sz w:val="17"/>
        </w:rPr>
        <w:t>NO_TRADE</w:t>
      </w:r>
      <w:r>
        <w:rPr>
          <w:rFonts w:ascii="Times New Roman" w:hAnsi="Times New Roman" w:eastAsia="Times New Roman"/>
          <w:b w:val="0"/>
          <w:i w:val="0"/>
          <w:color w:val="263238"/>
          <w:sz w:val="19"/>
        </w:rPr>
        <w:t xml:space="preserve"> decision. Finly's thesis is simple: useful judgment does not automatically confer authority over capital.</w:t>
      </w:r>
    </w:p>
    <w:p>
      <w:pPr>
        <w:keepLines w:val="0"/>
        <w:widowControl/>
        <w:spacing w:line="250" w:lineRule="auto" w:after="76"/>
        <w:jc w:val="both"/>
      </w:pPr>
      <w:r>
        <w:rPr>
          <w:rFonts w:ascii="Times New Roman" w:hAnsi="Times New Roman" w:eastAsia="Times New Roman"/>
          <w:b w:val="0"/>
          <w:i w:val="0"/>
          <w:color w:val="263238"/>
          <w:sz w:val="19"/>
        </w:rPr>
        <w:t xml:space="preserve">G4 makes that thesis difficult rather than convenient. Every 21 sessions it assigned 50% to QQQ and divided the rest among the three strongest sector ETFs by their 252-to-126-session log return. From 2 January 2013 through 27 August 2026, its adjusted-close replay gained </w:t>
      </w:r>
      <w:r>
        <w:rPr>
          <w:rFonts w:ascii="Times New Roman" w:hAnsi="Times New Roman" w:eastAsia="Times New Roman"/>
          <w:b/>
          <w:i w:val="0"/>
          <w:color w:val="263238"/>
          <w:sz w:val="19"/>
        </w:rPr>
        <w:t>967.11%</w:t>
      </w:r>
      <w:r>
        <w:rPr>
          <w:rFonts w:ascii="Times New Roman" w:hAnsi="Times New Roman" w:eastAsia="Times New Roman"/>
          <w:b w:val="0"/>
          <w:i w:val="0"/>
          <w:color w:val="263238"/>
          <w:sz w:val="19"/>
        </w:rPr>
        <w:t xml:space="preserve">, or 18.97% annualized, against </w:t>
      </w:r>
      <w:r>
        <w:rPr>
          <w:rFonts w:ascii="Times New Roman" w:hAnsi="Times New Roman" w:eastAsia="Times New Roman"/>
          <w:b/>
          <w:i w:val="0"/>
          <w:color w:val="263238"/>
          <w:sz w:val="19"/>
        </w:rPr>
        <w:t>580.82%</w:t>
      </w:r>
      <w:r>
        <w:rPr>
          <w:rFonts w:ascii="Times New Roman" w:hAnsi="Times New Roman" w:eastAsia="Times New Roman"/>
          <w:b w:val="0"/>
          <w:i w:val="0"/>
          <w:color w:val="263238"/>
          <w:sz w:val="19"/>
        </w:rPr>
        <w:t xml:space="preserve"> and 15.11% for SPY; its maximum drawdown was -28.99% against -33.72%. Yet the result did not survive Finly's promotion standard. Its Deflated Sharpe probability was 3.75% against a 95% requirement, the worst familywise-adjusted p-value was 0.3718 against 0.05, and both the static growth-control and authenticated source-overlap gates failed [3,4,7]. The research ledger conservatively records 113 heterogeneous attempts—including controls, invalidated runs, rejected suggestions, and reruns—not 113 independent strategies. The disclosed comparator for both equity studies is SPY buy-and-hold. G4 is a post-selected adjusted-close replay; the production figures below are a consumed theoretical adjusted-OHLC next-open ledger, not broker fills, options P&amp;L, or evidence of future alpha.</w:t>
      </w:r>
    </w:p>
    <w:p>
      <w:pPr>
        <w:keepLines w:val="0"/>
        <w:widowControl/>
        <w:spacing w:line="250" w:lineRule="auto" w:after="76"/>
        <w:jc w:val="both"/>
      </w:pPr>
      <w:r>
        <w:rPr>
          <w:rFonts w:ascii="Times New Roman" w:hAnsi="Times New Roman" w:eastAsia="Times New Roman"/>
          <w:b w:val="0"/>
          <w:i w:val="0"/>
          <w:color w:val="263238"/>
          <w:sz w:val="19"/>
        </w:rPr>
        <w:t xml:space="preserve">The policy Finly actually froze is less theatrical and more useful. Every five sessions, </w:t>
      </w:r>
      <w:r>
        <w:rPr>
          <w:rFonts w:ascii="Menlo" w:hAnsi="Menlo" w:eastAsia="Menlo"/>
          <w:b w:val="0"/>
          <w:i w:val="0"/>
          <w:color w:val="263238"/>
          <w:sz w:val="17"/>
        </w:rPr>
        <w:t>tsmom_ensemble_vol</w:t>
      </w:r>
      <w:r>
        <w:rPr>
          <w:rFonts w:ascii="Times New Roman" w:hAnsi="Times New Roman" w:eastAsia="Times New Roman"/>
          <w:b w:val="0"/>
          <w:i w:val="0"/>
          <w:color w:val="263238"/>
          <w:sz w:val="19"/>
        </w:rPr>
        <w:t xml:space="preserve"> averages the signs of SPY-minus-BIL trends over 21, 63, and 252 sessions, scales the resulting SPY weight toward a 10% volatility target, and leaves the balance in BIL [1,2]. In 415 next-open observations from 2 January 2025 through 28 August 2026, signals were formed at the adjusted close and filled at the following open. Charging five basis points on each absolute SPY and BIL traded-notional leg, the policy returned </w:t>
      </w:r>
      <w:r>
        <w:rPr>
          <w:rFonts w:ascii="Times New Roman" w:hAnsi="Times New Roman" w:eastAsia="Times New Roman"/>
          <w:b/>
          <w:i w:val="0"/>
          <w:color w:val="263238"/>
          <w:sz w:val="19"/>
        </w:rPr>
        <w:t>+15.39%</w:t>
      </w:r>
      <w:r>
        <w:rPr>
          <w:rFonts w:ascii="Times New Roman" w:hAnsi="Times New Roman" w:eastAsia="Times New Roman"/>
          <w:b w:val="0"/>
          <w:i w:val="0"/>
          <w:color w:val="263238"/>
          <w:sz w:val="19"/>
        </w:rPr>
        <w:t xml:space="preserve"> with a </w:t>
      </w:r>
      <w:r>
        <w:rPr>
          <w:rFonts w:ascii="Times New Roman" w:hAnsi="Times New Roman" w:eastAsia="Times New Roman"/>
          <w:b/>
          <w:i w:val="0"/>
          <w:color w:val="263238"/>
          <w:sz w:val="19"/>
        </w:rPr>
        <w:t>-5.45%</w:t>
      </w:r>
      <w:r>
        <w:rPr>
          <w:rFonts w:ascii="Times New Roman" w:hAnsi="Times New Roman" w:eastAsia="Times New Roman"/>
          <w:b w:val="0"/>
          <w:i w:val="0"/>
          <w:color w:val="263238"/>
          <w:sz w:val="19"/>
        </w:rPr>
        <w:t xml:space="preserve"> maximum drawdown; SPY returned </w:t>
      </w:r>
      <w:r>
        <w:rPr>
          <w:rFonts w:ascii="Times New Roman" w:hAnsi="Times New Roman" w:eastAsia="Times New Roman"/>
          <w:b/>
          <w:i w:val="0"/>
          <w:color w:val="263238"/>
          <w:sz w:val="19"/>
        </w:rPr>
        <w:t>+33.52%</w:t>
      </w:r>
      <w:r>
        <w:rPr>
          <w:rFonts w:ascii="Times New Roman" w:hAnsi="Times New Roman" w:eastAsia="Times New Roman"/>
          <w:b w:val="0"/>
          <w:i w:val="0"/>
          <w:color w:val="263238"/>
          <w:sz w:val="19"/>
        </w:rPr>
        <w:t xml:space="preserve">. At a deliberately punitive 25 basis points per leg, Finly remained positive at </w:t>
      </w:r>
      <w:r>
        <w:rPr>
          <w:rFonts w:ascii="Times New Roman" w:hAnsi="Times New Roman" w:eastAsia="Times New Roman"/>
          <w:b/>
          <w:i w:val="0"/>
          <w:color w:val="263238"/>
          <w:sz w:val="19"/>
        </w:rPr>
        <w:t>+10.56%</w:t>
      </w:r>
      <w:r>
        <w:rPr>
          <w:rFonts w:ascii="Times New Roman" w:hAnsi="Times New Roman" w:eastAsia="Times New Roman"/>
          <w:b w:val="0"/>
          <w:i w:val="0"/>
          <w:color w:val="263238"/>
          <w:sz w:val="19"/>
        </w:rPr>
        <w:t xml:space="preserve">. A separate one-basis-point small-account shadow—sell-first, $1 minimum orders, nine-decimal fractional quantities, and a fee proxy—turned </w:t>
      </w:r>
      <w:r>
        <w:rPr>
          <w:rFonts w:ascii="Times New Roman" w:hAnsi="Times New Roman" w:eastAsia="Times New Roman"/>
          <w:b/>
          <w:i w:val="0"/>
          <w:color w:val="263238"/>
          <w:sz w:val="19"/>
        </w:rPr>
        <w:t>$300 into $351.88</w:t>
      </w:r>
      <w:r>
        <w:rPr>
          <w:rFonts w:ascii="Times New Roman" w:hAnsi="Times New Roman" w:eastAsia="Times New Roman"/>
          <w:b w:val="0"/>
          <w:i w:val="0"/>
          <w:color w:val="263238"/>
          <w:sz w:val="19"/>
        </w:rPr>
        <w:t xml:space="preserve"> [8]. This is not raw-return dominance. It is evidence that the production object does what it was designed to do: remain investable under friction while buying substantial drawdown protection.</w:t>
      </w:r>
    </w:p>
    <w:p>
      <w:pPr>
        <w:keepLines w:val="0"/>
        <w:widowControl/>
        <w:spacing w:line="250" w:lineRule="auto" w:after="76"/>
        <w:jc w:val="both"/>
      </w:pPr>
      <w:r>
        <w:rPr>
          <w:rFonts w:ascii="Times New Roman" w:hAnsi="Times New Roman" w:eastAsia="Times New Roman"/>
          <w:b w:val="0"/>
          <w:i w:val="0"/>
          <w:color w:val="263238"/>
          <w:sz w:val="19"/>
        </w:rPr>
        <w:t xml:space="preserve">The options layer applies the same principle at the point where mistakes become orders. A local model may supply a bounded score and rationale, but code derives the typed intent and compares every echoed field for exact equality. A shape, range, freshness, or equality failure becomes </w:t>
      </w:r>
      <w:r>
        <w:rPr>
          <w:rFonts w:ascii="Menlo" w:hAnsi="Menlo" w:eastAsia="Menlo"/>
          <w:b w:val="0"/>
          <w:i w:val="0"/>
          <w:color w:val="263238"/>
          <w:sz w:val="17"/>
        </w:rPr>
        <w:t>NO_TRADE</w:t>
      </w:r>
      <w:r>
        <w:rPr>
          <w:rFonts w:ascii="Times New Roman" w:hAnsi="Times New Roman" w:eastAsia="Times New Roman"/>
          <w:b w:val="0"/>
          <w:i w:val="0"/>
          <w:color w:val="263238"/>
          <w:sz w:val="19"/>
        </w:rPr>
        <w:t>; the model cannot enlarge loss, reverse direction, substitute a contract, or author an Alpaca payload. In the checked synthetic fixture, the compiler produced a one-contract SPY bear-put debit spread with an exact $366 maximum loss and $634 maximum gain. The challenge suite preserved direction through four source-removal tests and 32 perturbations, and an authenticated Alpaca paper-account interaction remained read-only [5,6,9]. These checks do not establish profitability. They establish something a P&amp;L chart cannot: the boundary still holds when the model disagrees, when evidence is removed, and when a broker-shaped object is within reach.</w:t>
      </w:r>
    </w:p>
    <w:p>
      <w:pPr>
        <w:keepLines w:val="0"/>
        <w:widowControl/>
        <w:spacing w:line="250" w:lineRule="auto" w:after="76"/>
        <w:jc w:val="both"/>
      </w:pPr>
      <w:r>
        <w:rPr>
          <w:rFonts w:ascii="Times New Roman" w:hAnsi="Times New Roman" w:eastAsia="Times New Roman"/>
          <w:b w:val="0"/>
          <w:i w:val="0"/>
          <w:color w:val="263238"/>
          <w:sz w:val="19"/>
        </w:rPr>
        <w:t xml:space="preserve">Attempt 114 now converts that discipline into a prospective test. Before the first signal deadline, Finly publicly froze the protocol and the full 17-file settlement-and-inference runtime; a successful GitHub workflow and </w:t>
      </w:r>
      <w:r>
        <w:rPr>
          <w:rFonts w:ascii="Times New Roman" w:hAnsi="Times New Roman" w:eastAsia="Times New Roman"/>
          <w:b/>
          <w:i w:val="0"/>
          <w:color w:val="263238"/>
          <w:sz w:val="19"/>
        </w:rPr>
        <w:t>23 unauthenticated GET checks</w:t>
      </w:r>
      <w:r>
        <w:rPr>
          <w:rFonts w:ascii="Times New Roman" w:hAnsi="Times New Roman" w:eastAsia="Times New Roman"/>
          <w:b w:val="0"/>
          <w:i w:val="0"/>
          <w:color w:val="263238"/>
          <w:sz w:val="19"/>
        </w:rPr>
        <w:t xml:space="preserve"> re-fetched the repository, commit, workflow, jobs, manifest, and every bound source file [10,11]. The fixed sample requires </w:t>
      </w:r>
      <w:r>
        <w:rPr>
          <w:rFonts w:ascii="Times New Roman" w:hAnsi="Times New Roman" w:eastAsia="Times New Roman"/>
          <w:b/>
          <w:i w:val="0"/>
          <w:color w:val="263238"/>
          <w:sz w:val="19"/>
        </w:rPr>
        <w:t>254 consecutive pre-execution signal commitments</w:t>
      </w:r>
      <w:r>
        <w:rPr>
          <w:rFonts w:ascii="Times New Roman" w:hAnsi="Times New Roman" w:eastAsia="Times New Roman"/>
          <w:b w:val="0"/>
          <w:i w:val="0"/>
          <w:color w:val="263238"/>
          <w:sz w:val="19"/>
        </w:rPr>
        <w:t xml:space="preserve"> to obtain </w:t>
      </w:r>
      <w:r>
        <w:rPr>
          <w:rFonts w:ascii="Times New Roman" w:hAnsi="Times New Roman" w:eastAsia="Times New Roman"/>
          <w:b/>
          <w:i w:val="0"/>
          <w:color w:val="263238"/>
          <w:sz w:val="19"/>
        </w:rPr>
        <w:t>252 settled returns</w:t>
      </w:r>
      <w:r>
        <w:rPr>
          <w:rFonts w:ascii="Times New Roman" w:hAnsi="Times New Roman" w:eastAsia="Times New Roman"/>
          <w:b w:val="0"/>
          <w:i w:val="0"/>
          <w:color w:val="263238"/>
          <w:sz w:val="19"/>
        </w:rPr>
        <w:t>, with no skipping, backfill, replacement window, repeated confirmatory test, or optional stopping. The primary endpoint is the mean daily net log-return difference between the frozen production policy and SPY under the same five-basis-point cost rule. The public GitHub record verifies observed pre-deadline publication, not an independent cryptographic timestamp, provider origin, broker execution, or a performance result. That distinction is precisely the point. Finly does not ask judges to confuse a compelling backtest with knowledge. It asks them to recognize a trading agent built to know the difference—and a public protocol capable of earning the stronger claim later.</w:t>
      </w:r>
    </w:p>
    <w:p>
      <w:pPr>
        <w:keepLines w:val="0"/>
        <w:widowControl/>
        <w:spacing w:line="240" w:lineRule="auto" w:after="0" w:before="40"/>
        <w:ind w:left="259" w:hanging="259"/>
        <w:jc w:val="both"/>
        <w:pBdr>
          <w:bottom w:val="single" w:sz="4" w:space="4" w:color="C8CCC7"/>
        </w:pBdr>
      </w:pPr>
      <w:r>
        <w:rPr>
          <w:rFonts w:ascii="Times New Roman" w:hAnsi="Times New Roman" w:eastAsia="Times New Roman"/>
          <w:b/>
          <w:i w:val="0"/>
          <w:color w:val="68706F"/>
          <w:sz w:val="14"/>
        </w:rPr>
        <w:t>References.</w:t>
      </w:r>
      <w:r>
        <w:rPr>
          <w:rFonts w:ascii="Times New Roman" w:hAnsi="Times New Roman" w:eastAsia="Times New Roman"/>
          <w:b w:val="0"/>
          <w:i w:val="0"/>
          <w:color w:val="68706F"/>
          <w:sz w:val="14"/>
        </w:rPr>
        <w:t xml:space="preserve"> [1] Moskowitz, Ooi, and Pedersen, “Time Series Momentum,” </w:t>
      </w:r>
      <w:r>
        <w:rPr>
          <w:rFonts w:ascii="Times New Roman" w:hAnsi="Times New Roman" w:eastAsia="Times New Roman"/>
          <w:b w:val="0"/>
          <w:i/>
          <w:color w:val="68706F"/>
          <w:sz w:val="14"/>
        </w:rPr>
        <w:t>JFE</w:t>
      </w:r>
      <w:r>
        <w:rPr>
          <w:rFonts w:ascii="Times New Roman" w:hAnsi="Times New Roman" w:eastAsia="Times New Roman"/>
          <w:b w:val="0"/>
          <w:i w:val="0"/>
          <w:color w:val="68706F"/>
          <w:sz w:val="14"/>
        </w:rPr>
        <w:t xml:space="preserve"> 104(2), 2012, </w:t>
      </w:r>
      <w:hyperlink r:id="rId11">
        <w:r>
          <w:rPr>
            <w:rFonts w:ascii="Times New Roman" w:hAnsi="Times New Roman"/>
            <w:color w:val="2E6F5C"/>
            <w:sz w:val="15"/>
            <w:u w:val="single"/>
          </w:rPr>
          <w:t>doi:10.1016/j.jfineco.2011.11.003</w:t>
        </w:r>
      </w:hyperlink>
      <w:r>
        <w:rPr>
          <w:rFonts w:ascii="Times New Roman" w:hAnsi="Times New Roman" w:eastAsia="Times New Roman"/>
          <w:b w:val="0"/>
          <w:i w:val="0"/>
          <w:color w:val="68706F"/>
          <w:sz w:val="14"/>
        </w:rPr>
        <w:t xml:space="preserve">. [2] Moreira and Muir, “Volatility-Managed Portfolios,” </w:t>
      </w:r>
      <w:r>
        <w:rPr>
          <w:rFonts w:ascii="Times New Roman" w:hAnsi="Times New Roman" w:eastAsia="Times New Roman"/>
          <w:b w:val="0"/>
          <w:i/>
          <w:color w:val="68706F"/>
          <w:sz w:val="14"/>
        </w:rPr>
        <w:t>JF</w:t>
      </w:r>
      <w:r>
        <w:rPr>
          <w:rFonts w:ascii="Times New Roman" w:hAnsi="Times New Roman" w:eastAsia="Times New Roman"/>
          <w:b w:val="0"/>
          <w:i w:val="0"/>
          <w:color w:val="68706F"/>
          <w:sz w:val="14"/>
        </w:rPr>
        <w:t xml:space="preserve"> 72(4), 2017, </w:t>
      </w:r>
      <w:hyperlink r:id="rId12">
        <w:r>
          <w:rPr>
            <w:rFonts w:ascii="Times New Roman" w:hAnsi="Times New Roman"/>
            <w:color w:val="2E6F5C"/>
            <w:sz w:val="15"/>
            <w:u w:val="single"/>
          </w:rPr>
          <w:t>doi:10.1111/jofi.12513</w:t>
        </w:r>
      </w:hyperlink>
      <w:r>
        <w:rPr>
          <w:rFonts w:ascii="Times New Roman" w:hAnsi="Times New Roman" w:eastAsia="Times New Roman"/>
          <w:b w:val="0"/>
          <w:i w:val="0"/>
          <w:color w:val="68706F"/>
          <w:sz w:val="14"/>
        </w:rPr>
        <w:t xml:space="preserve">. [3] Bailey and López de Prado, “The Deflated Sharpe Ratio,” </w:t>
      </w:r>
      <w:r>
        <w:rPr>
          <w:rFonts w:ascii="Times New Roman" w:hAnsi="Times New Roman" w:eastAsia="Times New Roman"/>
          <w:b w:val="0"/>
          <w:i/>
          <w:color w:val="68706F"/>
          <w:sz w:val="14"/>
        </w:rPr>
        <w:t>JPM</w:t>
      </w:r>
      <w:r>
        <w:rPr>
          <w:rFonts w:ascii="Times New Roman" w:hAnsi="Times New Roman" w:eastAsia="Times New Roman"/>
          <w:b w:val="0"/>
          <w:i w:val="0"/>
          <w:color w:val="68706F"/>
          <w:sz w:val="14"/>
        </w:rPr>
        <w:t xml:space="preserve"> 40(5), 2014, </w:t>
      </w:r>
      <w:hyperlink r:id="rId13">
        <w:r>
          <w:rPr>
            <w:rFonts w:ascii="Times New Roman" w:hAnsi="Times New Roman"/>
            <w:color w:val="2E6F5C"/>
            <w:sz w:val="15"/>
            <w:u w:val="single"/>
          </w:rPr>
          <w:t>doi:10.3905/jpm.2014.40.5.094</w:t>
        </w:r>
      </w:hyperlink>
      <w:r>
        <w:rPr>
          <w:rFonts w:ascii="Times New Roman" w:hAnsi="Times New Roman" w:eastAsia="Times New Roman"/>
          <w:b w:val="0"/>
          <w:i w:val="0"/>
          <w:color w:val="68706F"/>
          <w:sz w:val="14"/>
        </w:rPr>
        <w:t xml:space="preserve">. [4] White, “A Reality Check for Data Snooping,” </w:t>
      </w:r>
      <w:r>
        <w:rPr>
          <w:rFonts w:ascii="Times New Roman" w:hAnsi="Times New Roman" w:eastAsia="Times New Roman"/>
          <w:b w:val="0"/>
          <w:i/>
          <w:color w:val="68706F"/>
          <w:sz w:val="14"/>
        </w:rPr>
        <w:t>Econometrica</w:t>
      </w:r>
      <w:r>
        <w:rPr>
          <w:rFonts w:ascii="Times New Roman" w:hAnsi="Times New Roman" w:eastAsia="Times New Roman"/>
          <w:b w:val="0"/>
          <w:i w:val="0"/>
          <w:color w:val="68706F"/>
          <w:sz w:val="14"/>
        </w:rPr>
        <w:t xml:space="preserve"> 68(5), 2000, </w:t>
      </w:r>
      <w:hyperlink r:id="rId14">
        <w:r>
          <w:rPr>
            <w:rFonts w:ascii="Times New Roman" w:hAnsi="Times New Roman"/>
            <w:color w:val="2E6F5C"/>
            <w:sz w:val="15"/>
            <w:u w:val="single"/>
          </w:rPr>
          <w:t>doi:10.1111/1468-0262.00152</w:t>
        </w:r>
      </w:hyperlink>
      <w:r>
        <w:rPr>
          <w:rFonts w:ascii="Times New Roman" w:hAnsi="Times New Roman" w:eastAsia="Times New Roman"/>
          <w:b w:val="0"/>
          <w:i w:val="0"/>
          <w:color w:val="68706F"/>
          <w:sz w:val="14"/>
        </w:rPr>
        <w:t xml:space="preserve">. [5] Alpaca, </w:t>
      </w:r>
      <w:hyperlink r:id="rId15">
        <w:r>
          <w:rPr>
            <w:rFonts w:ascii="Times New Roman" w:hAnsi="Times New Roman"/>
            <w:color w:val="2E6F5C"/>
            <w:sz w:val="15"/>
            <w:u w:val="single"/>
          </w:rPr>
          <w:t>“Options Trading”</w:t>
        </w:r>
      </w:hyperlink>
      <w:r>
        <w:rPr>
          <w:rFonts w:ascii="Times New Roman" w:hAnsi="Times New Roman" w:eastAsia="Times New Roman"/>
          <w:b w:val="0"/>
          <w:i w:val="0"/>
          <w:color w:val="68706F"/>
          <w:sz w:val="14"/>
        </w:rPr>
        <w:t xml:space="preserve">. [6] Alpaca, </w:t>
      </w:r>
      <w:hyperlink r:id="rId16">
        <w:r>
          <w:rPr>
            <w:rFonts w:ascii="Times New Roman" w:hAnsi="Times New Roman"/>
            <w:color w:val="2E6F5C"/>
            <w:sz w:val="15"/>
            <w:u w:val="single"/>
          </w:rPr>
          <w:t>“Create an Order”</w:t>
        </w:r>
      </w:hyperlink>
      <w:r>
        <w:rPr>
          <w:rFonts w:ascii="Times New Roman" w:hAnsi="Times New Roman" w:eastAsia="Times New Roman"/>
          <w:b w:val="0"/>
          <w:i w:val="0"/>
          <w:color w:val="68706F"/>
          <w:sz w:val="14"/>
        </w:rPr>
        <w:t xml:space="preserve">. [7] Finly, </w:t>
      </w:r>
      <w:hyperlink r:id="rId17">
        <w:r>
          <w:rPr>
            <w:rFonts w:ascii="Times New Roman" w:hAnsi="Times New Roman"/>
            <w:color w:val="2E6F5C"/>
            <w:sz w:val="15"/>
            <w:u w:val="single"/>
          </w:rPr>
          <w:t>G4 robustness record</w:t>
        </w:r>
      </w:hyperlink>
      <w:r>
        <w:rPr>
          <w:rFonts w:ascii="Times New Roman" w:hAnsi="Times New Roman" w:eastAsia="Times New Roman"/>
          <w:b w:val="0"/>
          <w:i w:val="0"/>
          <w:color w:val="68706F"/>
          <w:sz w:val="14"/>
        </w:rPr>
        <w:t xml:space="preserve">. [8] Finly, </w:t>
      </w:r>
      <w:hyperlink r:id="rId18">
        <w:r>
          <w:rPr>
            <w:rFonts w:ascii="Times New Roman" w:hAnsi="Times New Roman"/>
            <w:color w:val="2E6F5C"/>
            <w:sz w:val="15"/>
            <w:u w:val="single"/>
          </w:rPr>
          <w:t>equity execution-realism audit</w:t>
        </w:r>
      </w:hyperlink>
      <w:r>
        <w:rPr>
          <w:rFonts w:ascii="Times New Roman" w:hAnsi="Times New Roman" w:eastAsia="Times New Roman"/>
          <w:b w:val="0"/>
          <w:i w:val="0"/>
          <w:color w:val="68706F"/>
          <w:sz w:val="14"/>
        </w:rPr>
        <w:t xml:space="preserve">. [9] Finly, </w:t>
      </w:r>
      <w:hyperlink r:id="rId19">
        <w:r>
          <w:rPr>
            <w:rFonts w:ascii="Times New Roman" w:hAnsi="Times New Roman"/>
            <w:color w:val="2E6F5C"/>
            <w:sz w:val="15"/>
            <w:u w:val="single"/>
          </w:rPr>
          <w:t>Alpaca MCP runtime audit</w:t>
        </w:r>
      </w:hyperlink>
      <w:r>
        <w:rPr>
          <w:rFonts w:ascii="Times New Roman" w:hAnsi="Times New Roman" w:eastAsia="Times New Roman"/>
          <w:b w:val="0"/>
          <w:i w:val="0"/>
          <w:color w:val="68706F"/>
          <w:sz w:val="14"/>
        </w:rPr>
        <w:t xml:space="preserve">. [10] Finly, </w:t>
      </w:r>
      <w:hyperlink r:id="rId20">
        <w:r>
          <w:rPr>
            <w:rFonts w:ascii="Times New Roman" w:hAnsi="Times New Roman"/>
            <w:color w:val="2E6F5C"/>
            <w:sz w:val="15"/>
            <w:u w:val="single"/>
          </w:rPr>
          <w:t>Attempt 114 protocol</w:t>
        </w:r>
      </w:hyperlink>
      <w:r>
        <w:rPr>
          <w:rFonts w:ascii="Times New Roman" w:hAnsi="Times New Roman" w:eastAsia="Times New Roman"/>
          <w:b w:val="0"/>
          <w:i w:val="0"/>
          <w:color w:val="68706F"/>
          <w:sz w:val="14"/>
        </w:rPr>
        <w:t xml:space="preserve"> and </w:t>
      </w:r>
      <w:hyperlink r:id="rId21">
        <w:r>
          <w:rPr>
            <w:rFonts w:ascii="Times New Roman" w:hAnsi="Times New Roman"/>
            <w:color w:val="2E6F5C"/>
            <w:sz w:val="15"/>
            <w:u w:val="single"/>
          </w:rPr>
          <w:t>runtime manifest</w:t>
        </w:r>
      </w:hyperlink>
      <w:r>
        <w:rPr>
          <w:rFonts w:ascii="Times New Roman" w:hAnsi="Times New Roman" w:eastAsia="Times New Roman"/>
          <w:b w:val="0"/>
          <w:i w:val="0"/>
          <w:color w:val="68706F"/>
          <w:sz w:val="14"/>
        </w:rPr>
        <w:t xml:space="preserve">. [11] Finly, </w:t>
      </w:r>
      <w:hyperlink r:id="rId22">
        <w:r>
          <w:rPr>
            <w:rFonts w:ascii="Times New Roman" w:hAnsi="Times New Roman"/>
            <w:color w:val="2E6F5C"/>
            <w:sz w:val="15"/>
            <w:u w:val="single"/>
          </w:rPr>
          <w:t>public pre-signal publication receipt</w:t>
        </w:r>
      </w:hyperlink>
      <w:r>
        <w:rPr>
          <w:rFonts w:ascii="Times New Roman" w:hAnsi="Times New Roman" w:eastAsia="Times New Roman"/>
          <w:b w:val="0"/>
          <w:i w:val="0"/>
          <w:color w:val="68706F"/>
          <w:sz w:val="14"/>
        </w:rP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893" w:bottom="691" w:left="893" w:header="317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single" w:sz="0" w:space="0" w:color="FFFFFF"/>
        <w:left w:val="single" w:sz="0" w:space="0" w:color="FFFFFF"/>
        <w:bottom w:val="single" w:sz="0" w:space="0" w:color="FFFFFF"/>
        <w:right w:val="single" w:sz="0" w:space="0" w:color="FFFFFF"/>
        <w:insideH w:val="single" w:sz="0" w:space="0" w:color="FFFFFF"/>
        <w:insideV w:val="single" w:sz="0" w:space="0" w:color="FFFFFF"/>
      </w:tblBorders>
    </w:tblPr>
    <w:tblGrid>
      <w:gridCol w:w="8928"/>
      <w:gridCol w:w="1440"/>
    </w:tblGrid>
    <w:tr>
      <w:tc>
        <w:tcPr>
          <w:tcW w:type="dxa" w:w="5184"/>
          <w:tcMar>
            <w:top w:w="30" w:type="dxa"/>
            <w:start w:w="0" w:type="dxa"/>
            <w:bottom w:w="0" w:type="dxa"/>
            <w:end w:w="0" w:type="dxa"/>
          </w:tcMar>
        </w:tcPr>
        <w:p>
          <w:r>
            <w:rPr>
              <w:rFonts w:ascii="Arial" w:hAnsi="Arial" w:eastAsia="Arial"/>
              <w:b w:val="0"/>
              <w:i w:val="0"/>
              <w:color w:val="68706F"/>
              <w:sz w:val="14"/>
            </w:rPr>
            <w:t>Controlled delegation: judgment may inform; deterministic code retains authority.</w:t>
          </w:r>
        </w:p>
      </w:tc>
      <w:tc>
        <w:tcPr>
          <w:tcW w:type="dxa" w:w="5184"/>
          <w:tcMar>
            <w:top w:w="3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8706F"/>
              <w:sz w:val="15"/>
            </w:rPr>
            <w:fldChar w:fldCharType="begin"/>
            <w:instrText xml:space="preserve"> PAGE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single" w:sz="0" w:space="0" w:color="FFFFFF"/>
        <w:left w:val="single" w:sz="0" w:space="0" w:color="FFFFFF"/>
        <w:bottom w:val="single" w:sz="0" w:space="0" w:color="FFFFFF"/>
        <w:right w:val="single" w:sz="0" w:space="0" w:color="FFFFFF"/>
        <w:insideH w:val="single" w:sz="0" w:space="0" w:color="FFFFFF"/>
        <w:insideV w:val="single" w:sz="0" w:space="0" w:color="FFFFFF"/>
      </w:tblBorders>
    </w:tblPr>
    <w:tblGrid>
      <w:gridCol w:w="6912"/>
      <w:gridCol w:w="3456"/>
    </w:tblGrid>
    <w:tr>
      <w:tc>
        <w:tcPr>
          <w:tcW w:type="dxa" w:w="6912"/>
          <w:tcMar>
            <w:top w:w="0" w:type="dxa"/>
            <w:start w:w="0" w:type="dxa"/>
            <w:bottom w:w="50" w:type="dxa"/>
            <w:end w:w="0" w:type="dxa"/>
          </w:tcMar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228600" cy="2286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finly-bull-512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00" cy="2286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t xml:space="preserve">  </w:t>
          </w:r>
          <w:r>
            <w:rPr>
              <w:rFonts w:ascii="Arial" w:hAnsi="Arial" w:eastAsia="Arial"/>
              <w:b/>
              <w:i w:val="0"/>
              <w:color w:val="2E6F5C"/>
              <w:sz w:val="15"/>
            </w:rPr>
            <w:t>FINLY / ONE-PAGE JUDGE PROPOSAL</w:t>
          </w:r>
        </w:p>
      </w:tc>
      <w:tc>
        <w:tcPr>
          <w:tcW w:type="dxa" w:w="3456"/>
          <w:tcMar>
            <w:top w:w="0" w:type="dxa"/>
            <w:start w:w="0" w:type="dxa"/>
            <w:bottom w:w="50" w:type="dxa"/>
            <w:end w:w="0" w:type="dxa"/>
          </w:tcMar>
        </w:tcPr>
        <w:p>
          <w:pPr>
            <w:jc w:val="right"/>
          </w:pPr>
          <w:r>
            <w:rPr>
              <w:rFonts w:ascii="Arial" w:hAnsi="Arial" w:eastAsia="Arial"/>
              <w:b/>
              <w:i w:val="0"/>
              <w:color w:val="68706F"/>
              <w:sz w:val="15"/>
            </w:rPr>
            <w:t>30 AUGUST 2026</w:t>
          </w:r>
        </w:p>
      </w:tc>
    </w:tr>
  </w:tbl>
  <w:p>
    <w:pPr>
      <w:spacing w:after="0"/>
      <w:pBdr>
        <w:bottom w:val="single" w:sz="5" w:space="0" w:color="0D2B43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9" w:lineRule="auto"/>
    </w:pPr>
    <w:rPr>
      <w:rFonts w:ascii="Times New Roman" w:hAnsi="Times New Roman" w:eastAsia="Times New Roman"/>
      <w:color w:val="263238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oi.org/10.1016/j.jfineco.2011.11.003" TargetMode="External"/><Relationship Id="rId12" Type="http://schemas.openxmlformats.org/officeDocument/2006/relationships/hyperlink" Target="https://doi.org/10.1111/jofi.12513" TargetMode="External"/><Relationship Id="rId13" Type="http://schemas.openxmlformats.org/officeDocument/2006/relationships/hyperlink" Target="https://doi.org/10.3905/jpm.2014.40.5.094" TargetMode="External"/><Relationship Id="rId14" Type="http://schemas.openxmlformats.org/officeDocument/2006/relationships/hyperlink" Target="https://doi.org/10.1111/1468-0262.00152" TargetMode="External"/><Relationship Id="rId15" Type="http://schemas.openxmlformats.org/officeDocument/2006/relationships/hyperlink" Target="https://docs.alpaca.markets/us/docs/options-trading" TargetMode="External"/><Relationship Id="rId16" Type="http://schemas.openxmlformats.org/officeDocument/2006/relationships/hyperlink" Target="https://docs.alpaca.markets/reference/postorder" TargetMode="External"/><Relationship Id="rId17" Type="http://schemas.openxmlformats.org/officeDocument/2006/relationships/hyperlink" Target="../../research/output/quant_champion_generation4_robustness_report.md" TargetMode="External"/><Relationship Id="rId18" Type="http://schemas.openxmlformats.org/officeDocument/2006/relationships/hyperlink" Target="../../research/output/equity_execution_realism_report.md" TargetMode="External"/><Relationship Id="rId19" Type="http://schemas.openxmlformats.org/officeDocument/2006/relationships/hyperlink" Target="../MCP_RUNTIME_AUDIT.md" TargetMode="External"/><Relationship Id="rId20" Type="http://schemas.openxmlformats.org/officeDocument/2006/relationships/hyperlink" Target="../../research/prospective_attempt114/protocol.json" TargetMode="External"/><Relationship Id="rId21" Type="http://schemas.openxmlformats.org/officeDocument/2006/relationships/hyperlink" Target="../../research/prospective_attempt114/runtime_manifest.json" TargetMode="External"/><Relationship Id="rId22" Type="http://schemas.openxmlformats.org/officeDocument/2006/relationships/hyperlink" Target="../../research/prospective_attempt114/publication_receipts/a10099fa3931c9ef6d40446486744dde72f1efb5538515d03c015cd7c1a87fbb.json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Finly: A Trading Agent That Knows What It Is Allowed to Decide</dc:title>
  <dc:subject>Alpaca AI Trading Agents Hackathon — one-page proposal</dc:subject>
  <dc:creator>Bruce Wen</dc:creator>
  <cp:keywords>Finly, Alpaca, trading agent, controlled delegation</cp:keywords>
  <dc:description>Finly judge proposal prepared by Bruce Wen.</dc:description>
  <cp:lastModifiedBy>Bruce Wen</cp:lastModifiedBy>
  <cp:revision>1</cp:revision>
  <dcterms:created xsi:type="dcterms:W3CDTF">2026-08-30T12:00:00Z</dcterms:created>
  <dcterms:modified xsi:type="dcterms:W3CDTF">2026-08-30T12:00:00Z</dcterms:modified>
  <cp:category/>
</cp:coreProperties>
</file>