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Times New Roman" w:hAnsi="Times New Roman" w:eastAsia="Times New Roman"/>
          <w:b/>
          <w:i w:val="0"/>
          <w:color w:val="171717"/>
          <w:sz w:val="37"/>
        </w:rPr>
        <w:t>Finly: An AI Trading Agent That Shows Its Work</w:t>
      </w:r>
    </w:p>
    <w:p>
      <w:pPr>
        <w:spacing w:after="30"/>
        <w:jc w:val="center"/>
      </w:pPr>
      <w:r>
        <w:rPr>
          <w:rFonts w:ascii="Times New Roman" w:hAnsi="Times New Roman" w:eastAsia="Times New Roman"/>
          <w:b w:val="0"/>
          <w:i w:val="0"/>
          <w:color w:val="171717"/>
          <w:sz w:val="18"/>
        </w:rPr>
        <w:t>Bruce Wen · Brandeis University · bwen412@brandeis.edu</w:t>
      </w:r>
    </w:p>
    <w:p>
      <w:pPr>
        <w:spacing w:after="140"/>
        <w:jc w:val="center"/>
        <w:pBdr>
          <w:bottom w:val="single" w:sz="3" w:space="4" w:color="B8BBB8"/>
        </w:pBdr>
      </w:pPr>
      <w:r>
        <w:rPr>
          <w:rFonts w:ascii="Times New Roman" w:hAnsi="Times New Roman" w:eastAsia="Times New Roman"/>
          <w:b w:val="0"/>
          <w:i/>
          <w:color w:val="5F6368"/>
          <w:sz w:val="16"/>
        </w:rPr>
        <w:t>Proposal for the Alpaca AI Trading Agents Hackathon · 31 August 2026</w:t>
      </w:r>
    </w:p>
    <w:p>
      <w:pPr>
        <w:keepLines/>
        <w:widowControl/>
        <w:spacing w:line="276" w:lineRule="auto" w:after="140"/>
        <w:ind w:firstLine="0"/>
        <w:jc w:val="both"/>
      </w:pPr>
      <w:r>
        <w:rPr>
          <w:rFonts w:ascii="Times New Roman" w:hAnsi="Times New Roman" w:eastAsia="Times New Roman"/>
          <w:b w:val="0"/>
          <w:i w:val="0"/>
          <w:color w:val="171717"/>
          <w:sz w:val="22"/>
        </w:rPr>
        <w:t>An artificial intelligence can read a great deal about a market, but this does not mean that it should decide how much capital to risk. Finly begins with that distinction. It is a paper-trading system in which a language model interprets a small body of current public evidence, while ordinary code controls direction, exposure, contract selection, order fields, and permission to trade. The model may explain uncertainty and stop an options proposal. It cannot enlarge the position or rewrite its economic terms. Finly keeps what language models do well—the comparison of heterogeneous information—without asking prose to serve as a risk engine.</w:t>
      </w:r>
    </w:p>
    <w:p>
      <w:pPr>
        <w:keepLines/>
        <w:widowControl/>
        <w:spacing w:line="276" w:lineRule="auto" w:after="140"/>
        <w:ind w:firstLine="302"/>
        <w:jc w:val="both"/>
      </w:pPr>
      <w:r>
        <w:rPr>
          <w:rFonts w:ascii="Times New Roman" w:hAnsi="Times New Roman" w:eastAsia="Times New Roman"/>
          <w:b w:val="0"/>
          <w:i w:val="0"/>
          <w:color w:val="171717"/>
          <w:sz w:val="22"/>
        </w:rPr>
        <w:t>The system has two parts. Its frozen G4 equity rule holds half of its risky allocation in QQQ and divides the other half among the three strongest of the original nine Select Sector SPDR funds, ranked by twelve-to-six-month momentum. The competition signal used Alpaca IEX data through 28 August 2026 and selected XLB, XLE, and XLV. A three-percent cash reserve sets the paper-account targets at 48.5 percent QQQ and 16.1667 percent in each selected sector. The rule, inputs, allocation, order identities, and competition window were fixed before the opening bell; there is no in-contest re-optimization [1,2].</w:t>
      </w:r>
    </w:p>
    <w:p>
      <w:pPr>
        <w:keepLines/>
        <w:widowControl/>
        <w:spacing w:line="276" w:lineRule="auto" w:after="140"/>
        <w:ind w:firstLine="302"/>
        <w:jc w:val="both"/>
      </w:pPr>
      <w:r>
        <w:rPr>
          <w:rFonts w:ascii="Times New Roman" w:hAnsi="Times New Roman" w:eastAsia="Times New Roman"/>
          <w:b w:val="0"/>
          <w:i w:val="0"/>
          <w:color w:val="171717"/>
          <w:sz w:val="22"/>
        </w:rPr>
        <w:t>Finly's separate SPY options workflow turns public news, market observations, option data, event information, and a small prediction-market input into a reviewable decision. A hosted Qwen3-32B model reads only public news. Code then applies freshness, liquidity, payoff, buying-power, and risk limits before it can build a bull-call spread, a bear-put spread, or no trade. A short-lived permit ties the checked evidence and risk calculation to one exact paper order. In the public demonstration, Finly produced a SPY debit spread with a maximum loss of $366 and a maximum gain of $634. The required safety behavior survived all four source-removal checks and all thirty-two input changes [3].</w:t>
      </w:r>
    </w:p>
    <w:p>
      <w:pPr>
        <w:keepLines/>
        <w:widowControl/>
        <w:spacing w:line="276" w:lineRule="auto" w:after="140"/>
        <w:ind w:firstLine="302"/>
        <w:jc w:val="both"/>
      </w:pPr>
      <w:r>
        <w:rPr>
          <w:rFonts w:ascii="Times New Roman" w:hAnsi="Times New Roman" w:eastAsia="Times New Roman"/>
          <w:b w:val="0"/>
          <w:i w:val="0"/>
          <w:color w:val="171717"/>
          <w:sz w:val="22"/>
        </w:rPr>
        <w:t>The historical case gives a concrete reason to test Finly. In a 2013–2026 simulation with modeled one-way costs of five basis points, $10,000 became $106,711 under G4 and $68,082 under SPY—a $38,629 difference [4]. A fixed 1927–2007 industry replay added an earlier-era check: across 21,218 days, it annualized at 13.37 percent against 9.48 percent, stayed ahead at all twenty-one monthly anchors, retained a 2.45-percentage-point advantage under a twenty-five-basis-point cost stress, and had a maximum drawdown 16.31 percentage points shallower [5,6]. The research gate treated that upside as a reason to test G4, not to promote it statistically. A human then froze the competition allocation, and a separate scorer measures the $100,000 account against its baseline and contemporaneous SPY [1,4,10].</w:t>
      </w:r>
    </w:p>
    <w:p>
      <w:pPr>
        <w:keepLines/>
        <w:widowControl/>
        <w:spacing w:line="276" w:lineRule="auto" w:after="140"/>
        <w:ind w:firstLine="302"/>
        <w:jc w:val="both"/>
      </w:pPr>
      <w:r>
        <w:rPr>
          <w:rFonts w:ascii="Times New Roman" w:hAnsi="Times New Roman" w:eastAsia="Times New Roman"/>
          <w:b w:val="0"/>
          <w:i w:val="0"/>
          <w:color w:val="171717"/>
          <w:sz w:val="22"/>
        </w:rPr>
        <w:t>Finly now runs through Alpaca's official MCP server against a dedicated $100,000 paper account. Before an order, the cloud runner checks the account, frozen signal, market session, asset eligibility, cash, and intended amount. It records each intent before submission, reads the broker state back afterward, and uses fixed order identities to avoid duplicates after a lost acknowledgement. Private restart state is encrypted; the public dashboard shows only sanitized account and decision fields [7–9]. The repository's 806 automated tests—804 passing and two skipped in the public run—exercise the calculations, broker translation, restart logic, and safety limits [11]. No replay can settle what the frozen rule will earn next. Finly supplies a public way to learn the answer while keeping the model useful, the risk finite, and every trade open to inspection.</w:t>
      </w:r>
    </w:p>
    <w:p>
      <w:pPr>
        <w:keepNext/>
        <w:spacing w:before="20" w:after="40"/>
      </w:pPr>
      <w:r>
        <w:rPr>
          <w:rFonts w:ascii="Times New Roman" w:hAnsi="Times New Roman" w:eastAsia="Times New Roman"/>
          <w:b/>
          <w:i w:val="0"/>
          <w:color w:val="171717"/>
          <w:sz w:val="17"/>
        </w:rPr>
        <w:t>References</w:t>
      </w:r>
    </w:p>
    <w:p>
      <w:pPr>
        <w:keepLines w:val="0"/>
        <w:widowControl/>
        <w:spacing w:line="240" w:lineRule="auto" w:after="0"/>
        <w:ind w:left="202" w:hanging="202"/>
        <w:jc w:val="both"/>
      </w:pPr>
      <w:r>
        <w:rPr>
          <w:rFonts w:ascii="Times New Roman" w:hAnsi="Times New Roman" w:eastAsia="Times New Roman"/>
          <w:b w:val="0"/>
          <w:i w:val="0"/>
          <w:color w:val="5F6368"/>
          <w:sz w:val="15"/>
        </w:rPr>
        <w:t xml:space="preserve">[1] Finly, </w:t>
      </w:r>
      <w:hyperlink r:id="rId10">
        <w:r>
          <w:rPr>
            <w:rFonts w:ascii="Times New Roman" w:hAnsi="Times New Roman"/>
            <w:color w:val="1F5A4C"/>
            <w:sz w:val="15"/>
            <w:u w:val="single"/>
          </w:rPr>
          <w:t>Frozen G4 competition protocol</w:t>
        </w:r>
      </w:hyperlink>
      <w:r>
        <w:rPr>
          <w:rFonts w:ascii="Times New Roman" w:hAnsi="Times New Roman" w:eastAsia="Times New Roman"/>
          <w:b w:val="0"/>
          <w:i w:val="0"/>
          <w:color w:val="5F6368"/>
          <w:sz w:val="15"/>
        </w:rPr>
        <w:t xml:space="preserve">. [2] Finly, </w:t>
      </w:r>
      <w:hyperlink r:id="rId11">
        <w:r>
          <w:rPr>
            <w:rFonts w:ascii="Times New Roman" w:hAnsi="Times New Roman"/>
            <w:color w:val="1F5A4C"/>
            <w:sz w:val="15"/>
            <w:u w:val="single"/>
          </w:rPr>
          <w:t>Frozen G4 source signal</w:t>
        </w:r>
      </w:hyperlink>
      <w:r>
        <w:rPr>
          <w:rFonts w:ascii="Times New Roman" w:hAnsi="Times New Roman" w:eastAsia="Times New Roman"/>
          <w:b w:val="0"/>
          <w:i w:val="0"/>
          <w:color w:val="5F6368"/>
          <w:sz w:val="15"/>
        </w:rPr>
        <w:t xml:space="preserve">. [3] Finly, </w:t>
      </w:r>
      <w:hyperlink r:id="rId12">
        <w:r>
          <w:rPr>
            <w:rFonts w:ascii="Times New Roman" w:hAnsi="Times New Roman"/>
            <w:color w:val="1F5A4C"/>
            <w:sz w:val="15"/>
            <w:u w:val="single"/>
          </w:rPr>
          <w:t>Latest options decision receipt</w:t>
        </w:r>
      </w:hyperlink>
      <w:r>
        <w:rPr>
          <w:rFonts w:ascii="Times New Roman" w:hAnsi="Times New Roman" w:eastAsia="Times New Roman"/>
          <w:b w:val="0"/>
          <w:i w:val="0"/>
          <w:color w:val="5F6368"/>
          <w:sz w:val="15"/>
        </w:rPr>
        <w:t xml:space="preserve">. [4] Finly, </w:t>
      </w:r>
      <w:hyperlink r:id="rId13">
        <w:r>
          <w:rPr>
            <w:rFonts w:ascii="Times New Roman" w:hAnsi="Times New Roman"/>
            <w:color w:val="1F5A4C"/>
            <w:sz w:val="15"/>
            <w:u w:val="single"/>
          </w:rPr>
          <w:t>Quantitative release gate</w:t>
        </w:r>
      </w:hyperlink>
      <w:r>
        <w:rPr>
          <w:rFonts w:ascii="Times New Roman" w:hAnsi="Times New Roman" w:eastAsia="Times New Roman"/>
          <w:b w:val="0"/>
          <w:i w:val="0"/>
          <w:color w:val="5F6368"/>
          <w:sz w:val="15"/>
        </w:rPr>
        <w:t xml:space="preserve">. [5] Kenneth R. French, </w:t>
      </w:r>
      <w:hyperlink r:id="rId14">
        <w:r>
          <w:rPr>
            <w:rFonts w:ascii="Times New Roman" w:hAnsi="Times New Roman"/>
            <w:color w:val="1F5A4C"/>
            <w:sz w:val="15"/>
            <w:u w:val="single"/>
          </w:rPr>
          <w:t>Data Library</w:t>
        </w:r>
      </w:hyperlink>
      <w:r>
        <w:rPr>
          <w:rFonts w:ascii="Times New Roman" w:hAnsi="Times New Roman" w:eastAsia="Times New Roman"/>
          <w:b w:val="0"/>
          <w:i w:val="0"/>
          <w:color w:val="5F6368"/>
          <w:sz w:val="15"/>
        </w:rPr>
        <w:t xml:space="preserve">. [6] Finly, </w:t>
      </w:r>
      <w:hyperlink r:id="rId15">
        <w:r>
          <w:rPr>
            <w:rFonts w:ascii="Times New Roman" w:hAnsi="Times New Roman"/>
            <w:color w:val="1F5A4C"/>
            <w:sz w:val="15"/>
            <w:u w:val="single"/>
          </w:rPr>
          <w:t>External-era public evidence</w:t>
        </w:r>
      </w:hyperlink>
      <w:r>
        <w:rPr>
          <w:rFonts w:ascii="Times New Roman" w:hAnsi="Times New Roman" w:eastAsia="Times New Roman"/>
          <w:b w:val="0"/>
          <w:i w:val="0"/>
          <w:color w:val="5F6368"/>
          <w:sz w:val="15"/>
        </w:rPr>
        <w:t xml:space="preserve">. [7] Alpaca, </w:t>
      </w:r>
      <w:hyperlink r:id="rId16">
        <w:r>
          <w:rPr>
            <w:rFonts w:ascii="Times New Roman" w:hAnsi="Times New Roman"/>
            <w:color w:val="1F5A4C"/>
            <w:sz w:val="15"/>
            <w:u w:val="single"/>
          </w:rPr>
          <w:t>MCP Server</w:t>
        </w:r>
      </w:hyperlink>
      <w:r>
        <w:rPr>
          <w:rFonts w:ascii="Times New Roman" w:hAnsi="Times New Roman" w:eastAsia="Times New Roman"/>
          <w:b w:val="0"/>
          <w:i w:val="0"/>
          <w:color w:val="5F6368"/>
          <w:sz w:val="15"/>
        </w:rPr>
        <w:t xml:space="preserve">. [8] Finly, </w:t>
      </w:r>
      <w:hyperlink r:id="rId17">
        <w:r>
          <w:rPr>
            <w:rFonts w:ascii="Times New Roman" w:hAnsi="Times New Roman"/>
            <w:color w:val="1F5A4C"/>
            <w:sz w:val="15"/>
            <w:u w:val="single"/>
          </w:rPr>
          <w:t>Cloud runner and restart design</w:t>
        </w:r>
      </w:hyperlink>
      <w:r>
        <w:rPr>
          <w:rFonts w:ascii="Times New Roman" w:hAnsi="Times New Roman" w:eastAsia="Times New Roman"/>
          <w:b w:val="0"/>
          <w:i w:val="0"/>
          <w:color w:val="5F6368"/>
          <w:sz w:val="15"/>
        </w:rPr>
        <w:t xml:space="preserve">. [9] Finly, </w:t>
      </w:r>
      <w:hyperlink r:id="rId18">
        <w:r>
          <w:rPr>
            <w:rFonts w:ascii="Times New Roman" w:hAnsi="Times New Roman"/>
            <w:color w:val="1F5A4C"/>
            <w:sz w:val="15"/>
            <w:u w:val="single"/>
          </w:rPr>
          <w:t>Sanitized competition account snapshot</w:t>
        </w:r>
      </w:hyperlink>
      <w:r>
        <w:rPr>
          <w:rFonts w:ascii="Times New Roman" w:hAnsi="Times New Roman" w:eastAsia="Times New Roman"/>
          <w:b w:val="0"/>
          <w:i w:val="0"/>
          <w:color w:val="5F6368"/>
          <w:sz w:val="15"/>
        </w:rPr>
        <w:t xml:space="preserve">. [10] Finly, </w:t>
      </w:r>
      <w:hyperlink r:id="rId19">
        <w:r>
          <w:rPr>
            <w:rFonts w:ascii="Times New Roman" w:hAnsi="Times New Roman"/>
            <w:color w:val="1F5A4C"/>
            <w:sz w:val="15"/>
            <w:u w:val="single"/>
          </w:rPr>
          <w:t>Competition forward-profit contract</w:t>
        </w:r>
      </w:hyperlink>
      <w:r>
        <w:rPr>
          <w:rFonts w:ascii="Times New Roman" w:hAnsi="Times New Roman" w:eastAsia="Times New Roman"/>
          <w:b w:val="0"/>
          <w:i w:val="0"/>
          <w:color w:val="5F6368"/>
          <w:sz w:val="15"/>
        </w:rPr>
        <w:t xml:space="preserve">. [11] Finly, </w:t>
      </w:r>
      <w:hyperlink r:id="rId20">
        <w:r>
          <w:rPr>
            <w:rFonts w:ascii="Times New Roman" w:hAnsi="Times New Roman"/>
            <w:color w:val="1F5A4C"/>
            <w:sz w:val="15"/>
            <w:u w:val="single"/>
          </w:rPr>
          <w:t>Public automated-test run</w:t>
        </w:r>
      </w:hyperlink>
      <w:r>
        <w:rPr>
          <w:rFonts w:ascii="Times New Roman" w:hAnsi="Times New Roman" w:eastAsia="Times New Roman"/>
          <w:b w:val="0"/>
          <w:i w:val="0"/>
          <w:color w:val="5F6368"/>
          <w:sz w:val="15"/>
        </w:rPr>
        <w:t>.</w:t>
      </w:r>
    </w:p>
    <w:sectPr w:rsidR="00FC693F" w:rsidRPr="0006063C" w:rsidSect="00034616">
      <w:footerReference w:type="default" r:id="rId9"/>
      <w:pgSz w:w="12240" w:h="15840"/>
      <w:pgMar w:top="979" w:right="1267" w:bottom="893" w:left="126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eastAsia="Times New Roman"/>
        <w:b w:val="0"/>
        <w:i w:val="0"/>
        <w:color w:val="5F6368"/>
        <w:sz w:val="16"/>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40" w:line="276" w:lineRule="auto"/>
    </w:pPr>
    <w:rPr>
      <w:rFonts w:ascii="Times New Roman" w:hAnsi="Times New Roman" w:eastAsia="Times New Roman"/>
      <w:color w:val="1717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owlsowo/finly-bot/blob/e54f7f4bd20ca30aabfe610fabbb743e5006b797/config/g4-official-production.json" TargetMode="External"/><Relationship Id="rId11" Type="http://schemas.openxmlformats.org/officeDocument/2006/relationships/hyperlink" Target="https://github.com/owlsowo/finly-bot/blob/e54f7f4bd20ca30aabfe610fabbb743e5006b797/config/g4-official-source-signal.json" TargetMode="External"/><Relationship Id="rId12" Type="http://schemas.openxmlformats.org/officeDocument/2006/relationships/hyperlink" Target="https://github.com/owlsowo/finly-bot/blob/e54f7f4bd20ca30aabfe610fabbb743e5006b797/public/data/latest_receipt.json" TargetMode="External"/><Relationship Id="rId13" Type="http://schemas.openxmlformats.org/officeDocument/2006/relationships/hyperlink" Target="https://github.com/owlsowo/finly-bot/blob/e54f7f4bd20ca30aabfe610fabbb743e5006b797/research/output/quantitative_release_gate.json" TargetMode="External"/><Relationship Id="rId14" Type="http://schemas.openxmlformats.org/officeDocument/2006/relationships/hyperlink" Target="https://mba.tuck.dartmouth.edu/pages/faculty/ken.french/data_library.html" TargetMode="External"/><Relationship Id="rId15" Type="http://schemas.openxmlformats.org/officeDocument/2006/relationships/hyperlink" Target="https://github.com/owlsowo/finly-bot/blob/e54f7f4bd20ca30aabfe610fabbb743e5006b797/public/data/attempt150_public_evidence.json" TargetMode="External"/><Relationship Id="rId16" Type="http://schemas.openxmlformats.org/officeDocument/2006/relationships/hyperlink" Target="https://docs.alpaca.markets/us/docs/alpaca-mcp-server" TargetMode="External"/><Relationship Id="rId17" Type="http://schemas.openxmlformats.org/officeDocument/2006/relationships/hyperlink" Target="https://github.com/owlsowo/finly-bot/blob/e54f7f4bd20ca30aabfe610fabbb743e5006b797/docs/CLOUD_RUNNER.md" TargetMode="External"/><Relationship Id="rId18" Type="http://schemas.openxmlformats.org/officeDocument/2006/relationships/hyperlink" Target="https://github.com/owlsowo/finly-bot/blob/e54f7f4bd20ca30aabfe610fabbb743e5006b797/public/data/competition_live.json" TargetMode="External"/><Relationship Id="rId19" Type="http://schemas.openxmlformats.org/officeDocument/2006/relationships/hyperlink" Target="https://github.com/owlsowo/finly-bot/blob/e54f7f4bd20ca30aabfe610fabbb743e5006b797/config/competition-forward-profit.json" TargetMode="External"/><Relationship Id="rId20" Type="http://schemas.openxmlformats.org/officeDocument/2006/relationships/hyperlink" Target="https://github.com/owlsowo/finly-bot/actions/runs/3336984829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Finly: An AI Trading Agent That Shows Its Work</dc:title>
  <dc:subject>One-page narrative proposal</dc:subject>
  <dc:creator>Bruce Wen</dc:creator>
  <cp:keywords>Finly, Alpaca, trading agent, controlled delegation</cp:keywords>
  <dc:description>Prepared by Bruce Wen for the Alpaca AI Trading Agents Hackathon.</dc:description>
  <cp:lastModifiedBy>Bruce Wen</cp:lastModifiedBy>
  <cp:revision>1</cp:revision>
  <dcterms:created xsi:type="dcterms:W3CDTF">2026-08-30T12:00:00Z</dcterms:created>
  <dcterms:modified xsi:type="dcterms:W3CDTF">2026-08-30T12:00:00Z</dcterms:modified>
  <cp:category/>
</cp:coreProperties>
</file>