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B4F72"/>
          <w:sz w:val="56"/>
          <w:szCs w:val="56"/>
        </w:rPr>
        <w:t xml:space="preserve">Own Protocol v2</w:t>
      </w:r>
    </w:p>
    <w:p>
      <w:pPr>
        <w:spacing w:after="40"/>
      </w:pPr>
      <w:r>
        <w:rPr>
          <w:rFonts w:ascii="Arial" w:cs="Arial" w:eastAsia="Arial" w:hAnsi="Arial"/>
          <w:color w:val="2C3E50"/>
          <w:sz w:val="32"/>
          <w:szCs w:val="32"/>
        </w:rPr>
        <w:t xml:space="preserve">MVP Product Requirements</w:t>
      </w:r>
    </w:p>
    <w:p>
      <w:pPr>
        <w:pBdr>
          <w:bottom w:val="single" w:color="1B4F72" w:sz="8" w:space="1"/>
        </w:pBdr>
        <w:spacing w:after="200"/>
      </w:pPr>
      <w:r>
        <w:rPr>
          <w:rFonts w:ascii="Arial" w:cs="Arial" w:eastAsia="Arial" w:hAnsi="Arial"/>
          <w:color w:val="7F8C8D"/>
          <w:sz w:val="22"/>
          <w:szCs w:val="22"/>
        </w:rPr>
        <w:t xml:space="preserve">Target: Audit-Ready in 3 Months  |  March 2026</w:t>
      </w:r>
    </w:p>
    <w:p>
      <w:pPr>
        <w:pStyle w:val="Heading1"/>
      </w:pPr>
      <w:r>
        <w:rPr>
          <w:rFonts w:ascii="Arial" w:cs="Arial" w:eastAsia="Arial" w:hAnsi="Arial"/>
        </w:rPr>
        <w:t xml:space="preserve">1. MVP Scope</w:t>
      </w:r>
    </w:p>
    <w:p>
      <w:pPr>
        <w:spacing w:after="120" w:line="276"/>
      </w:pPr>
      <w:r>
        <w:rPr>
          <w:rFonts w:ascii="Arial" w:cs="Arial" w:eastAsia="Arial" w:hAnsi="Arial"/>
          <w:color w:val="2C3E50"/>
          <w:sz w:val="22"/>
          <w:szCs w:val="22"/>
        </w:rPr>
        <w:t xml:space="preserve">The MVP delivers a single-vault, single-curator system that supports instant minting and redemption of tokenized RWA tokens on Base. The vault accepts a single collateral type (configurable at deployment, USDC for initial launch). One protocol-operated oracle signer provides signed price feeds for all whitelisted assets. The system is designed so that every component can be extended to multi-vault, multi-collateral, multi-oracle without contract rewrites.</w:t>
      </w:r>
    </w:p>
    <w:p>
      <w:pPr>
        <w:pStyle w:val="Heading2"/>
      </w:pPr>
      <w:r>
        <w:rPr>
          <w:rFonts w:ascii="Arial" w:cs="Arial" w:eastAsia="Arial" w:hAnsi="Arial"/>
        </w:rPr>
        <w:t xml:space="preserve">1.1 What’s In</w:t>
      </w:r>
    </w:p>
    <w:p>
      <w:pPr>
        <w:pStyle w:val="ListParagraph"/>
        <w:numPr>
          <w:ilvl w:val="0"/>
          <w:numId w:val="2"/>
        </w:numPr>
        <w:spacing w:after="80" w:line="276"/>
      </w:pPr>
      <w:r>
        <w:rPr>
          <w:rFonts w:ascii="Arial" w:cs="Arial" w:eastAsia="Arial" w:hAnsi="Arial"/>
          <w:color w:val="2C3E50"/>
          <w:sz w:val="22"/>
          <w:szCs w:val="22"/>
        </w:rPr>
        <w:t xml:space="preserve">Single vault with one collateral type (USDC for launch)</w:t>
      </w:r>
    </w:p>
    <w:p>
      <w:pPr>
        <w:pStyle w:val="ListParagraph"/>
        <w:numPr>
          <w:ilvl w:val="0"/>
          <w:numId w:val="2"/>
        </w:numPr>
        <w:spacing w:after="80" w:line="276"/>
      </w:pPr>
      <w:r>
        <w:rPr>
          <w:rFonts w:ascii="Arial" w:cs="Arial" w:eastAsia="Arial" w:hAnsi="Arial"/>
          <w:color w:val="2C3E50"/>
          <w:sz w:val="22"/>
          <w:szCs w:val="22"/>
        </w:rPr>
        <w:t xml:space="preserve">Vault curator manages spreads, USDC buffer, and collateral</w:t>
      </w:r>
    </w:p>
    <w:p>
      <w:pPr>
        <w:pStyle w:val="ListParagraph"/>
        <w:numPr>
          <w:ilvl w:val="0"/>
          <w:numId w:val="2"/>
        </w:numPr>
        <w:spacing w:after="80" w:line="276"/>
      </w:pPr>
      <w:r>
        <w:rPr>
          <w:rFonts w:ascii="Arial" w:cs="Arial" w:eastAsia="Arial" w:hAnsi="Arial"/>
          <w:color w:val="2C3E50"/>
          <w:sz w:val="22"/>
          <w:szCs w:val="22"/>
        </w:rPr>
        <w:t xml:space="preserve">Instant mint during market hours via signed oracle price</w:t>
      </w:r>
    </w:p>
    <w:p>
      <w:pPr>
        <w:pStyle w:val="ListParagraph"/>
        <w:numPr>
          <w:ilvl w:val="0"/>
          <w:numId w:val="2"/>
        </w:numPr>
        <w:spacing w:after="80" w:line="276"/>
      </w:pPr>
      <w:r>
        <w:rPr>
          <w:rFonts w:ascii="Arial" w:cs="Arial" w:eastAsia="Arial" w:hAnsi="Arial"/>
          <w:color w:val="2C3E50"/>
          <w:sz w:val="22"/>
          <w:szCs w:val="22"/>
        </w:rPr>
        <w:t xml:space="preserve">Instant redemption from USDC buffer; collateral liquidation if buffer insufficient</w:t>
      </w:r>
    </w:p>
    <w:p>
      <w:pPr>
        <w:pStyle w:val="ListParagraph"/>
        <w:numPr>
          <w:ilvl w:val="0"/>
          <w:numId w:val="2"/>
        </w:numPr>
        <w:spacing w:after="80" w:line="276"/>
      </w:pPr>
      <w:r>
        <w:rPr>
          <w:rFonts w:ascii="Arial" w:cs="Arial" w:eastAsia="Arial" w:hAnsi="Arial"/>
          <w:color w:val="2C3E50"/>
          <w:sz w:val="22"/>
          <w:szCs w:val="22"/>
        </w:rPr>
        <w:t xml:space="preserve">Non-market hours: mints at curator-set wider spread</w:t>
      </w:r>
    </w:p>
    <w:p>
      <w:pPr>
        <w:pStyle w:val="ListParagraph"/>
        <w:numPr>
          <w:ilvl w:val="0"/>
          <w:numId w:val="2"/>
        </w:numPr>
        <w:spacing w:after="80" w:line="276"/>
      </w:pPr>
      <w:r>
        <w:rPr>
          <w:rFonts w:ascii="Arial" w:cs="Arial" w:eastAsia="Arial" w:hAnsi="Arial"/>
          <w:color w:val="2C3E50"/>
          <w:sz w:val="22"/>
          <w:szCs w:val="22"/>
        </w:rPr>
        <w:t xml:space="preserve">Non-market hours redemptions: queued offchain, settled when market opens</w:t>
      </w:r>
    </w:p>
    <w:p>
      <w:pPr>
        <w:pStyle w:val="ListParagraph"/>
        <w:numPr>
          <w:ilvl w:val="0"/>
          <w:numId w:val="2"/>
        </w:numPr>
        <w:spacing w:after="80" w:line="276"/>
      </w:pPr>
      <w:r>
        <w:rPr>
          <w:rFonts w:ascii="Arial" w:cs="Arial" w:eastAsia="Arial" w:hAnsi="Arial"/>
          <w:color w:val="2C3E50"/>
          <w:sz w:val="22"/>
          <w:szCs w:val="22"/>
        </w:rPr>
        <w:t xml:space="preserve">Protocol-whitelisted asset list (admin adds tickers via multisig)</w:t>
      </w:r>
    </w:p>
    <w:p>
      <w:pPr>
        <w:pStyle w:val="ListParagraph"/>
        <w:numPr>
          <w:ilvl w:val="0"/>
          <w:numId w:val="2"/>
        </w:numPr>
        <w:spacing w:after="80" w:line="276"/>
      </w:pPr>
      <w:r>
        <w:rPr>
          <w:rFonts w:ascii="Arial" w:cs="Arial" w:eastAsia="Arial" w:hAnsi="Arial"/>
          <w:color w:val="2C3E50"/>
          <w:sz w:val="22"/>
          <w:szCs w:val="22"/>
        </w:rPr>
        <w:t xml:space="preserve">Liquidation engine: bots sell collateral if vault health drops below threshold</w:t>
      </w:r>
    </w:p>
    <w:p>
      <w:pPr>
        <w:pStyle w:val="ListParagraph"/>
        <w:numPr>
          <w:ilvl w:val="0"/>
          <w:numId w:val="2"/>
        </w:numPr>
        <w:spacing w:after="80" w:line="276"/>
      </w:pPr>
      <w:r>
        <w:rPr>
          <w:rFonts w:ascii="Arial" w:cs="Arial" w:eastAsia="Arial" w:hAnsi="Arial"/>
          <w:color w:val="2C3E50"/>
          <w:sz w:val="22"/>
          <w:szCs w:val="22"/>
        </w:rPr>
        <w:t xml:space="preserve">eTokens as standard ERC20 + Permit (no split logic in token)</w:t>
      </w:r>
    </w:p>
    <w:p>
      <w:pPr>
        <w:pStyle w:val="ListParagraph"/>
        <w:numPr>
          <w:ilvl w:val="0"/>
          <w:numId w:val="2"/>
        </w:numPr>
        <w:spacing w:after="80" w:line="276"/>
      </w:pPr>
      <w:r>
        <w:rPr>
          <w:rFonts w:ascii="Arial" w:cs="Arial" w:eastAsia="Arial" w:hAnsi="Arial"/>
          <w:color w:val="2C3E50"/>
          <w:sz w:val="22"/>
          <w:szCs w:val="22"/>
        </w:rPr>
        <w:t xml:space="preserve">Protocol fee deducted when curator withdraws accumulated fees</w:t>
      </w:r>
    </w:p>
    <w:p>
      <w:pPr>
        <w:pStyle w:val="ListParagraph"/>
        <w:numPr>
          <w:ilvl w:val="0"/>
          <w:numId w:val="2"/>
        </w:numPr>
        <w:spacing w:after="80" w:line="276"/>
      </w:pPr>
      <w:r>
        <w:rPr>
          <w:rFonts w:ascii="Arial" w:cs="Arial" w:eastAsia="Arial" w:hAnsi="Arial"/>
          <w:color w:val="2C3E50"/>
          <w:sz w:val="22"/>
          <w:szCs w:val="22"/>
        </w:rPr>
        <w:t xml:space="preserve">Vault halt mechanism (oracle staleness, admin trigger, health failure)</w:t>
      </w:r>
    </w:p>
    <w:p>
      <w:pPr>
        <w:pStyle w:val="Heading2"/>
      </w:pPr>
      <w:r>
        <w:rPr>
          <w:rFonts w:ascii="Arial" w:cs="Arial" w:eastAsia="Arial" w:hAnsi="Arial"/>
        </w:rPr>
        <w:t xml:space="preserve">1.2 What’s Out (Post-MVP)</w:t>
      </w:r>
    </w:p>
    <w:p>
      <w:pPr>
        <w:pStyle w:val="ListParagraph"/>
        <w:numPr>
          <w:ilvl w:val="0"/>
          <w:numId w:val="2"/>
        </w:numPr>
        <w:spacing w:after="80" w:line="276"/>
      </w:pPr>
      <w:r>
        <w:rPr>
          <w:rFonts w:ascii="Arial" w:cs="Arial" w:eastAsia="Arial" w:hAnsi="Arial"/>
          <w:color w:val="2C3E50"/>
          <w:sz w:val="22"/>
          <w:szCs w:val="22"/>
        </w:rPr>
        <w:t xml:space="preserve">Multi-collateral vaults (ETH, stETH, volatile ERC20s)</w:t>
      </w:r>
    </w:p>
    <w:p>
      <w:pPr>
        <w:pStyle w:val="ListParagraph"/>
        <w:numPr>
          <w:ilvl w:val="0"/>
          <w:numId w:val="2"/>
        </w:numPr>
        <w:spacing w:after="80" w:line="276"/>
      </w:pPr>
      <w:r>
        <w:rPr>
          <w:rFonts w:ascii="Arial" w:cs="Arial" w:eastAsia="Arial" w:hAnsi="Arial"/>
          <w:color w:val="2C3E50"/>
          <w:sz w:val="22"/>
          <w:szCs w:val="22"/>
        </w:rPr>
        <w:t xml:space="preserve">WETH router for native ETH</w:t>
      </w:r>
    </w:p>
    <w:p>
      <w:pPr>
        <w:pStyle w:val="ListParagraph"/>
        <w:numPr>
          <w:ilvl w:val="0"/>
          <w:numId w:val="2"/>
        </w:numPr>
        <w:spacing w:after="80" w:line="276"/>
      </w:pPr>
      <w:r>
        <w:rPr>
          <w:rFonts w:ascii="Arial" w:cs="Arial" w:eastAsia="Arial" w:hAnsi="Arial"/>
          <w:color w:val="2C3E50"/>
          <w:sz w:val="22"/>
          <w:szCs w:val="22"/>
        </w:rPr>
        <w:t xml:space="preserve">Multiple vaults backing the same eToken + redemption routing</w:t>
      </w:r>
    </w:p>
    <w:p>
      <w:pPr>
        <w:pStyle w:val="ListParagraph"/>
        <w:numPr>
          <w:ilvl w:val="0"/>
          <w:numId w:val="2"/>
        </w:numPr>
        <w:spacing w:after="80" w:line="276"/>
      </w:pPr>
      <w:r>
        <w:rPr>
          <w:rFonts w:ascii="Arial" w:cs="Arial" w:eastAsia="Arial" w:hAnsi="Arial"/>
          <w:color w:val="2C3E50"/>
          <w:sz w:val="22"/>
          <w:szCs w:val="22"/>
        </w:rPr>
        <w:t xml:space="preserve">Public vaults with multiple LPs and pro-rata accounting</w:t>
      </w:r>
    </w:p>
    <w:p>
      <w:pPr>
        <w:pStyle w:val="ListParagraph"/>
        <w:numPr>
          <w:ilvl w:val="0"/>
          <w:numId w:val="2"/>
        </w:numPr>
        <w:spacing w:after="80" w:line="276"/>
      </w:pPr>
      <w:r>
        <w:rPr>
          <w:rFonts w:ascii="Arial" w:cs="Arial" w:eastAsia="Arial" w:hAnsi="Arial"/>
          <w:color w:val="2C3E50"/>
          <w:sz w:val="22"/>
          <w:szCs w:val="22"/>
        </w:rPr>
        <w:t xml:space="preserve">ZK proof attestation for offchain positions</w:t>
      </w:r>
    </w:p>
    <w:p>
      <w:pPr>
        <w:pStyle w:val="ListParagraph"/>
        <w:numPr>
          <w:ilvl w:val="0"/>
          <w:numId w:val="2"/>
        </w:numPr>
        <w:spacing w:after="80" w:line="276"/>
      </w:pPr>
      <w:r>
        <w:rPr>
          <w:rFonts w:ascii="Arial" w:cs="Arial" w:eastAsia="Arial" w:hAnsi="Arial"/>
          <w:color w:val="2C3E50"/>
          <w:sz w:val="22"/>
          <w:szCs w:val="22"/>
        </w:rPr>
        <w:t xml:space="preserve">Multi-signer oracle (M-of-N)</w:t>
      </w:r>
    </w:p>
    <w:p>
      <w:pPr>
        <w:pStyle w:val="ListParagraph"/>
        <w:numPr>
          <w:ilvl w:val="0"/>
          <w:numId w:val="2"/>
        </w:numPr>
        <w:spacing w:after="80" w:line="276"/>
      </w:pPr>
      <w:r>
        <w:rPr>
          <w:rFonts w:ascii="Arial" w:cs="Arial" w:eastAsia="Arial" w:hAnsi="Arial"/>
          <w:color w:val="2C3E50"/>
          <w:sz w:val="22"/>
          <w:szCs w:val="22"/>
        </w:rPr>
        <w:t xml:space="preserve">Pyth / Chainlink oracle integration</w:t>
      </w:r>
    </w:p>
    <w:p>
      <w:pPr>
        <w:pStyle w:val="ListParagraph"/>
        <w:numPr>
          <w:ilvl w:val="0"/>
          <w:numId w:val="2"/>
        </w:numPr>
        <w:spacing w:after="80" w:line="276"/>
      </w:pPr>
      <w:r>
        <w:rPr>
          <w:rFonts w:ascii="Arial" w:cs="Arial" w:eastAsia="Arial" w:hAnsi="Arial"/>
          <w:color w:val="2C3E50"/>
          <w:sz w:val="22"/>
          <w:szCs w:val="22"/>
        </w:rPr>
        <w:t xml:space="preserve">Morpho looping integration</w:t>
      </w:r>
    </w:p>
    <w:p>
      <w:pPr>
        <w:pStyle w:val="ListParagraph"/>
        <w:numPr>
          <w:ilvl w:val="0"/>
          <w:numId w:val="2"/>
        </w:numPr>
        <w:spacing w:after="80" w:line="276"/>
      </w:pPr>
      <w:r>
        <w:rPr>
          <w:rFonts w:ascii="Arial" w:cs="Arial" w:eastAsia="Arial" w:hAnsi="Arial"/>
          <w:color w:val="2C3E50"/>
          <w:sz w:val="22"/>
          <w:szCs w:val="22"/>
        </w:rPr>
        <w:t xml:space="preserve">Token split migration contract</w:t>
      </w:r>
    </w:p>
    <w:p>
      <w:pPr>
        <w:pStyle w:val="ListParagraph"/>
        <w:numPr>
          <w:ilvl w:val="0"/>
          <w:numId w:val="2"/>
        </w:numPr>
        <w:spacing w:after="80" w:line="276"/>
      </w:pPr>
      <w:r>
        <w:rPr>
          <w:rFonts w:ascii="Arial" w:cs="Arial" w:eastAsia="Arial" w:hAnsi="Arial"/>
          <w:color w:val="2C3E50"/>
          <w:sz w:val="22"/>
          <w:szCs w:val="22"/>
        </w:rPr>
        <w:t xml:space="preserve">Governance and fee parameter voting</w:t>
      </w:r>
    </w:p>
    <w:p>
      <w:pPr>
        <w:pStyle w:val="Heading1"/>
      </w:pPr>
      <w:r>
        <w:rPr>
          <w:rFonts w:ascii="Arial" w:cs="Arial" w:eastAsia="Arial" w:hAnsi="Arial"/>
        </w:rPr>
        <w:t xml:space="preserve">2. Contract Architecture</w:t>
      </w:r>
    </w:p>
    <w:p>
      <w:pPr>
        <w:spacing w:after="120" w:line="276"/>
      </w:pPr>
      <w:r>
        <w:rPr>
          <w:rFonts w:ascii="Arial" w:cs="Arial" w:eastAsia="Arial" w:hAnsi="Arial"/>
          <w:color w:val="2C3E50"/>
          <w:sz w:val="22"/>
          <w:szCs w:val="22"/>
        </w:rPr>
        <w:t xml:space="preserve">The MVP consists of six contracts. The design follows a singleton pattern for the core protocol, with per-asset eToken deployments and a pluggable oracle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Contract</w:t>
            </w:r>
          </w:p>
        </w:tc>
        <w:tc>
          <w:tcPr>
            <w:tcW w:type="dxa" w:w="7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OwnVault</w:t>
            </w:r>
          </w:p>
        </w:tc>
        <w:tc>
          <w:tcPr>
            <w:tcW w:type="dxa" w:w="7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Core singleton. Holds collateral, tracks minted eToken notional per asset, manages USDC buffer, handles mint/redeem/liquidation. One instance per collateral type.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eToken</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ERC20 + Permit. One contract per asset (eTSLA, eGOLD, etc.). Mint/burn restricted to OwnVault. Deployed by AssetRegistry.</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AssetRegistry</w:t>
            </w:r>
          </w:p>
        </w:tc>
        <w:tc>
          <w:tcPr>
            <w:tcW w:type="dxa" w:w="7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Whitelisted asset list. Maps ticker to eToken address + oracle config (authorised signers, staleness threshold). Admin-managed.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OracleVerifier</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Verifies signed price data. Generic interface: accepts a price + signature + timestamp, verifies signer is authorised for that asset, checks staleness. Pluggable — can be swapped for Pyth or Chainlink adapter later.</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VaultManager</w:t>
            </w:r>
          </w:p>
        </w:tc>
        <w:tc>
          <w:tcPr>
            <w:tcW w:type="dxa" w:w="7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Vault parameter management. Curator sets spreads (market hours + non-market hours), buffer targets, configures vault state (active, halted). Separated from OwnVault to keep core logic clean.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LiquidationEngine</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Monitors vault health. Allows bots to trigger partial collateral liquidation when health drops below threshold. Sells collateral via DEX (Uniswap) and deposits proceeds as USDC into vault buffer.</w:t>
            </w:r>
          </w:p>
        </w:tc>
      </w:tr>
    </w:tbl>
    <w:p>
      <w:pPr>
        <w:spacing w:after="60"/>
      </w:pPr>
    </w:p>
    <w:p>
      <w:pPr>
        <w:pStyle w:val="Heading2"/>
      </w:pPr>
      <w:r>
        <w:rPr>
          <w:rFonts w:ascii="Arial" w:cs="Arial" w:eastAsia="Arial" w:hAnsi="Arial"/>
        </w:rPr>
        <w:t xml:space="preserve">2.1 Contract Interactions</w:t>
      </w:r>
    </w:p>
    <w:p>
      <w:pPr>
        <w:spacing w:after="120" w:line="276"/>
      </w:pPr>
      <w:r>
        <w:rPr>
          <w:rFonts w:ascii="Arial" w:cs="Arial" w:eastAsia="Arial" w:hAnsi="Arial"/>
          <w:color w:val="2C3E50"/>
          <w:sz w:val="22"/>
          <w:szCs w:val="22"/>
        </w:rPr>
        <w:t xml:space="preserve">Mint flow: Minter calls OwnVault.mint(asset, usdcAmount, signedPrice). OwnVault calls OracleVerifier to validate price. OwnVault calculates eToken amount, deducts spread + fee, transfers USDC from minter to vault buffer, calls eToken.mint() to issue tokens to minter.</w:t>
      </w:r>
    </w:p>
    <w:p>
      <w:pPr>
        <w:spacing w:after="120" w:line="276"/>
      </w:pPr>
      <w:r>
        <w:rPr>
          <w:rFonts w:ascii="Arial" w:cs="Arial" w:eastAsia="Arial" w:hAnsi="Arial"/>
          <w:color w:val="2C3E50"/>
          <w:sz w:val="22"/>
          <w:szCs w:val="22"/>
        </w:rPr>
        <w:t xml:space="preserve">Redeem flow: Minter calls OwnVault.redeem(asset, eTokenAmount, signedPrice). OwnVault validates price, calculates USDC owed, deducts spread + fee. If buffer has sufficient USDC, transfers to minter. If not, LiquidationEngine sells collateral to cover the shortfall, then transfers USDC.</w:t>
      </w:r>
    </w:p>
    <w:p>
      <w:pPr>
        <w:spacing w:after="120" w:line="276"/>
      </w:pPr>
      <w:r>
        <w:rPr>
          <w:rFonts w:ascii="Arial" w:cs="Arial" w:eastAsia="Arial" w:hAnsi="Arial"/>
          <w:color w:val="2C3E50"/>
          <w:sz w:val="22"/>
          <w:szCs w:val="22"/>
        </w:rPr>
        <w:t xml:space="preserve">Liquidation flow: Anyone calls LiquidationEngine.liquidate(vault). Engine checks vault health via OwnVault.getHealthFactor(). If below threshold, sells enough collateral on DEX to restore health to target ratio. Liquidator earns a reward (percentage of collateral sold).</w:t>
      </w:r>
    </w:p>
    <w:p>
      <w:pPr>
        <w:pStyle w:val="Heading1"/>
      </w:pPr>
      <w:r>
        <w:rPr>
          <w:rFonts w:ascii="Arial" w:cs="Arial" w:eastAsia="Arial" w:hAnsi="Arial"/>
        </w:rPr>
        <w:t xml:space="preserve">3. Oracle Design (MVP)</w:t>
      </w:r>
    </w:p>
    <w:p>
      <w:pPr>
        <w:spacing w:after="120" w:line="276"/>
      </w:pPr>
      <w:r>
        <w:rPr>
          <w:rFonts w:ascii="Arial" w:cs="Arial" w:eastAsia="Arial" w:hAnsi="Arial"/>
          <w:color w:val="2C3E50"/>
          <w:sz w:val="22"/>
          <w:szCs w:val="22"/>
        </w:rPr>
        <w:t xml:space="preserve">The MVP uses a signed price feed operated by the protocol team. The oracle backend fetches OHLC data from Yahoo Finance, signs a price message (asset ticker, price, timestamp) with a trusted private key, and serves it via an API endpoint. The frontend fetches the signed price and includes it in the mint/redeem transaction.</w:t>
      </w:r>
    </w:p>
    <w:p>
      <w:pPr>
        <w:pStyle w:val="Heading2"/>
      </w:pPr>
      <w:r>
        <w:rPr>
          <w:rFonts w:ascii="Arial" w:cs="Arial" w:eastAsia="Arial" w:hAnsi="Arial"/>
        </w:rPr>
        <w:t xml:space="preserve">3.1 Signed Price Message</w:t>
      </w:r>
    </w:p>
    <w:p>
      <w:pPr>
        <w:spacing w:after="120" w:line="276"/>
      </w:pPr>
      <w:r>
        <w:rPr>
          <w:rFonts w:ascii="Arial" w:cs="Arial" w:eastAsia="Arial" w:hAnsi="Arial"/>
          <w:color w:val="2C3E50"/>
          <w:sz w:val="22"/>
          <w:szCs w:val="22"/>
        </w:rPr>
        <w:t xml:space="preserve">The message format is: keccak256(abi.encodePacked(asset, price, timestamp, chainId, oracleVerifierAddress)). The OracleVerifier recovers the signer from the signature and checks: (1) signer is authorised for this asset, (2) timestamp is within staleness window, (3) price is non-zero.</w:t>
      </w:r>
    </w:p>
    <w:p>
      <w:pPr>
        <w:pStyle w:val="Heading2"/>
      </w:pPr>
      <w:r>
        <w:rPr>
          <w:rFonts w:ascii="Arial" w:cs="Arial" w:eastAsia="Arial" w:hAnsi="Arial"/>
        </w:rPr>
        <w:t xml:space="preserve">3.2 Extension Path</w:t>
      </w:r>
    </w:p>
    <w:p>
      <w:pPr>
        <w:spacing w:after="120" w:line="276"/>
      </w:pPr>
      <w:r>
        <w:rPr>
          <w:rFonts w:ascii="Arial" w:cs="Arial" w:eastAsia="Arial" w:hAnsi="Arial"/>
          <w:color w:val="2C3E50"/>
          <w:sz w:val="22"/>
          <w:szCs w:val="22"/>
        </w:rPr>
        <w:t xml:space="preserve">The OracleVerifier has a generic interface: verifyPrice(bytes32 asset, uint256 price, uint256 timestamp, bytes signature) returns (bool). To add Pyth support, deploy a PythAdapter that implements the same interface but internally calls Pyth’s price feed contract. To add multi-signer, deploy a MultiSigOracleVerifier that requires M-of-N valid signatures. The OwnVault references the oracle via an interface, so swapping is a single governance tx.</w:t>
      </w:r>
    </w:p>
    <w:p>
      <w:pPr>
        <w:pStyle w:val="Heading1"/>
      </w:pPr>
      <w:r>
        <w:rPr>
          <w:rFonts w:ascii="Arial" w:cs="Arial" w:eastAsia="Arial" w:hAnsi="Arial"/>
        </w:rPr>
        <w:t xml:space="preserve">4. Vault Mechanics</w:t>
      </w:r>
    </w:p>
    <w:p>
      <w:pPr>
        <w:pStyle w:val="Heading2"/>
      </w:pPr>
      <w:r>
        <w:rPr>
          <w:rFonts w:ascii="Arial" w:cs="Arial" w:eastAsia="Arial" w:hAnsi="Arial"/>
        </w:rPr>
        <w:t xml:space="preserve">4.1 Collateral Ratio</w:t>
      </w:r>
    </w:p>
    <w:p>
      <w:pPr>
        <w:spacing w:after="120" w:line="276"/>
      </w:pPr>
      <w:r>
        <w:rPr>
          <w:rFonts w:ascii="Arial" w:cs="Arial" w:eastAsia="Arial" w:hAnsi="Arial"/>
          <w:color w:val="2C3E50"/>
          <w:sz w:val="22"/>
          <w:szCs w:val="22"/>
        </w:rPr>
        <w:t xml:space="preserve">The vault’s health factor = total collateral value / total notional of all minted eTokens. Total notional is calculated by summing (eToken supply * current oracle price) across all assets minted against this vault. For MVP with USDC collateral, collateral value = USDC balance + USDC buffer.</w:t>
      </w:r>
    </w:p>
    <w:p>
      <w:pPr>
        <w:pStyle w:val="Heading2"/>
      </w:pPr>
      <w:r>
        <w:rPr>
          <w:rFonts w:ascii="Arial" w:cs="Arial" w:eastAsia="Arial" w:hAnsi="Arial"/>
        </w:rPr>
        <w:t xml:space="preserve">4.2 Fee Mechanics</w:t>
      </w:r>
    </w:p>
    <w:p>
      <w:pPr>
        <w:spacing w:after="120" w:line="276"/>
      </w:pPr>
      <w:r>
        <w:rPr>
          <w:rFonts w:ascii="Arial" w:cs="Arial" w:eastAsia="Arial" w:hAnsi="Arial"/>
          <w:color w:val="2C3E50"/>
          <w:sz w:val="22"/>
          <w:szCs w:val="22"/>
        </w:rPr>
        <w:t xml:space="preserve">On every mint and redemption, the protocol charges a 0.1% fee on the USDC amount plus the vault’s configured spread. Both fees accrue to the vault’s fee accumulator. When the curator withdraws fees, the protocol deducts its share (configurable percentage, e.g., 20%) and sends the remainder to the curator.</w:t>
      </w:r>
    </w:p>
    <w:p>
      <w:pPr>
        <w:pStyle w:val="Heading2"/>
      </w:pPr>
      <w:r>
        <w:rPr>
          <w:rFonts w:ascii="Arial" w:cs="Arial" w:eastAsia="Arial" w:hAnsi="Arial"/>
        </w:rPr>
        <w:t xml:space="preserve">4.3 USDC Buffer</w:t>
      </w:r>
    </w:p>
    <w:p>
      <w:pPr>
        <w:spacing w:after="120" w:line="276"/>
      </w:pPr>
      <w:r>
        <w:rPr>
          <w:rFonts w:ascii="Arial" w:cs="Arial" w:eastAsia="Arial" w:hAnsi="Arial"/>
          <w:color w:val="2C3E50"/>
          <w:sz w:val="22"/>
          <w:szCs w:val="22"/>
        </w:rPr>
        <w:t xml:space="preserve">Minter USDC flows into the vault buffer on mint. On redemption, USDC is paid from the buffer. The curator can withdraw excess buffer (above a protocol-enforced minimum ratio) to deploy offchain. The curator can also deposit additional USDC to refill the buffer. The minimum buffer ratio is a safety mechanism: it ensures some instant redemption liquidity is always available onchain.</w:t>
      </w:r>
    </w:p>
    <w:p>
      <w:pPr>
        <w:pStyle w:val="Heading2"/>
      </w:pPr>
      <w:r>
        <w:rPr>
          <w:rFonts w:ascii="Arial" w:cs="Arial" w:eastAsia="Arial" w:hAnsi="Arial"/>
        </w:rPr>
        <w:t xml:space="preserve">4.4 Curator Permissions</w:t>
      </w:r>
    </w:p>
    <w:p>
      <w:pPr>
        <w:spacing w:after="120" w:line="276"/>
      </w:pPr>
      <w:r>
        <w:rPr>
          <w:rFonts w:ascii="Arial" w:cs="Arial" w:eastAsia="Arial" w:hAnsi="Arial"/>
          <w:color w:val="2C3E50"/>
          <w:sz w:val="22"/>
          <w:szCs w:val="22"/>
        </w:rPr>
        <w:t xml:space="preserve">The curator can: set market-hours and non-market-hours spread, withdraw excess USDC from buffer, deposit USDC into buffer, halt/resume the vault (emergency), add/remove collateral. The curator cannot: mint or burn eTokens (only OwnVault can), change the oracle verifier (only protocol admin), modify the fee structure (only protocol admin).</w:t>
      </w:r>
    </w:p>
    <w:p>
      <w:pPr>
        <w:pStyle w:val="Heading1"/>
      </w:pPr>
      <w:r>
        <w:rPr>
          <w:rFonts w:ascii="Arial" w:cs="Arial" w:eastAsia="Arial" w:hAnsi="Arial"/>
        </w:rPr>
        <w:t xml:space="preserve">5. Liquidation</w:t>
      </w:r>
    </w:p>
    <w:p>
      <w:pPr>
        <w:spacing w:after="120" w:line="276"/>
      </w:pPr>
      <w:r>
        <w:rPr>
          <w:rFonts w:ascii="Arial" w:cs="Arial" w:eastAsia="Arial" w:hAnsi="Arial"/>
          <w:color w:val="2C3E50"/>
          <w:sz w:val="22"/>
          <w:szCs w:val="22"/>
        </w:rPr>
        <w:t xml:space="preserve">Liquidation is partial: sell just enough collateral to restore the vault to a healthy ratio. The liquidation engine uses a DEX integration (Uniswap V3 on Base) to swap collateral for USDC. For MVP with USDC collateral, liquidation is simpler: the vault’s USDC is already the right denomination, so liquidation only applies when the collateral value drops below the notional (which for USDC collateral means the vault has been under-deposited or fees have been over-extracted).</w:t>
      </w:r>
    </w:p>
    <w:p>
      <w:pPr>
        <w:spacing w:after="120" w:line="276"/>
      </w:pPr>
      <w:r>
        <w:rPr>
          <w:rFonts w:ascii="Arial" w:cs="Arial" w:eastAsia="Arial" w:hAnsi="Arial"/>
          <w:color w:val="2C3E50"/>
          <w:sz w:val="22"/>
          <w:szCs w:val="22"/>
        </w:rPr>
        <w:t xml:space="preserve">For future non-USDC collateral vaults (ETH, stETH), the liquidation engine sells the collateral token on a DEX, receives USDC, and deposits it into the vault. The liquidator receives a reward (5–10% of the collateral sold) as incentive.</w:t>
      </w:r>
    </w:p>
    <w:p>
      <w:pPr>
        <w:pStyle w:val="Heading2"/>
      </w:pPr>
      <w:r>
        <w:rPr>
          <w:rFonts w:ascii="Arial" w:cs="Arial" w:eastAsia="Arial" w:hAnsi="Arial"/>
        </w:rPr>
        <w:t xml:space="preserve">5.1 Liquidation Parameters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0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USDC Vault (MVP)</w:t>
            </w:r>
          </w:p>
        </w:tc>
        <w:tc>
          <w:tcPr>
            <w:tcW w:type="dxa" w:w="30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ETH Vault (Future)</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Healthy Ratio</w:t>
            </w:r>
          </w:p>
        </w:tc>
        <w:tc>
          <w:tcPr>
            <w:tcW w:type="dxa" w:w="30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110%</w:t>
            </w:r>
          </w:p>
        </w:tc>
        <w:tc>
          <w:tcPr>
            <w:tcW w:type="dxa" w:w="30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200%</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Liquidation Threshold</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103%</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155%</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Liquidation Reward</w:t>
            </w:r>
          </w:p>
        </w:tc>
        <w:tc>
          <w:tcPr>
            <w:tcW w:type="dxa" w:w="30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1–2%</w:t>
            </w:r>
          </w:p>
        </w:tc>
        <w:tc>
          <w:tcPr>
            <w:tcW w:type="dxa" w:w="30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5–10%</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Max Liquidation per Tx</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50% of shortfall</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50% of shortfall</w:t>
            </w:r>
          </w:p>
        </w:tc>
      </w:tr>
    </w:tbl>
    <w:p>
      <w:pPr>
        <w:spacing w:after="60"/>
      </w:pPr>
    </w:p>
    <w:p>
      <w:pPr>
        <w:pStyle w:val="Heading1"/>
      </w:pPr>
      <w:r>
        <w:rPr>
          <w:rFonts w:ascii="Arial" w:cs="Arial" w:eastAsia="Arial" w:hAnsi="Arial"/>
        </w:rPr>
        <w:t xml:space="preserve">6. Vault Halt Conditions</w:t>
      </w:r>
    </w:p>
    <w:p>
      <w:pPr>
        <w:spacing w:after="120" w:line="276"/>
      </w:pPr>
      <w:r>
        <w:rPr>
          <w:rFonts w:ascii="Arial" w:cs="Arial" w:eastAsia="Arial" w:hAnsi="Arial"/>
          <w:color w:val="2C3E50"/>
          <w:sz w:val="22"/>
          <w:szCs w:val="22"/>
        </w:rPr>
        <w:t xml:space="preserve">The vault enters a halted state under the following conditions:</w:t>
      </w:r>
    </w:p>
    <w:p>
      <w:pPr>
        <w:pStyle w:val="ListParagraph"/>
        <w:numPr>
          <w:ilvl w:val="0"/>
          <w:numId w:val="2"/>
        </w:numPr>
        <w:spacing w:after="80" w:line="276"/>
      </w:pPr>
      <w:r>
        <w:rPr>
          <w:rFonts w:ascii="Arial" w:cs="Arial" w:eastAsia="Arial" w:hAnsi="Arial"/>
          <w:b/>
          <w:bCs/>
          <w:color w:val="2C3E50"/>
          <w:sz w:val="22"/>
          <w:szCs w:val="22"/>
        </w:rPr>
        <w:t xml:space="preserve">Health failure: </w:t>
      </w:r>
      <w:r>
        <w:rPr>
          <w:rFonts w:ascii="Arial" w:cs="Arial" w:eastAsia="Arial" w:hAnsi="Arial"/>
          <w:color w:val="2C3E50"/>
          <w:sz w:val="22"/>
          <w:szCs w:val="22"/>
        </w:rPr>
        <w:t xml:space="preserve">Collateral ratio drops below liquidation threshold and liquidation cannot restore health (e.g., insufficient DEX liquidity).</w:t>
      </w:r>
    </w:p>
    <w:p>
      <w:pPr>
        <w:pStyle w:val="ListParagraph"/>
        <w:numPr>
          <w:ilvl w:val="0"/>
          <w:numId w:val="2"/>
        </w:numPr>
        <w:spacing w:after="80" w:line="276"/>
      </w:pPr>
      <w:r>
        <w:rPr>
          <w:rFonts w:ascii="Arial" w:cs="Arial" w:eastAsia="Arial" w:hAnsi="Arial"/>
          <w:b/>
          <w:bCs/>
          <w:color w:val="2C3E50"/>
          <w:sz w:val="22"/>
          <w:szCs w:val="22"/>
        </w:rPr>
        <w:t xml:space="preserve">Oracle staleness: </w:t>
      </w:r>
      <w:r>
        <w:rPr>
          <w:rFonts w:ascii="Arial" w:cs="Arial" w:eastAsia="Arial" w:hAnsi="Arial"/>
          <w:color w:val="2C3E50"/>
          <w:sz w:val="22"/>
          <w:szCs w:val="22"/>
        </w:rPr>
        <w:t xml:space="preserve">No valid price update received within the staleness window for any asset minted against the vault.</w:t>
      </w:r>
    </w:p>
    <w:p>
      <w:pPr>
        <w:pStyle w:val="ListParagraph"/>
        <w:numPr>
          <w:ilvl w:val="0"/>
          <w:numId w:val="2"/>
        </w:numPr>
        <w:spacing w:after="80" w:line="276"/>
      </w:pPr>
      <w:r>
        <w:rPr>
          <w:rFonts w:ascii="Arial" w:cs="Arial" w:eastAsia="Arial" w:hAnsi="Arial"/>
          <w:b/>
          <w:bCs/>
          <w:color w:val="2C3E50"/>
          <w:sz w:val="22"/>
          <w:szCs w:val="22"/>
        </w:rPr>
        <w:t xml:space="preserve">Curator-initiated: </w:t>
      </w:r>
      <w:r>
        <w:rPr>
          <w:rFonts w:ascii="Arial" w:cs="Arial" w:eastAsia="Arial" w:hAnsi="Arial"/>
          <w:color w:val="2C3E50"/>
          <w:sz w:val="22"/>
          <w:szCs w:val="22"/>
        </w:rPr>
        <w:t xml:space="preserve">Curator can halt for planned maintenance or market emergency.</w:t>
      </w:r>
    </w:p>
    <w:p>
      <w:pPr>
        <w:pStyle w:val="ListParagraph"/>
        <w:numPr>
          <w:ilvl w:val="0"/>
          <w:numId w:val="2"/>
        </w:numPr>
        <w:spacing w:after="80" w:line="276"/>
      </w:pPr>
      <w:r>
        <w:rPr>
          <w:rFonts w:ascii="Arial" w:cs="Arial" w:eastAsia="Arial" w:hAnsi="Arial"/>
          <w:b/>
          <w:bCs/>
          <w:color w:val="2C3E50"/>
          <w:sz w:val="22"/>
          <w:szCs w:val="22"/>
        </w:rPr>
        <w:t xml:space="preserve">Admin emergency: </w:t>
      </w:r>
      <w:r>
        <w:rPr>
          <w:rFonts w:ascii="Arial" w:cs="Arial" w:eastAsia="Arial" w:hAnsi="Arial"/>
          <w:color w:val="2C3E50"/>
          <w:sz w:val="22"/>
          <w:szCs w:val="22"/>
        </w:rPr>
        <w:t xml:space="preserve">Protocol multisig can halt any vault.</w:t>
      </w:r>
    </w:p>
    <w:p>
      <w:pPr>
        <w:spacing w:after="120" w:line="276"/>
      </w:pPr>
      <w:r>
        <w:rPr>
          <w:rFonts w:ascii="Arial" w:cs="Arial" w:eastAsia="Arial" w:hAnsi="Arial"/>
          <w:color w:val="2C3E50"/>
          <w:sz w:val="22"/>
          <w:szCs w:val="22"/>
        </w:rPr>
        <w:t xml:space="preserve">When halted: no new mints are accepted. Redemptions continue from the USDC buffer and collateral (minters must never be trapped). Collateral deposits and withdrawals by the curator are frozen. Liquidation bots can still operate.</w:t>
      </w:r>
    </w:p>
    <w:p>
      <w:pPr>
        <w:pStyle w:val="Heading1"/>
      </w:pPr>
      <w:r>
        <w:rPr>
          <w:rFonts w:ascii="Arial" w:cs="Arial" w:eastAsia="Arial" w:hAnsi="Arial"/>
        </w:rPr>
        <w:t xml:space="preserve">7. Edge Cases and Handling</w:t>
      </w:r>
    </w:p>
    <w:p>
      <w:pPr>
        <w:pStyle w:val="Heading2"/>
      </w:pPr>
      <w:r>
        <w:rPr>
          <w:rFonts w:ascii="Arial" w:cs="Arial" w:eastAsia="Arial" w:hAnsi="Arial"/>
        </w:rPr>
        <w:t xml:space="preserve">7.1 Insufficient Redemption Buffer</w:t>
      </w:r>
    </w:p>
    <w:p>
      <w:pPr>
        <w:spacing w:after="120" w:line="276"/>
      </w:pPr>
      <w:r>
        <w:rPr>
          <w:rFonts w:ascii="Arial" w:cs="Arial" w:eastAsia="Arial" w:hAnsi="Arial"/>
          <w:color w:val="2C3E50"/>
          <w:sz w:val="22"/>
          <w:szCs w:val="22"/>
        </w:rPr>
        <w:t xml:space="preserve">During market hours: the protocol sells vault collateral via the liquidation engine to cover the shortfall. The minter receives USDC in the same transaction (or in a followup settlement tx if the DEX swap is async). During non-market hours: the redemption request is queued with the minter’s specified maximum spread. The curator settles when market opens or when buffer is replenished.</w:t>
      </w:r>
    </w:p>
    <w:p>
      <w:pPr>
        <w:pStyle w:val="Heading2"/>
      </w:pPr>
      <w:r>
        <w:rPr>
          <w:rFonts w:ascii="Arial" w:cs="Arial" w:eastAsia="Arial" w:hAnsi="Arial"/>
        </w:rPr>
        <w:t xml:space="preserve">7.2 Curator Insolvency / Disappearance</w:t>
      </w:r>
    </w:p>
    <w:p>
      <w:pPr>
        <w:spacing w:after="120" w:line="276"/>
      </w:pPr>
      <w:r>
        <w:rPr>
          <w:rFonts w:ascii="Arial" w:cs="Arial" w:eastAsia="Arial" w:hAnsi="Arial"/>
          <w:color w:val="2C3E50"/>
          <w:sz w:val="22"/>
          <w:szCs w:val="22"/>
        </w:rPr>
        <w:t xml:space="preserve">For MVP, the curator is a trusted party. The protocol’s defence is the onchain collateral: even if the curator disappears, the collateral remains locked and can be liquidated to cover redemptions. Post-MVP, ZK proof liveness requirements add a second layer: if the curator’s offchain attestation lapses (e.g., no proof for 48h), the vault auto-halts and begins winding down.</w:t>
      </w:r>
    </w:p>
    <w:p>
      <w:pPr>
        <w:pStyle w:val="Heading2"/>
      </w:pPr>
      <w:r>
        <w:rPr>
          <w:rFonts w:ascii="Arial" w:cs="Arial" w:eastAsia="Arial" w:hAnsi="Arial"/>
        </w:rPr>
        <w:t xml:space="preserve">7.3 Oracle Manipulation</w:t>
      </w:r>
    </w:p>
    <w:p>
      <w:pPr>
        <w:spacing w:after="120" w:line="276"/>
      </w:pPr>
      <w:r>
        <w:rPr>
          <w:rFonts w:ascii="Arial" w:cs="Arial" w:eastAsia="Arial" w:hAnsi="Arial"/>
          <w:color w:val="2C3E50"/>
          <w:sz w:val="22"/>
          <w:szCs w:val="22"/>
        </w:rPr>
        <w:t xml:space="preserve">The signed oracle is centralised for MVP (single trusted signer). Mitigation: staleness checks prevent replay of old prices. Price deviation bounds (if the new price deviates more than X% from the last known price, require additional confirmation) can be added. Post-MVP: multi-signer (M-of-N) eliminates single-signer risk, and Pyth validation provides an independent price source.</w:t>
      </w:r>
    </w:p>
    <w:p>
      <w:pPr>
        <w:pStyle w:val="Heading2"/>
      </w:pPr>
      <w:r>
        <w:rPr>
          <w:rFonts w:ascii="Arial" w:cs="Arial" w:eastAsia="Arial" w:hAnsi="Arial"/>
        </w:rPr>
        <w:t xml:space="preserve">7.4 Flash Loan Attacks</w:t>
      </w:r>
    </w:p>
    <w:p>
      <w:pPr>
        <w:spacing w:after="120" w:line="276"/>
      </w:pPr>
      <w:r>
        <w:rPr>
          <w:rFonts w:ascii="Arial" w:cs="Arial" w:eastAsia="Arial" w:hAnsi="Arial"/>
          <w:color w:val="2C3E50"/>
          <w:sz w:val="22"/>
          <w:szCs w:val="22"/>
        </w:rPr>
        <w:t xml:space="preserve">Flash loans cannot exploit the oracle because prices are externally signed (not derived from onchain state). Flash loans cannot drain the vault because minting requires valid signed prices and redemption is bounded by buffer + collateral. Reentrancy is prevented via standard guards (checks-effects-interactions, OpenZeppelin ReentrancyGuard).</w:t>
      </w:r>
    </w:p>
    <w:p>
      <w:pPr>
        <w:pStyle w:val="Heading2"/>
      </w:pPr>
      <w:r>
        <w:rPr>
          <w:rFonts w:ascii="Arial" w:cs="Arial" w:eastAsia="Arial" w:hAnsi="Arial"/>
        </w:rPr>
        <w:t xml:space="preserve">7.5 LP Exit</w:t>
      </w:r>
    </w:p>
    <w:p>
      <w:pPr>
        <w:spacing w:after="120" w:line="276"/>
      </w:pPr>
      <w:r>
        <w:rPr>
          <w:rFonts w:ascii="Arial" w:cs="Arial" w:eastAsia="Arial" w:hAnsi="Arial"/>
          <w:color w:val="2C3E50"/>
          <w:sz w:val="22"/>
          <w:szCs w:val="22"/>
        </w:rPr>
        <w:t xml:space="preserve">For MVP (single LP = curator), the LP can only withdraw collateral in excess of the healthy ratio. Full exit requires all eToken notional to be redeemed first (supply drops to zero) or the protocol to migrate backing to another vault (post-MVP feature).</w:t>
      </w:r>
    </w:p>
    <w:p>
      <w:pPr>
        <w:pStyle w:val="Heading1"/>
      </w:pPr>
      <w:r>
        <w:rPr>
          <w:rFonts w:ascii="Arial" w:cs="Arial" w:eastAsia="Arial" w:hAnsi="Arial"/>
        </w:rPr>
        <w:t xml:space="preserve">8. Extension Points for Post-MVP</w:t>
      </w:r>
    </w:p>
    <w:p>
      <w:pPr>
        <w:spacing w:after="120" w:line="276"/>
      </w:pPr>
      <w:r>
        <w:rPr>
          <w:rFonts w:ascii="Arial" w:cs="Arial" w:eastAsia="Arial" w:hAnsi="Arial"/>
          <w:color w:val="2C3E50"/>
          <w:sz w:val="22"/>
          <w:szCs w:val="22"/>
        </w:rPr>
        <w:t xml:space="preserve">The MVP is designed with explicit extension points to support future features without contract rewrites:</w:t>
      </w:r>
    </w:p>
    <w:p>
      <w:pPr>
        <w:pStyle w:val="ListParagraph"/>
        <w:numPr>
          <w:ilvl w:val="0"/>
          <w:numId w:val="2"/>
        </w:numPr>
        <w:spacing w:after="80" w:line="276"/>
      </w:pPr>
      <w:r>
        <w:rPr>
          <w:rFonts w:ascii="Arial" w:cs="Arial" w:eastAsia="Arial" w:hAnsi="Arial"/>
          <w:b/>
          <w:bCs/>
          <w:color w:val="2C3E50"/>
          <w:sz w:val="22"/>
          <w:szCs w:val="22"/>
        </w:rPr>
        <w:t xml:space="preserve">Multi-collateral: </w:t>
      </w:r>
      <w:r>
        <w:rPr>
          <w:rFonts w:ascii="Arial" w:cs="Arial" w:eastAsia="Arial" w:hAnsi="Arial"/>
          <w:color w:val="2C3E50"/>
          <w:sz w:val="22"/>
          <w:szCs w:val="22"/>
        </w:rPr>
        <w:t xml:space="preserve">OwnVault accepts a collateral token address at deployment. Deploy additional vault instances with ETH, stETH, etc. The AssetRegistry maps eTokens to multiple backing vaults.</w:t>
      </w:r>
    </w:p>
    <w:p>
      <w:pPr>
        <w:pStyle w:val="ListParagraph"/>
        <w:numPr>
          <w:ilvl w:val="0"/>
          <w:numId w:val="2"/>
        </w:numPr>
        <w:spacing w:after="80" w:line="276"/>
      </w:pPr>
      <w:r>
        <w:rPr>
          <w:rFonts w:ascii="Arial" w:cs="Arial" w:eastAsia="Arial" w:hAnsi="Arial"/>
          <w:b/>
          <w:bCs/>
          <w:color w:val="2C3E50"/>
          <w:sz w:val="22"/>
          <w:szCs w:val="22"/>
        </w:rPr>
        <w:t xml:space="preserve">Multi-vault routing: </w:t>
      </w:r>
      <w:r>
        <w:rPr>
          <w:rFonts w:ascii="Arial" w:cs="Arial" w:eastAsia="Arial" w:hAnsi="Arial"/>
          <w:color w:val="2C3E50"/>
          <w:sz w:val="22"/>
          <w:szCs w:val="22"/>
        </w:rPr>
        <w:t xml:space="preserve">AssetRegistry tracks which vaults back each eToken and their available buffer. A Router contract selects the optimal vault for each mint/redeem.</w:t>
      </w:r>
    </w:p>
    <w:p>
      <w:pPr>
        <w:pStyle w:val="ListParagraph"/>
        <w:numPr>
          <w:ilvl w:val="0"/>
          <w:numId w:val="2"/>
        </w:numPr>
        <w:spacing w:after="80" w:line="276"/>
      </w:pPr>
      <w:r>
        <w:rPr>
          <w:rFonts w:ascii="Arial" w:cs="Arial" w:eastAsia="Arial" w:hAnsi="Arial"/>
          <w:b/>
          <w:bCs/>
          <w:color w:val="2C3E50"/>
          <w:sz w:val="22"/>
          <w:szCs w:val="22"/>
        </w:rPr>
        <w:t xml:space="preserve">Public vaults: </w:t>
      </w:r>
      <w:r>
        <w:rPr>
          <w:rFonts w:ascii="Arial" w:cs="Arial" w:eastAsia="Arial" w:hAnsi="Arial"/>
          <w:color w:val="2C3E50"/>
          <w:sz w:val="22"/>
          <w:szCs w:val="22"/>
        </w:rPr>
        <w:t xml:space="preserve">Add a share accounting layer inside OwnVault (LP deposits tracked via shares, similar to ERC-4626). Pro-rata fee distribution.</w:t>
      </w:r>
    </w:p>
    <w:p>
      <w:pPr>
        <w:pStyle w:val="ListParagraph"/>
        <w:numPr>
          <w:ilvl w:val="0"/>
          <w:numId w:val="2"/>
        </w:numPr>
        <w:spacing w:after="80" w:line="276"/>
      </w:pPr>
      <w:r>
        <w:rPr>
          <w:rFonts w:ascii="Arial" w:cs="Arial" w:eastAsia="Arial" w:hAnsi="Arial"/>
          <w:b/>
          <w:bCs/>
          <w:color w:val="2C3E50"/>
          <w:sz w:val="22"/>
          <w:szCs w:val="22"/>
        </w:rPr>
        <w:t xml:space="preserve">Multi-signer oracle: </w:t>
      </w:r>
      <w:r>
        <w:rPr>
          <w:rFonts w:ascii="Arial" w:cs="Arial" w:eastAsia="Arial" w:hAnsi="Arial"/>
          <w:color w:val="2C3E50"/>
          <w:sz w:val="22"/>
          <w:szCs w:val="22"/>
        </w:rPr>
        <w:t xml:space="preserve">Deploy MultiSigOracleVerifier behind the same IOracleVerifier interface. No changes to OwnVault.</w:t>
      </w:r>
    </w:p>
    <w:p>
      <w:pPr>
        <w:pStyle w:val="ListParagraph"/>
        <w:numPr>
          <w:ilvl w:val="0"/>
          <w:numId w:val="2"/>
        </w:numPr>
        <w:spacing w:after="80" w:line="276"/>
      </w:pPr>
      <w:r>
        <w:rPr>
          <w:rFonts w:ascii="Arial" w:cs="Arial" w:eastAsia="Arial" w:hAnsi="Arial"/>
          <w:b/>
          <w:bCs/>
          <w:color w:val="2C3E50"/>
          <w:sz w:val="22"/>
          <w:szCs w:val="22"/>
        </w:rPr>
        <w:t xml:space="preserve">Pyth integration: </w:t>
      </w:r>
      <w:r>
        <w:rPr>
          <w:rFonts w:ascii="Arial" w:cs="Arial" w:eastAsia="Arial" w:hAnsi="Arial"/>
          <w:color w:val="2C3E50"/>
          <w:sz w:val="22"/>
          <w:szCs w:val="22"/>
        </w:rPr>
        <w:t xml:space="preserve">Deploy PythAdapter behind IOracleVerifier. Add to AssetRegistry as an authorised oracle for specific assets.</w:t>
      </w:r>
    </w:p>
    <w:p>
      <w:pPr>
        <w:pStyle w:val="ListParagraph"/>
        <w:numPr>
          <w:ilvl w:val="0"/>
          <w:numId w:val="2"/>
        </w:numPr>
        <w:spacing w:after="80" w:line="276"/>
      </w:pPr>
      <w:r>
        <w:rPr>
          <w:rFonts w:ascii="Arial" w:cs="Arial" w:eastAsia="Arial" w:hAnsi="Arial"/>
          <w:b/>
          <w:bCs/>
          <w:color w:val="2C3E50"/>
          <w:sz w:val="22"/>
          <w:szCs w:val="22"/>
        </w:rPr>
        <w:t xml:space="preserve">ZK proof attestation: </w:t>
      </w:r>
      <w:r>
        <w:rPr>
          <w:rFonts w:ascii="Arial" w:cs="Arial" w:eastAsia="Arial" w:hAnsi="Arial"/>
          <w:color w:val="2C3E50"/>
          <w:sz w:val="22"/>
          <w:szCs w:val="22"/>
        </w:rPr>
        <w:t xml:space="preserve">Add a ProofVerifier contract that VaultManager checks. If proof is stale, VaultManager halts the vault.</w:t>
      </w:r>
    </w:p>
    <w:p>
      <w:pPr>
        <w:pStyle w:val="ListParagraph"/>
        <w:numPr>
          <w:ilvl w:val="0"/>
          <w:numId w:val="2"/>
        </w:numPr>
        <w:spacing w:after="80" w:line="276"/>
      </w:pPr>
      <w:r>
        <w:rPr>
          <w:rFonts w:ascii="Arial" w:cs="Arial" w:eastAsia="Arial" w:hAnsi="Arial"/>
          <w:b/>
          <w:bCs/>
          <w:color w:val="2C3E50"/>
          <w:sz w:val="22"/>
          <w:szCs w:val="22"/>
        </w:rPr>
        <w:t xml:space="preserve">Native ETH: </w:t>
      </w:r>
      <w:r>
        <w:rPr>
          <w:rFonts w:ascii="Arial" w:cs="Arial" w:eastAsia="Arial" w:hAnsi="Arial"/>
          <w:color w:val="2C3E50"/>
          <w:sz w:val="22"/>
          <w:szCs w:val="22"/>
        </w:rPr>
        <w:t xml:space="preserve">Deploy a WETHRouter periphery contract that wraps ETH before calling OwnVault. Core contracts remain ERC20-only.</w:t>
      </w:r>
    </w:p>
    <w:p>
      <w:pPr>
        <w:pStyle w:val="ListParagraph"/>
        <w:numPr>
          <w:ilvl w:val="0"/>
          <w:numId w:val="2"/>
        </w:numPr>
        <w:spacing w:after="80" w:line="276"/>
      </w:pPr>
      <w:r>
        <w:rPr>
          <w:rFonts w:ascii="Arial" w:cs="Arial" w:eastAsia="Arial" w:hAnsi="Arial"/>
          <w:b/>
          <w:bCs/>
          <w:color w:val="2C3E50"/>
          <w:sz w:val="22"/>
          <w:szCs w:val="22"/>
        </w:rPr>
        <w:t xml:space="preserve">Morpho looping: </w:t>
      </w:r>
      <w:r>
        <w:rPr>
          <w:rFonts w:ascii="Arial" w:cs="Arial" w:eastAsia="Arial" w:hAnsi="Arial"/>
          <w:color w:val="2C3E50"/>
          <w:sz w:val="22"/>
          <w:szCs w:val="22"/>
        </w:rPr>
        <w:t xml:space="preserve">eTokens are already standard ERC20s. No protocol changes needed — create a Morpho Blue market with eToken as collateral and USDC as loan asset.</w:t>
      </w:r>
    </w:p>
    <w:p>
      <w:pPr>
        <w:pStyle w:val="ListParagraph"/>
        <w:numPr>
          <w:ilvl w:val="0"/>
          <w:numId w:val="2"/>
        </w:numPr>
        <w:spacing w:after="80" w:line="276"/>
      </w:pPr>
      <w:r>
        <w:rPr>
          <w:rFonts w:ascii="Arial" w:cs="Arial" w:eastAsia="Arial" w:hAnsi="Arial"/>
          <w:b/>
          <w:bCs/>
          <w:color w:val="2C3E50"/>
          <w:sz w:val="22"/>
          <w:szCs w:val="22"/>
        </w:rPr>
        <w:t xml:space="preserve">Token splits: </w:t>
      </w:r>
      <w:r>
        <w:rPr>
          <w:rFonts w:ascii="Arial" w:cs="Arial" w:eastAsia="Arial" w:hAnsi="Arial"/>
          <w:color w:val="2C3E50"/>
          <w:sz w:val="22"/>
          <w:szCs w:val="22"/>
        </w:rPr>
        <w:t xml:space="preserve">Deploy a SplitMigrator contract. Protocol pauses minting for the asset, SplitMigrator burns old tokens and issues new ones at the split ratio. Holders claim via the migrator.</w:t>
      </w:r>
    </w:p>
    <w:p>
      <w:pPr>
        <w:pStyle w:val="Heading1"/>
      </w:pPr>
      <w:r>
        <w:rPr>
          <w:rFonts w:ascii="Arial" w:cs="Arial" w:eastAsia="Arial" w:hAnsi="Arial"/>
        </w:rPr>
        <w:t xml:space="preserve">9. MVP Build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Core contracts</w:t>
            </w:r>
          </w:p>
        </w:tc>
        <w:tc>
          <w:tcPr>
            <w:tcW w:type="dxa" w:w="5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OwnVault (mint/redeem/collateral), eToken, AssetRegistry, OracleVerifier interfaces and implementations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Vault management + liquidation</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VaultManager (curator controls, halt logic), LiquidationEngine (health check, DEX swap stub), fee accounting</w:t>
            </w:r>
          </w:p>
        </w:tc>
      </w:tr>
      <w:tr>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Integration + oracle backend</w:t>
            </w:r>
          </w:p>
        </w:tc>
        <w:tc>
          <w:tcPr>
            <w:tcW w:type="dxa" w:w="5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End-to-end mint/redeem flow, signed oracle API, frontend integration, Foundry integration tests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Testing + hardening</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Invariant tests (Foundry), edge case tests (insufficient buffer, liquidation, halt/resume, oracle staleness), gas optimisation</w:t>
            </w:r>
          </w:p>
        </w:tc>
      </w:tr>
      <w:tr>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5–8</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Audit preparation</w:t>
            </w:r>
          </w:p>
        </w:tc>
        <w:tc>
          <w:tcPr>
            <w:tcW w:type="dxa" w:w="5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Natspec documentation, deployment scripts, test coverage &gt;95%, internal review, fix findings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9–12</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Audit + mainnet</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External audit, fix findings, testnet deployment, mainnet deployment, monitoring setup</w:t>
            </w:r>
          </w:p>
        </w:tc>
      </w:tr>
    </w:tbl>
    <w:p>
      <w:pPr>
        <w:spacing w:after="60"/>
      </w:pPr>
    </w:p>
    <w:p>
      <w:pPr>
        <w:pStyle w:val="Heading1"/>
      </w:pPr>
      <w:r>
        <w:rPr>
          <w:rFonts w:ascii="Arial" w:cs="Arial" w:eastAsia="Arial" w:hAnsi="Arial"/>
        </w:rPr>
        <w:t xml:space="preserve">10. Key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4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Contract pattern</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Singleton per collateral type</w:t>
            </w:r>
          </w:p>
        </w:tc>
        <w:tc>
          <w:tcPr>
            <w:tcW w:type="dxa" w:w="4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One contract to audit, gas efficient, simpler accounting. Pool isolation achieved via separate deployments.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Oracle model</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Pull-based signed price</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Instant execution, full asset coverage via Yahoo Finance, no onchain gas for price updates. Generic interface for future Pyth/Chainlink.</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Native ETH</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WETH router (periphery)</w:t>
            </w:r>
          </w:p>
        </w:tc>
        <w:tc>
          <w:tcPr>
            <w:tcW w:type="dxa" w:w="4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Core contracts only handle ERC20. Router wraps ETH. Keeps core logic simple and reduces attack surface.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eToken splits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Protocol-level migration</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 split logic in eToken contract. Keeps token simple and auditable. Migration is a rare, admin-triggered event.</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Fee distribution</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Deducted on curator withdrawal</w:t>
            </w:r>
          </w:p>
        </w:tc>
        <w:tc>
          <w:tcPr>
            <w:tcW w:type="dxa" w:w="4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Simplest accounting. No per-tx protocol fee transfer. Curator accumulates, protocol takes cut on exit.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Asset listing</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Protocol-whitelisted</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Admin registers tickers + oracle config. Prevents fake assets, ensures oracle coverage. Permissionless listing is a later goal.</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Redemption fallback</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Sell collateral during market hours</w:t>
            </w:r>
          </w:p>
        </w:tc>
        <w:tc>
          <w:tcPr>
            <w:tcW w:type="dxa" w:w="4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Minters should not wait. Collateral sale ensures instant settlement. Queuing only for non-market hours.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1"/>
      </w:pBdr>
      <w:tabs>
        <w:tab w:val="right" w:pos="9360"/>
      </w:tabs>
      <w:spacing w:before="100"/>
    </w:pPr>
    <w:r>
      <w:rPr>
        <w:rFonts w:ascii="Arial" w:cs="Arial" w:eastAsia="Arial" w:hAnsi="Arial"/>
        <w:color w:val="7F8C8D"/>
        <w:sz w:val="16"/>
        <w:szCs w:val="16"/>
      </w:rPr>
      <w:t xml:space="preserve">Own Protocol — Confidential</w:t>
    </w:r>
    <w:r>
      <w:rPr>
        <w:rFonts w:ascii="Arial" w:cs="Arial" w:eastAsia="Arial" w:hAnsi="Arial"/>
      </w:rPr>
      <w:t xml:space="preserve">	</w:t>
    </w: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2026-03-20T07:39:08.520Z</dcterms:created>
  <dcterms:modified xsi:type="dcterms:W3CDTF">2026-03-20T07:39:08.520Z</dcterms:modified>
</cp:coreProperties>
</file>

<file path=docProps/custom.xml><?xml version="1.0" encoding="utf-8"?>
<Properties xmlns="http://schemas.openxmlformats.org/officeDocument/2006/custom-properties" xmlns:vt="http://schemas.openxmlformats.org/officeDocument/2006/docPropsVTypes"/>
</file>