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4F72"/>
          <w:sz w:val="56"/>
          <w:szCs w:val="56"/>
        </w:rPr>
        <w:t xml:space="preserve">Own Protocol</w:t>
      </w:r>
    </w:p>
    <w:p>
      <w:pPr>
        <w:spacing w:after="40"/>
      </w:pPr>
      <w:r>
        <w:rPr>
          <w:rFonts w:ascii="Arial" w:cs="Arial" w:eastAsia="Arial" w:hAnsi="Arial"/>
          <w:color w:val="2C3E50"/>
          <w:sz w:val="32"/>
          <w:szCs w:val="32"/>
        </w:rPr>
        <w:t xml:space="preserve">Permissionless Tokenized Real-World Assets</w:t>
      </w:r>
    </w:p>
    <w:p>
      <w:pPr>
        <w:pBdr>
          <w:bottom w:val="single" w:color="1B4F72" w:sz="8" w:space="1"/>
        </w:pBdr>
        <w:spacing w:after="200"/>
      </w:pPr>
      <w:r>
        <w:rPr>
          <w:rFonts w:ascii="Arial" w:cs="Arial" w:eastAsia="Arial" w:hAnsi="Arial"/>
          <w:color w:val="7F8C8D"/>
          <w:sz w:val="22"/>
          <w:szCs w:val="22"/>
        </w:rPr>
        <w:t xml:space="preserve">Long-Term Product Vision  |  March 2026</w:t>
      </w:r>
    </w:p>
    <w:p>
      <w:pPr>
        <w:pStyle w:val="Heading1"/>
      </w:pPr>
      <w:r>
        <w:rPr>
          <w:rFonts w:ascii="Arial" w:cs="Arial" w:eastAsia="Arial" w:hAnsi="Arial"/>
        </w:rPr>
        <w:t xml:space="preserve">1. Vision</w:t>
      </w:r>
    </w:p>
    <w:p>
      <w:pPr>
        <w:spacing w:after="120" w:line="276"/>
      </w:pPr>
      <w:r>
        <w:rPr>
          <w:rFonts w:ascii="Arial" w:cs="Arial" w:eastAsia="Arial" w:hAnsi="Arial"/>
          <w:color w:val="2C3E50"/>
          <w:sz w:val="22"/>
          <w:szCs w:val="22"/>
        </w:rPr>
        <w:t xml:space="preserve">Own Protocol enables permissionless tokenized exposure to any real-world asset onchain. Users mint composable ERC20 tokens (eTSLA, eGOLD, eTLT, eEUR) that track the price of their underlying assets, without ever leaving crypto rails. Liquidity providers earn fees and spread by collateralising vaults that back these tokenized assets.</w:t>
      </w:r>
    </w:p>
    <w:p>
      <w:pPr>
        <w:spacing w:after="120" w:line="276"/>
      </w:pPr>
      <w:r>
        <w:rPr>
          <w:rFonts w:ascii="Arial" w:cs="Arial" w:eastAsia="Arial" w:hAnsi="Arial"/>
          <w:color w:val="2C3E50"/>
          <w:sz w:val="22"/>
          <w:szCs w:val="22"/>
        </w:rPr>
        <w:t xml:space="preserve">The long-term goal is to become the universal layer for RWA exposure in DeFi: any asset that trades on any exchange in the world should be mintable as a composable onchain token through Own Protocol.</w:t>
      </w:r>
    </w:p>
    <w:p>
      <w:pPr>
        <w:pStyle w:val="Heading1"/>
      </w:pPr>
      <w:r>
        <w:rPr>
          <w:rFonts w:ascii="Arial" w:cs="Arial" w:eastAsia="Arial" w:hAnsi="Arial"/>
        </w:rPr>
        <w:t xml:space="preserve">2. How It Works</w:t>
      </w:r>
    </w:p>
    <w:p>
      <w:pPr>
        <w:pStyle w:val="Heading2"/>
      </w:pPr>
      <w:r>
        <w:rPr>
          <w:rFonts w:ascii="Arial" w:cs="Arial" w:eastAsia="Arial" w:hAnsi="Arial"/>
        </w:rPr>
        <w:t xml:space="preserve">2.1 Core Participants</w:t>
      </w:r>
    </w:p>
    <w:p>
      <w:pPr>
        <w:pStyle w:val="ListParagraph"/>
        <w:numPr>
          <w:ilvl w:val="0"/>
          <w:numId w:val="2"/>
        </w:numPr>
        <w:spacing w:after="80" w:line="276"/>
      </w:pPr>
      <w:r>
        <w:rPr>
          <w:rFonts w:ascii="Arial" w:cs="Arial" w:eastAsia="Arial" w:hAnsi="Arial"/>
          <w:b/>
          <w:bCs/>
          <w:color w:val="2C3E50"/>
          <w:sz w:val="22"/>
          <w:szCs w:val="22"/>
        </w:rPr>
        <w:t xml:space="preserve">Minters: </w:t>
      </w:r>
      <w:r>
        <w:rPr>
          <w:rFonts w:ascii="Arial" w:cs="Arial" w:eastAsia="Arial" w:hAnsi="Arial"/>
          <w:color w:val="2C3E50"/>
          <w:sz w:val="22"/>
          <w:szCs w:val="22"/>
        </w:rPr>
        <w:t xml:space="preserve">Pay USDC to mint eTokens representing tokenized exposure to a real-world asset. They pay a one-time fee (0.1% + spread) on entry and exit. There is no ongoing holding cost — no funding rate, no interest, no management fee.</w:t>
      </w:r>
    </w:p>
    <w:p>
      <w:pPr>
        <w:pStyle w:val="ListParagraph"/>
        <w:numPr>
          <w:ilvl w:val="0"/>
          <w:numId w:val="2"/>
        </w:numPr>
        <w:spacing w:after="80" w:line="276"/>
      </w:pPr>
      <w:r>
        <w:rPr>
          <w:rFonts w:ascii="Arial" w:cs="Arial" w:eastAsia="Arial" w:hAnsi="Arial"/>
          <w:b/>
          <w:bCs/>
          <w:color w:val="2C3E50"/>
          <w:sz w:val="22"/>
          <w:szCs w:val="22"/>
        </w:rPr>
        <w:t xml:space="preserve">Liquidity Providers (LPs): </w:t>
      </w:r>
      <w:r>
        <w:rPr>
          <w:rFonts w:ascii="Arial" w:cs="Arial" w:eastAsia="Arial" w:hAnsi="Arial"/>
          <w:color w:val="2C3E50"/>
          <w:sz w:val="22"/>
          <w:szCs w:val="22"/>
        </w:rPr>
        <w:t xml:space="preserve">Deposit collateral (ETH, stETH, USDC, aUSDC, or any approved ERC20) into vaults. Their collateral guarantees the protocol’s solvency. LPs earn spread on every mint/redemption plus a share of protocol fees.</w:t>
      </w:r>
    </w:p>
    <w:p>
      <w:pPr>
        <w:pStyle w:val="ListParagraph"/>
        <w:numPr>
          <w:ilvl w:val="0"/>
          <w:numId w:val="2"/>
        </w:numPr>
        <w:spacing w:after="80" w:line="276"/>
      </w:pPr>
      <w:r>
        <w:rPr>
          <w:rFonts w:ascii="Arial" w:cs="Arial" w:eastAsia="Arial" w:hAnsi="Arial"/>
          <w:b/>
          <w:bCs/>
          <w:color w:val="2C3E50"/>
          <w:sz w:val="22"/>
          <w:szCs w:val="22"/>
        </w:rPr>
        <w:t xml:space="preserve">Vault Curators: </w:t>
      </w:r>
      <w:r>
        <w:rPr>
          <w:rFonts w:ascii="Arial" w:cs="Arial" w:eastAsia="Arial" w:hAnsi="Arial"/>
          <w:color w:val="2C3E50"/>
          <w:sz w:val="22"/>
          <w:szCs w:val="22"/>
        </w:rPr>
        <w:t xml:space="preserve">Manage vault parameters (spreads, buffer ratios, risk limits). Curators receive minter USDC into a buffer, deploy it offchain via brokerage accounts to stay delta-neutral, and manage the onchain-to-offchain settlement flow. In private vaults, the LP is also the curator.</w:t>
      </w:r>
    </w:p>
    <w:p>
      <w:pPr>
        <w:pStyle w:val="Heading2"/>
      </w:pPr>
      <w:r>
        <w:rPr>
          <w:rFonts w:ascii="Arial" w:cs="Arial" w:eastAsia="Arial" w:hAnsi="Arial"/>
        </w:rPr>
        <w:t xml:space="preserve">2.2 Lifecycle of a Mint</w:t>
      </w:r>
    </w:p>
    <w:p>
      <w:pPr>
        <w:spacing w:after="120" w:line="276"/>
      </w:pPr>
      <w:r>
        <w:rPr>
          <w:rFonts w:ascii="Arial" w:cs="Arial" w:eastAsia="Arial" w:hAnsi="Arial"/>
          <w:color w:val="2C3E50"/>
          <w:sz w:val="22"/>
          <w:szCs w:val="22"/>
        </w:rPr>
        <w:t xml:space="preserve">During market hours, a minter submits USDC along with a signed oracle price to the protocol. The protocol verifies the price signature and freshness, calculates the eToken amount (USDC / asset price), deducts the 0.1% protocol fee and the vault’s configured spread, mints the eTokens to the minter, and deposits the USDC into the vault’s buffer. The curator then manages the offchain hedge.</w:t>
      </w:r>
    </w:p>
    <w:p>
      <w:pPr>
        <w:spacing w:after="120" w:line="276"/>
      </w:pPr>
      <w:r>
        <w:rPr>
          <w:rFonts w:ascii="Arial" w:cs="Arial" w:eastAsia="Arial" w:hAnsi="Arial"/>
          <w:color w:val="2C3E50"/>
          <w:sz w:val="22"/>
          <w:szCs w:val="22"/>
        </w:rPr>
        <w:t xml:space="preserve">During non-market hours, the curator sets a wider spread (100–300bps) to account for overnight risk. Minters can accept or wait for market open.</w:t>
      </w:r>
    </w:p>
    <w:p>
      <w:pPr>
        <w:pStyle w:val="Heading2"/>
      </w:pPr>
      <w:r>
        <w:rPr>
          <w:rFonts w:ascii="Arial" w:cs="Arial" w:eastAsia="Arial" w:hAnsi="Arial"/>
        </w:rPr>
        <w:t xml:space="preserve">2.3 Lifecycle of a Redemption</w:t>
      </w:r>
    </w:p>
    <w:p>
      <w:pPr>
        <w:spacing w:after="120" w:line="276"/>
      </w:pPr>
      <w:r>
        <w:rPr>
          <w:rFonts w:ascii="Arial" w:cs="Arial" w:eastAsia="Arial" w:hAnsi="Arial"/>
          <w:color w:val="2C3E50"/>
          <w:sz w:val="22"/>
          <w:szCs w:val="22"/>
        </w:rPr>
        <w:t xml:space="preserve">The minter burns eTokens and receives USDC at the current oracle price minus spread and the 0.1% fee. USDC is paid from the vault’s buffer. If the buffer is insufficient during market hours, the protocol sells vault collateral on DEXs to cover the redemption. During non-market hours, redemptions queue until the curator settles or market opens.</w:t>
      </w:r>
    </w:p>
    <w:p>
      <w:pPr>
        <w:pStyle w:val="Heading2"/>
      </w:pPr>
      <w:r>
        <w:rPr>
          <w:rFonts w:ascii="Arial" w:cs="Arial" w:eastAsia="Arial" w:hAnsi="Arial"/>
        </w:rPr>
        <w:t xml:space="preserve">2.4 Collateral and Solvency</w:t>
      </w:r>
    </w:p>
    <w:p>
      <w:pPr>
        <w:spacing w:after="120" w:line="276"/>
      </w:pPr>
      <w:r>
        <w:rPr>
          <w:rFonts w:ascii="Arial" w:cs="Arial" w:eastAsia="Arial" w:hAnsi="Arial"/>
          <w:color w:val="2C3E50"/>
          <w:sz w:val="22"/>
          <w:szCs w:val="22"/>
        </w:rPr>
        <w:t xml:space="preserve">Each vault’s health is measured by its collateral ratio: total collateral value divided by the total notional of all eTokens minted against that vault. The protocol enforces minimum ratios per collateral type (e.g., 110% for USDC, 200% for ETH). If the ratio drops below a liquidation threshold, bots sell vault collateral to restore health. Minters are never affected — their eTokens remain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Collateral Type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Min Collateral Ratio</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Liquidation Threshold</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Liquidation Reward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USDC / USDT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110%</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103%</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1–2%</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aUSDC / sDAI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115%</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105%</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ETH / WETH</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200%</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155%</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5–10%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stETH / rETH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210%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160%</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5–10%</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Volatile ERC20s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270%</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200%</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5–10%</w:t>
            </w:r>
          </w:p>
        </w:tc>
      </w:tr>
    </w:tbl>
    <w:p>
      <w:pPr>
        <w:pStyle w:val="Heading1"/>
      </w:pPr>
      <w:r>
        <w:rPr>
          <w:rFonts w:ascii="Arial" w:cs="Arial" w:eastAsia="Arial" w:hAnsi="Arial"/>
        </w:rPr>
        <w:t xml:space="preserve">3. Oracle Architecture</w:t>
      </w:r>
    </w:p>
    <w:p>
      <w:pPr>
        <w:spacing w:after="120" w:line="276"/>
      </w:pPr>
      <w:r>
        <w:rPr>
          <w:rFonts w:ascii="Arial" w:cs="Arial" w:eastAsia="Arial" w:hAnsi="Arial"/>
          <w:color w:val="2C3E50"/>
          <w:sz w:val="22"/>
          <w:szCs w:val="22"/>
        </w:rPr>
        <w:t xml:space="preserve">Price data is delivered via a pull-based oracle model. The oracle signer fetches prices from market data sources (Yahoo Finance, exchange APIs), signs them with a trusted key, and the minter submits the signed price with their transaction. The contract verifies the signature, checks staleness, and uses the price for the mint/redemption calculation.</w:t>
      </w:r>
    </w:p>
    <w:p>
      <w:pPr>
        <w:spacing w:after="120" w:line="276"/>
      </w:pPr>
      <w:r>
        <w:rPr>
          <w:rFonts w:ascii="Arial" w:cs="Arial" w:eastAsia="Arial" w:hAnsi="Arial"/>
          <w:color w:val="2C3E50"/>
          <w:sz w:val="22"/>
          <w:szCs w:val="22"/>
        </w:rPr>
        <w:t xml:space="preserve">The oracle interface is generic and supports multiple backends:</w:t>
      </w:r>
    </w:p>
    <w:p>
      <w:pPr>
        <w:pStyle w:val="ListParagraph"/>
        <w:numPr>
          <w:ilvl w:val="0"/>
          <w:numId w:val="2"/>
        </w:numPr>
        <w:spacing w:after="80" w:line="276"/>
      </w:pPr>
      <w:r>
        <w:rPr>
          <w:rFonts w:ascii="Arial" w:cs="Arial" w:eastAsia="Arial" w:hAnsi="Arial"/>
          <w:b/>
          <w:bCs/>
          <w:color w:val="2C3E50"/>
          <w:sz w:val="22"/>
          <w:szCs w:val="22"/>
        </w:rPr>
        <w:t xml:space="preserve">Own Signed Oracle (MVP): </w:t>
      </w:r>
      <w:r>
        <w:rPr>
          <w:rFonts w:ascii="Arial" w:cs="Arial" w:eastAsia="Arial" w:hAnsi="Arial"/>
          <w:color w:val="2C3E50"/>
          <w:sz w:val="22"/>
          <w:szCs w:val="22"/>
        </w:rPr>
        <w:t xml:space="preserve">Protocol-operated signer. Instant, full asset coverage for anything on Yahoo Finance.</w:t>
      </w:r>
    </w:p>
    <w:p>
      <w:pPr>
        <w:pStyle w:val="ListParagraph"/>
        <w:numPr>
          <w:ilvl w:val="0"/>
          <w:numId w:val="2"/>
        </w:numPr>
        <w:spacing w:after="80" w:line="276"/>
      </w:pPr>
      <w:r>
        <w:rPr>
          <w:rFonts w:ascii="Arial" w:cs="Arial" w:eastAsia="Arial" w:hAnsi="Arial"/>
          <w:b/>
          <w:bCs/>
          <w:color w:val="2C3E50"/>
          <w:sz w:val="22"/>
          <w:szCs w:val="22"/>
        </w:rPr>
        <w:t xml:space="preserve">Curator-Operated Oracles: </w:t>
      </w:r>
      <w:r>
        <w:rPr>
          <w:rFonts w:ascii="Arial" w:cs="Arial" w:eastAsia="Arial" w:hAnsi="Arial"/>
          <w:color w:val="2C3E50"/>
          <w:sz w:val="22"/>
          <w:szCs w:val="22"/>
        </w:rPr>
        <w:t xml:space="preserve">Curators run their own signers, decentralising price provision. Vault defines which signers it trusts.</w:t>
      </w:r>
    </w:p>
    <w:p>
      <w:pPr>
        <w:pStyle w:val="ListParagraph"/>
        <w:numPr>
          <w:ilvl w:val="0"/>
          <w:numId w:val="2"/>
        </w:numPr>
        <w:spacing w:after="80" w:line="276"/>
      </w:pPr>
      <w:r>
        <w:rPr>
          <w:rFonts w:ascii="Arial" w:cs="Arial" w:eastAsia="Arial" w:hAnsi="Arial"/>
          <w:b/>
          <w:bCs/>
          <w:color w:val="2C3E50"/>
          <w:sz w:val="22"/>
          <w:szCs w:val="22"/>
        </w:rPr>
        <w:t xml:space="preserve">Pyth Network: </w:t>
      </w:r>
      <w:r>
        <w:rPr>
          <w:rFonts w:ascii="Arial" w:cs="Arial" w:eastAsia="Arial" w:hAnsi="Arial"/>
          <w:color w:val="2C3E50"/>
          <w:sz w:val="22"/>
          <w:szCs w:val="22"/>
        </w:rPr>
        <w:t xml:space="preserve">Integration for major assets where Pyth has coverage. Used as a secondary validation layer.</w:t>
      </w:r>
    </w:p>
    <w:p>
      <w:pPr>
        <w:pStyle w:val="ListParagraph"/>
        <w:numPr>
          <w:ilvl w:val="0"/>
          <w:numId w:val="2"/>
        </w:numPr>
        <w:spacing w:after="80" w:line="276"/>
      </w:pPr>
      <w:r>
        <w:rPr>
          <w:rFonts w:ascii="Arial" w:cs="Arial" w:eastAsia="Arial" w:hAnsi="Arial"/>
          <w:b/>
          <w:bCs/>
          <w:color w:val="2C3E50"/>
          <w:sz w:val="22"/>
          <w:szCs w:val="22"/>
        </w:rPr>
        <w:t xml:space="preserve">Chainlink: </w:t>
      </w:r>
      <w:r>
        <w:rPr>
          <w:rFonts w:ascii="Arial" w:cs="Arial" w:eastAsia="Arial" w:hAnsi="Arial"/>
          <w:color w:val="2C3E50"/>
          <w:sz w:val="22"/>
          <w:szCs w:val="22"/>
        </w:rPr>
        <w:t xml:space="preserve">Supported via the same generic interface for assets with Chainlink feeds.</w:t>
      </w:r>
    </w:p>
    <w:p>
      <w:pPr>
        <w:spacing w:after="120" w:line="276"/>
      </w:pPr>
      <w:r>
        <w:rPr>
          <w:rFonts w:ascii="Arial" w:cs="Arial" w:eastAsia="Arial" w:hAnsi="Arial"/>
          <w:color w:val="2C3E50"/>
          <w:sz w:val="22"/>
          <w:szCs w:val="22"/>
        </w:rPr>
        <w:t xml:space="preserve">Staleness thresholds are configurable per asset. Multi-signer support (M-of-N) is planned for production hardening.</w:t>
      </w:r>
    </w:p>
    <w:p>
      <w:pPr>
        <w:pStyle w:val="Heading1"/>
      </w:pPr>
      <w:r>
        <w:rPr>
          <w:rFonts w:ascii="Arial" w:cs="Arial" w:eastAsia="Arial" w:hAnsi="Arial"/>
        </w:rPr>
        <w:t xml:space="preserve">4. Vault Architecture</w:t>
      </w:r>
    </w:p>
    <w:p>
      <w:pPr>
        <w:spacing w:after="120" w:line="276"/>
      </w:pPr>
      <w:r>
        <w:rPr>
          <w:rFonts w:ascii="Arial" w:cs="Arial" w:eastAsia="Arial" w:hAnsi="Arial"/>
          <w:color w:val="2C3E50"/>
          <w:sz w:val="22"/>
          <w:szCs w:val="22"/>
        </w:rPr>
        <w:t xml:space="preserve">Vaults are the core liquidity primitive. Each vault holds collateral of a single type and can back any whitelisted eToken. Vaults come in two modes:</w:t>
      </w:r>
    </w:p>
    <w:p>
      <w:pPr>
        <w:pStyle w:val="ListParagraph"/>
        <w:numPr>
          <w:ilvl w:val="0"/>
          <w:numId w:val="2"/>
        </w:numPr>
        <w:spacing w:after="80" w:line="276"/>
      </w:pPr>
      <w:r>
        <w:rPr>
          <w:rFonts w:ascii="Arial" w:cs="Arial" w:eastAsia="Arial" w:hAnsi="Arial"/>
          <w:b/>
          <w:bCs/>
          <w:color w:val="2C3E50"/>
          <w:sz w:val="22"/>
          <w:szCs w:val="22"/>
        </w:rPr>
        <w:t xml:space="preserve">Public Vaults: </w:t>
      </w:r>
      <w:r>
        <w:rPr>
          <w:rFonts w:ascii="Arial" w:cs="Arial" w:eastAsia="Arial" w:hAnsi="Arial"/>
          <w:color w:val="2C3E50"/>
          <w:sz w:val="22"/>
          <w:szCs w:val="22"/>
        </w:rPr>
        <w:t xml:space="preserve">Multiple LPs deposit collateral into a shared vault managed by a curator. The curator handles offchain hedging and parameter management. LPs earn fees pro-rata based on their share of the vault.</w:t>
      </w:r>
    </w:p>
    <w:p>
      <w:pPr>
        <w:pStyle w:val="ListParagraph"/>
        <w:numPr>
          <w:ilvl w:val="0"/>
          <w:numId w:val="2"/>
        </w:numPr>
        <w:spacing w:after="80" w:line="276"/>
      </w:pPr>
      <w:r>
        <w:rPr>
          <w:rFonts w:ascii="Arial" w:cs="Arial" w:eastAsia="Arial" w:hAnsi="Arial"/>
          <w:b/>
          <w:bCs/>
          <w:color w:val="2C3E50"/>
          <w:sz w:val="22"/>
          <w:szCs w:val="22"/>
        </w:rPr>
        <w:t xml:space="preserve">Private Vaults: </w:t>
      </w:r>
      <w:r>
        <w:rPr>
          <w:rFonts w:ascii="Arial" w:cs="Arial" w:eastAsia="Arial" w:hAnsi="Arial"/>
          <w:color w:val="2C3E50"/>
          <w:sz w:val="22"/>
          <w:szCs w:val="22"/>
        </w:rPr>
        <w:t xml:space="preserve">A single LP runs their own vault. They are both LP and curator. Maximum control, no trust delegation.</w:t>
      </w:r>
    </w:p>
    <w:p>
      <w:pPr>
        <w:spacing w:after="120" w:line="276"/>
      </w:pPr>
      <w:r>
        <w:rPr>
          <w:rFonts w:ascii="Arial" w:cs="Arial" w:eastAsia="Arial" w:hAnsi="Arial"/>
          <w:color w:val="2C3E50"/>
          <w:sz w:val="22"/>
          <w:szCs w:val="22"/>
        </w:rPr>
        <w:t xml:space="preserve">Multiple vaults can back the same eToken. The eToken is fungible regardless of which vault minted it. The protocol maintains a registry mapping each vault’s share of each eToken’s total supply. Redemptions are routed to the vault with the most available buffer, with more sophisticated routing algorithms planned.</w:t>
      </w:r>
    </w:p>
    <w:p>
      <w:pPr>
        <w:pStyle w:val="Heading1"/>
      </w:pPr>
      <w:r>
        <w:rPr>
          <w:rFonts w:ascii="Arial" w:cs="Arial" w:eastAsia="Arial" w:hAnsi="Arial"/>
        </w:rPr>
        <w:t xml:space="preserve">5. eToken Design</w:t>
      </w:r>
    </w:p>
    <w:p>
      <w:pPr>
        <w:spacing w:after="120" w:line="276"/>
      </w:pPr>
      <w:r>
        <w:rPr>
          <w:rFonts w:ascii="Arial" w:cs="Arial" w:eastAsia="Arial" w:hAnsi="Arial"/>
          <w:color w:val="2C3E50"/>
          <w:sz w:val="22"/>
          <w:szCs w:val="22"/>
        </w:rPr>
        <w:t xml:space="preserve">eTokens are standard ERC20 tokens with ERC-2612 Permit support. Each token (eTSLA, eGOLD, eTLT, etc.) is a separate contract deployed by the protocol when a new asset is whitelisted. They are fully composable: tradeable on DEXs, depositable on Morpho as collateral, usable in any DeFi protocol that accepts ERC20s.</w:t>
      </w:r>
    </w:p>
    <w:p>
      <w:pPr>
        <w:spacing w:after="120" w:line="276"/>
      </w:pPr>
      <w:r>
        <w:rPr>
          <w:rFonts w:ascii="Arial" w:cs="Arial" w:eastAsia="Arial" w:hAnsi="Arial"/>
          <w:color w:val="2C3E50"/>
          <w:sz w:val="22"/>
          <w:szCs w:val="22"/>
        </w:rPr>
        <w:t xml:space="preserve">Token splits (e.g., a stock split on TSLA) are handled at the protocol level: the protocol burns existing tokens and issues new ones at the updated ratio. Holders claim their updated balance through a migration contract.</w:t>
      </w:r>
    </w:p>
    <w:p>
      <w:pPr>
        <w:pStyle w:val="Heading1"/>
      </w:pPr>
      <w:r>
        <w:rPr>
          <w:rFonts w:ascii="Arial" w:cs="Arial" w:eastAsia="Arial" w:hAnsi="Arial"/>
        </w:rPr>
        <w:t xml:space="preserve">6. Leverage via Morpho</w:t>
      </w:r>
    </w:p>
    <w:p>
      <w:pPr>
        <w:spacing w:after="120" w:line="276"/>
      </w:pPr>
      <w:r>
        <w:rPr>
          <w:rFonts w:ascii="Arial" w:cs="Arial" w:eastAsia="Arial" w:hAnsi="Arial"/>
          <w:color w:val="2C3E50"/>
          <w:sz w:val="22"/>
          <w:szCs w:val="22"/>
        </w:rPr>
        <w:t xml:space="preserve">eTokens can be deposited on Morpho Blue as collateral to borrow USDC, which is then used to mint more eTokens. This looping enables up to 5x leveraged exposure. The key advantage over perpetual futures: no ongoing funding rate. A minter pays the 0.1% + spread on each loop iteration and then holds indefinitely at zero cost (minus Morpho borrow interest, which is typically lower than perp funding rates).</w:t>
      </w:r>
    </w:p>
    <w:p>
      <w:pPr>
        <w:spacing w:after="120" w:line="276"/>
      </w:pPr>
      <w:r>
        <w:rPr>
          <w:rFonts w:ascii="Arial" w:cs="Arial" w:eastAsia="Arial" w:hAnsi="Arial"/>
          <w:color w:val="2C3E50"/>
          <w:sz w:val="22"/>
          <w:szCs w:val="22"/>
        </w:rPr>
        <w:t xml:space="preserve">This is a primary volume generation mechanism. Each leverage loop multiplies the protocol’s mint volume and fee revenue.</w:t>
      </w:r>
    </w:p>
    <w:p>
      <w:pPr>
        <w:pStyle w:val="Heading1"/>
      </w:pPr>
      <w:r>
        <w:rPr>
          <w:rFonts w:ascii="Arial" w:cs="Arial" w:eastAsia="Arial" w:hAnsi="Arial"/>
        </w:rPr>
        <w:t xml:space="preserve">7. Competitive Position</w:t>
      </w:r>
    </w:p>
    <w:p>
      <w:pPr>
        <w:spacing w:after="120" w:line="276"/>
      </w:pPr>
      <w:r>
        <w:rPr>
          <w:rFonts w:ascii="Arial" w:cs="Arial" w:eastAsia="Arial" w:hAnsi="Arial"/>
          <w:color w:val="2C3E50"/>
          <w:sz w:val="22"/>
          <w:szCs w:val="22"/>
        </w:rPr>
        <w:t xml:space="preserve">Own Protocol occupies a unique position in the market:</w:t>
      </w:r>
    </w:p>
    <w:p>
      <w:pPr>
        <w:pStyle w:val="ListParagraph"/>
        <w:numPr>
          <w:ilvl w:val="0"/>
          <w:numId w:val="2"/>
        </w:numPr>
        <w:spacing w:after="80" w:line="276"/>
      </w:pPr>
      <w:r>
        <w:rPr>
          <w:rFonts w:ascii="Arial" w:cs="Arial" w:eastAsia="Arial" w:hAnsi="Arial"/>
          <w:b/>
          <w:bCs/>
          <w:color w:val="2C3E50"/>
          <w:sz w:val="22"/>
          <w:szCs w:val="22"/>
        </w:rPr>
        <w:t xml:space="preserve">vs Centralized Issuers (Ondo, xStocks): </w:t>
      </w:r>
      <w:r>
        <w:rPr>
          <w:rFonts w:ascii="Arial" w:cs="Arial" w:eastAsia="Arial" w:hAnsi="Arial"/>
          <w:color w:val="2C3E50"/>
          <w:sz w:val="22"/>
          <w:szCs w:val="22"/>
        </w:rPr>
        <w:t xml:space="preserve">Own is permissionless (no KYC, no curator gatekeeping for asset listing), fully composable (eTokens work everywhere), and offers leverage via Morpho. Centralized issuers have restricted transfers, whitelisted integrations, and no leverage.</w:t>
      </w:r>
    </w:p>
    <w:p>
      <w:pPr>
        <w:pStyle w:val="ListParagraph"/>
        <w:numPr>
          <w:ilvl w:val="0"/>
          <w:numId w:val="2"/>
        </w:numPr>
        <w:spacing w:after="80" w:line="276"/>
      </w:pPr>
      <w:r>
        <w:rPr>
          <w:rFonts w:ascii="Arial" w:cs="Arial" w:eastAsia="Arial" w:hAnsi="Arial"/>
          <w:b/>
          <w:bCs/>
          <w:color w:val="2C3E50"/>
          <w:sz w:val="22"/>
          <w:szCs w:val="22"/>
        </w:rPr>
        <w:t xml:space="preserve">vs Perpetual DEXs (Hyperliquid, Ostium): </w:t>
      </w:r>
      <w:r>
        <w:rPr>
          <w:rFonts w:ascii="Arial" w:cs="Arial" w:eastAsia="Arial" w:hAnsi="Arial"/>
          <w:color w:val="2C3E50"/>
          <w:sz w:val="22"/>
          <w:szCs w:val="22"/>
        </w:rPr>
        <w:t xml:space="preserve">Own has zero ongoing holding cost (no funding rate), outputs a transferable ERC20 (not a locked position), and minters face no liquidation risk. Perps are better for short-term trading; Own is better for positions held days to months.</w:t>
      </w:r>
    </w:p>
    <w:p>
      <w:pPr>
        <w:pStyle w:val="ListParagraph"/>
        <w:numPr>
          <w:ilvl w:val="0"/>
          <w:numId w:val="2"/>
        </w:numPr>
        <w:spacing w:after="80" w:line="276"/>
      </w:pPr>
      <w:r>
        <w:rPr>
          <w:rFonts w:ascii="Arial" w:cs="Arial" w:eastAsia="Arial" w:hAnsi="Arial"/>
          <w:b/>
          <w:bCs/>
          <w:color w:val="2C3E50"/>
          <w:sz w:val="22"/>
          <w:szCs w:val="22"/>
        </w:rPr>
        <w:t xml:space="preserve">vs Synthetix: </w:t>
      </w:r>
      <w:r>
        <w:rPr>
          <w:rFonts w:ascii="Arial" w:cs="Arial" w:eastAsia="Arial" w:hAnsi="Arial"/>
          <w:color w:val="2C3E50"/>
          <w:sz w:val="22"/>
          <w:szCs w:val="22"/>
        </w:rPr>
        <w:t xml:space="preserve">Own is simpler (no SNX staking requirement, no debt pool socialisation), permissionless for asset listing, and directly composable with Morpho for leverage.</w:t>
      </w:r>
    </w:p>
    <w:p>
      <w:pPr>
        <w:pStyle w:val="Heading1"/>
      </w:pPr>
      <w:r>
        <w:rPr>
          <w:rFonts w:ascii="Arial" w:cs="Arial" w:eastAsia="Arial" w:hAnsi="Arial"/>
        </w:rPr>
        <w:t xml:space="preserve">8. Long-Term Roadmap</w:t>
      </w:r>
    </w:p>
    <w:p>
      <w:pPr>
        <w:pStyle w:val="Heading2"/>
      </w:pPr>
      <w:r>
        <w:rPr>
          <w:rFonts w:ascii="Arial" w:cs="Arial" w:eastAsia="Arial" w:hAnsi="Arial"/>
        </w:rPr>
        <w:t xml:space="preserve">8.1 Phase 1: Foundation (Q1–Q2 2026)</w:t>
      </w:r>
    </w:p>
    <w:p>
      <w:pPr>
        <w:pStyle w:val="ListParagraph"/>
        <w:numPr>
          <w:ilvl w:val="0"/>
          <w:numId w:val="2"/>
        </w:numPr>
        <w:spacing w:after="80" w:line="276"/>
      </w:pPr>
      <w:r>
        <w:rPr>
          <w:rFonts w:ascii="Arial" w:cs="Arial" w:eastAsia="Arial" w:hAnsi="Arial"/>
          <w:color w:val="2C3E50"/>
          <w:sz w:val="22"/>
          <w:szCs w:val="22"/>
        </w:rPr>
        <w:t xml:space="preserve">Single vault (USDC collateral), protocol-operated oracle</w:t>
      </w:r>
    </w:p>
    <w:p>
      <w:pPr>
        <w:pStyle w:val="ListParagraph"/>
        <w:numPr>
          <w:ilvl w:val="0"/>
          <w:numId w:val="2"/>
        </w:numPr>
        <w:spacing w:after="80" w:line="276"/>
      </w:pPr>
      <w:r>
        <w:rPr>
          <w:rFonts w:ascii="Arial" w:cs="Arial" w:eastAsia="Arial" w:hAnsi="Arial"/>
          <w:color w:val="2C3E50"/>
          <w:sz w:val="22"/>
          <w:szCs w:val="22"/>
        </w:rPr>
        <w:t xml:space="preserve">Core mint/redeem flow with signed price oracle</w:t>
      </w:r>
    </w:p>
    <w:p>
      <w:pPr>
        <w:pStyle w:val="ListParagraph"/>
        <w:numPr>
          <w:ilvl w:val="0"/>
          <w:numId w:val="2"/>
        </w:numPr>
        <w:spacing w:after="80" w:line="276"/>
      </w:pPr>
      <w:r>
        <w:rPr>
          <w:rFonts w:ascii="Arial" w:cs="Arial" w:eastAsia="Arial" w:hAnsi="Arial"/>
          <w:color w:val="2C3E50"/>
          <w:sz w:val="22"/>
          <w:szCs w:val="22"/>
        </w:rPr>
        <w:t xml:space="preserve">Liquidation engine for vault collateral health</w:t>
      </w:r>
    </w:p>
    <w:p>
      <w:pPr>
        <w:pStyle w:val="ListParagraph"/>
        <w:numPr>
          <w:ilvl w:val="0"/>
          <w:numId w:val="2"/>
        </w:numPr>
        <w:spacing w:after="80" w:line="276"/>
      </w:pPr>
      <w:r>
        <w:rPr>
          <w:rFonts w:ascii="Arial" w:cs="Arial" w:eastAsia="Arial" w:hAnsi="Arial"/>
          <w:color w:val="2C3E50"/>
          <w:sz w:val="22"/>
          <w:szCs w:val="22"/>
        </w:rPr>
        <w:t xml:space="preserve">Protocol-whitelisted asset list (US equities, major ETFs, gold, FX)</w:t>
      </w:r>
    </w:p>
    <w:p>
      <w:pPr>
        <w:pStyle w:val="ListParagraph"/>
        <w:numPr>
          <w:ilvl w:val="0"/>
          <w:numId w:val="2"/>
        </w:numPr>
        <w:spacing w:after="80" w:line="276"/>
      </w:pPr>
      <w:r>
        <w:rPr>
          <w:rFonts w:ascii="Arial" w:cs="Arial" w:eastAsia="Arial" w:hAnsi="Arial"/>
          <w:color w:val="2C3E50"/>
          <w:sz w:val="22"/>
          <w:szCs w:val="22"/>
        </w:rPr>
        <w:t xml:space="preserve">TQQQ as flagship launch asset</w:t>
      </w:r>
    </w:p>
    <w:p>
      <w:pPr>
        <w:pStyle w:val="Heading2"/>
      </w:pPr>
      <w:r>
        <w:rPr>
          <w:rFonts w:ascii="Arial" w:cs="Arial" w:eastAsia="Arial" w:hAnsi="Arial"/>
        </w:rPr>
        <w:t xml:space="preserve">8.2 Phase 2: Multi-Collateral &amp; Leverage (Q3 2026)</w:t>
      </w:r>
    </w:p>
    <w:p>
      <w:pPr>
        <w:pStyle w:val="ListParagraph"/>
        <w:numPr>
          <w:ilvl w:val="0"/>
          <w:numId w:val="2"/>
        </w:numPr>
        <w:spacing w:after="80" w:line="276"/>
      </w:pPr>
      <w:r>
        <w:rPr>
          <w:rFonts w:ascii="Arial" w:cs="Arial" w:eastAsia="Arial" w:hAnsi="Arial"/>
          <w:color w:val="2C3E50"/>
          <w:sz w:val="22"/>
          <w:szCs w:val="22"/>
        </w:rPr>
        <w:t xml:space="preserve">Multi-collateral vault support (ETH, stETH, aUSDC)</w:t>
      </w:r>
    </w:p>
    <w:p>
      <w:pPr>
        <w:pStyle w:val="ListParagraph"/>
        <w:numPr>
          <w:ilvl w:val="0"/>
          <w:numId w:val="2"/>
        </w:numPr>
        <w:spacing w:after="80" w:line="276"/>
      </w:pPr>
      <w:r>
        <w:rPr>
          <w:rFonts w:ascii="Arial" w:cs="Arial" w:eastAsia="Arial" w:hAnsi="Arial"/>
          <w:color w:val="2C3E50"/>
          <w:sz w:val="22"/>
          <w:szCs w:val="22"/>
        </w:rPr>
        <w:t xml:space="preserve">WETH router for native ETH deposits</w:t>
      </w:r>
    </w:p>
    <w:p>
      <w:pPr>
        <w:pStyle w:val="ListParagraph"/>
        <w:numPr>
          <w:ilvl w:val="0"/>
          <w:numId w:val="2"/>
        </w:numPr>
        <w:spacing w:after="80" w:line="276"/>
      </w:pPr>
      <w:r>
        <w:rPr>
          <w:rFonts w:ascii="Arial" w:cs="Arial" w:eastAsia="Arial" w:hAnsi="Arial"/>
          <w:color w:val="2C3E50"/>
          <w:sz w:val="22"/>
          <w:szCs w:val="22"/>
        </w:rPr>
        <w:t xml:space="preserve">Morpho Blue integration for eToken leverage looping</w:t>
      </w:r>
    </w:p>
    <w:p>
      <w:pPr>
        <w:pStyle w:val="ListParagraph"/>
        <w:numPr>
          <w:ilvl w:val="0"/>
          <w:numId w:val="2"/>
        </w:numPr>
        <w:spacing w:after="80" w:line="276"/>
      </w:pPr>
      <w:r>
        <w:rPr>
          <w:rFonts w:ascii="Arial" w:cs="Arial" w:eastAsia="Arial" w:hAnsi="Arial"/>
          <w:color w:val="2C3E50"/>
          <w:sz w:val="22"/>
          <w:szCs w:val="22"/>
        </w:rPr>
        <w:t xml:space="preserve">Redemption routing across multiple vaults</w:t>
      </w:r>
    </w:p>
    <w:p>
      <w:pPr>
        <w:pStyle w:val="Heading2"/>
      </w:pPr>
      <w:r>
        <w:rPr>
          <w:rFonts w:ascii="Arial" w:cs="Arial" w:eastAsia="Arial" w:hAnsi="Arial"/>
        </w:rPr>
        <w:t xml:space="preserve">8.3 Phase 3: Decentralisation (Q4 2026)</w:t>
      </w:r>
    </w:p>
    <w:p>
      <w:pPr>
        <w:pStyle w:val="ListParagraph"/>
        <w:numPr>
          <w:ilvl w:val="0"/>
          <w:numId w:val="2"/>
        </w:numPr>
        <w:spacing w:after="80" w:line="276"/>
      </w:pPr>
      <w:r>
        <w:rPr>
          <w:rFonts w:ascii="Arial" w:cs="Arial" w:eastAsia="Arial" w:hAnsi="Arial"/>
          <w:color w:val="2C3E50"/>
          <w:sz w:val="22"/>
          <w:szCs w:val="22"/>
        </w:rPr>
        <w:t xml:space="preserve">Curator-operated oracle signers (multi-signer M-of-N)</w:t>
      </w:r>
    </w:p>
    <w:p>
      <w:pPr>
        <w:pStyle w:val="ListParagraph"/>
        <w:numPr>
          <w:ilvl w:val="0"/>
          <w:numId w:val="2"/>
        </w:numPr>
        <w:spacing w:after="80" w:line="276"/>
      </w:pPr>
      <w:r>
        <w:rPr>
          <w:rFonts w:ascii="Arial" w:cs="Arial" w:eastAsia="Arial" w:hAnsi="Arial"/>
          <w:color w:val="2C3E50"/>
          <w:sz w:val="22"/>
          <w:szCs w:val="22"/>
        </w:rPr>
        <w:t xml:space="preserve">ZK proofs for offchain fund attestation</w:t>
      </w:r>
    </w:p>
    <w:p>
      <w:pPr>
        <w:pStyle w:val="ListParagraph"/>
        <w:numPr>
          <w:ilvl w:val="0"/>
          <w:numId w:val="2"/>
        </w:numPr>
        <w:spacing w:after="80" w:line="276"/>
      </w:pPr>
      <w:r>
        <w:rPr>
          <w:rFonts w:ascii="Arial" w:cs="Arial" w:eastAsia="Arial" w:hAnsi="Arial"/>
          <w:color w:val="2C3E50"/>
          <w:sz w:val="22"/>
          <w:szCs w:val="22"/>
        </w:rPr>
        <w:t xml:space="preserve">Public vault model with curator delegation</w:t>
      </w:r>
    </w:p>
    <w:p>
      <w:pPr>
        <w:pStyle w:val="ListParagraph"/>
        <w:numPr>
          <w:ilvl w:val="0"/>
          <w:numId w:val="2"/>
        </w:numPr>
        <w:spacing w:after="80" w:line="276"/>
      </w:pPr>
      <w:r>
        <w:rPr>
          <w:rFonts w:ascii="Arial" w:cs="Arial" w:eastAsia="Arial" w:hAnsi="Arial"/>
          <w:color w:val="2C3E50"/>
          <w:sz w:val="22"/>
          <w:szCs w:val="22"/>
        </w:rPr>
        <w:t xml:space="preserve">Pyth Network integration as secondary oracle</w:t>
      </w:r>
    </w:p>
    <w:p>
      <w:pPr>
        <w:pStyle w:val="Heading2"/>
      </w:pPr>
      <w:r>
        <w:rPr>
          <w:rFonts w:ascii="Arial" w:cs="Arial" w:eastAsia="Arial" w:hAnsi="Arial"/>
        </w:rPr>
        <w:t xml:space="preserve">8.4 Phase 4: Global Coverage (2027+)</w:t>
      </w:r>
    </w:p>
    <w:p>
      <w:pPr>
        <w:pStyle w:val="ListParagraph"/>
        <w:numPr>
          <w:ilvl w:val="0"/>
          <w:numId w:val="2"/>
        </w:numPr>
        <w:spacing w:after="80" w:line="276"/>
      </w:pPr>
      <w:r>
        <w:rPr>
          <w:rFonts w:ascii="Arial" w:cs="Arial" w:eastAsia="Arial" w:hAnsi="Arial"/>
          <w:color w:val="2C3E50"/>
          <w:sz w:val="22"/>
          <w:szCs w:val="22"/>
        </w:rPr>
        <w:t xml:space="preserve">Non-US market support (Chinese, Japanese, European exchanges)</w:t>
      </w:r>
    </w:p>
    <w:p>
      <w:pPr>
        <w:pStyle w:val="ListParagraph"/>
        <w:numPr>
          <w:ilvl w:val="0"/>
          <w:numId w:val="2"/>
        </w:numPr>
        <w:spacing w:after="80" w:line="276"/>
      </w:pPr>
      <w:r>
        <w:rPr>
          <w:rFonts w:ascii="Arial" w:cs="Arial" w:eastAsia="Arial" w:hAnsi="Arial"/>
          <w:color w:val="2C3E50"/>
          <w:sz w:val="22"/>
          <w:szCs w:val="22"/>
        </w:rPr>
        <w:t xml:space="preserve">Multi-region vault isolation (separate vaults per market jurisdiction)</w:t>
      </w:r>
    </w:p>
    <w:p>
      <w:pPr>
        <w:pStyle w:val="ListParagraph"/>
        <w:numPr>
          <w:ilvl w:val="0"/>
          <w:numId w:val="2"/>
        </w:numPr>
        <w:spacing w:after="80" w:line="276"/>
      </w:pPr>
      <w:r>
        <w:rPr>
          <w:rFonts w:ascii="Arial" w:cs="Arial" w:eastAsia="Arial" w:hAnsi="Arial"/>
          <w:color w:val="2C3E50"/>
          <w:sz w:val="22"/>
          <w:szCs w:val="22"/>
        </w:rPr>
        <w:t xml:space="preserve">Permissionless asset listing (anyone can list if oracle supports it)</w:t>
      </w:r>
    </w:p>
    <w:p>
      <w:pPr>
        <w:pStyle w:val="ListParagraph"/>
        <w:numPr>
          <w:ilvl w:val="0"/>
          <w:numId w:val="2"/>
        </w:numPr>
        <w:spacing w:after="80" w:line="276"/>
      </w:pPr>
      <w:r>
        <w:rPr>
          <w:rFonts w:ascii="Arial" w:cs="Arial" w:eastAsia="Arial" w:hAnsi="Arial"/>
          <w:color w:val="2C3E50"/>
          <w:sz w:val="22"/>
          <w:szCs w:val="22"/>
        </w:rPr>
        <w:t xml:space="preserve">Cross-chain deployment (Arbitrum, Ethereum mainnet)</w:t>
      </w:r>
    </w:p>
    <w:p>
      <w:pPr>
        <w:pStyle w:val="ListParagraph"/>
        <w:numPr>
          <w:ilvl w:val="0"/>
          <w:numId w:val="2"/>
        </w:numPr>
        <w:spacing w:after="80" w:line="276"/>
      </w:pPr>
      <w:r>
        <w:rPr>
          <w:rFonts w:ascii="Arial" w:cs="Arial" w:eastAsia="Arial" w:hAnsi="Arial"/>
          <w:color w:val="2C3E50"/>
          <w:sz w:val="22"/>
          <w:szCs w:val="22"/>
        </w:rPr>
        <w:t xml:space="preserve">Governance token and decentralised parameter management</w:t>
      </w:r>
    </w:p>
    <w:p>
      <w:pPr>
        <w:pStyle w:val="Heading1"/>
      </w:pPr>
      <w:r>
        <w:rPr>
          <w:rFonts w:ascii="Arial" w:cs="Arial" w:eastAsia="Arial" w:hAnsi="Arial"/>
        </w:rPr>
        <w:t xml:space="preserve">9. Revenue Model</w:t>
      </w:r>
    </w:p>
    <w:p>
      <w:pPr>
        <w:spacing w:after="120" w:line="276"/>
      </w:pPr>
      <w:r>
        <w:rPr>
          <w:rFonts w:ascii="Arial" w:cs="Arial" w:eastAsia="Arial" w:hAnsi="Arial"/>
          <w:color w:val="2C3E50"/>
          <w:sz w:val="22"/>
          <w:szCs w:val="22"/>
        </w:rPr>
        <w:t xml:space="preserve">The protocol earns revenue from two sources:</w:t>
      </w:r>
    </w:p>
    <w:p>
      <w:pPr>
        <w:pStyle w:val="ListParagraph"/>
        <w:numPr>
          <w:ilvl w:val="0"/>
          <w:numId w:val="2"/>
        </w:numPr>
        <w:spacing w:after="80" w:line="276"/>
      </w:pPr>
      <w:r>
        <w:rPr>
          <w:rFonts w:ascii="Arial" w:cs="Arial" w:eastAsia="Arial" w:hAnsi="Arial"/>
          <w:b/>
          <w:bCs/>
          <w:color w:val="2C3E50"/>
          <w:sz w:val="22"/>
          <w:szCs w:val="22"/>
        </w:rPr>
        <w:t xml:space="preserve">Protocol fee: </w:t>
      </w:r>
      <w:r>
        <w:rPr>
          <w:rFonts w:ascii="Arial" w:cs="Arial" w:eastAsia="Arial" w:hAnsi="Arial"/>
          <w:color w:val="2C3E50"/>
          <w:sz w:val="22"/>
          <w:szCs w:val="22"/>
        </w:rPr>
        <w:t xml:space="preserve">A percentage of the 0.1% mint/redemption fee. Currently 100% goes to the vault; the protocol takes its cut when the curator/LP withdraws fees.</w:t>
      </w:r>
    </w:p>
    <w:p>
      <w:pPr>
        <w:pStyle w:val="ListParagraph"/>
        <w:numPr>
          <w:ilvl w:val="0"/>
          <w:numId w:val="2"/>
        </w:numPr>
        <w:spacing w:after="80" w:line="276"/>
      </w:pPr>
      <w:r>
        <w:rPr>
          <w:rFonts w:ascii="Arial" w:cs="Arial" w:eastAsia="Arial" w:hAnsi="Arial"/>
          <w:b/>
          <w:bCs/>
          <w:color w:val="2C3E50"/>
          <w:sz w:val="22"/>
          <w:szCs w:val="22"/>
        </w:rPr>
        <w:t xml:space="preserve">Spread tax (future): </w:t>
      </w:r>
      <w:r>
        <w:rPr>
          <w:rFonts w:ascii="Arial" w:cs="Arial" w:eastAsia="Arial" w:hAnsi="Arial"/>
          <w:color w:val="2C3E50"/>
          <w:sz w:val="22"/>
          <w:szCs w:val="22"/>
        </w:rPr>
        <w:t xml:space="preserve">A percentage of the spread that curators charge, creating alignment between protocol and vault revenue.</w:t>
      </w:r>
    </w:p>
    <w:p>
      <w:pPr>
        <w:spacing w:after="120" w:line="276"/>
      </w:pPr>
      <w:r>
        <w:rPr>
          <w:rFonts w:ascii="Arial" w:cs="Arial" w:eastAsia="Arial" w:hAnsi="Arial"/>
          <w:color w:val="2C3E50"/>
          <w:sz w:val="22"/>
          <w:szCs w:val="22"/>
        </w:rPr>
        <w:t xml:space="preserve">At $30M in minter-side exposure with ~$15K daily flow and 30bps average spread, estimated annual revenue is approximately $640K, sufficient to sustain a lean team.</w:t>
      </w:r>
    </w:p>
    <w:p>
      <w:pPr>
        <w:pStyle w:val="Heading1"/>
      </w:pPr>
      <w:r>
        <w:rPr>
          <w:rFonts w:ascii="Arial" w:cs="Arial" w:eastAsia="Arial" w:hAnsi="Arial"/>
        </w:rPr>
        <w:t xml:space="preserve">10. Security Model</w:t>
      </w:r>
    </w:p>
    <w:p>
      <w:pPr>
        <w:spacing w:after="120" w:line="276"/>
      </w:pPr>
      <w:r>
        <w:rPr>
          <w:rFonts w:ascii="Arial" w:cs="Arial" w:eastAsia="Arial" w:hAnsi="Arial"/>
          <w:color w:val="2C3E50"/>
          <w:sz w:val="22"/>
          <w:szCs w:val="22"/>
        </w:rPr>
        <w:t xml:space="preserve">The protocol’s security rests on three pillars:</w:t>
      </w:r>
    </w:p>
    <w:p>
      <w:pPr>
        <w:pStyle w:val="ListParagraph"/>
        <w:numPr>
          <w:ilvl w:val="0"/>
          <w:numId w:val="2"/>
        </w:numPr>
        <w:spacing w:after="80" w:line="276"/>
      </w:pPr>
      <w:r>
        <w:rPr>
          <w:rFonts w:ascii="Arial" w:cs="Arial" w:eastAsia="Arial" w:hAnsi="Arial"/>
          <w:b/>
          <w:bCs/>
          <w:color w:val="2C3E50"/>
          <w:sz w:val="22"/>
          <w:szCs w:val="22"/>
        </w:rPr>
        <w:t xml:space="preserve">Onchain collateral: </w:t>
      </w:r>
      <w:r>
        <w:rPr>
          <w:rFonts w:ascii="Arial" w:cs="Arial" w:eastAsia="Arial" w:hAnsi="Arial"/>
          <w:color w:val="2C3E50"/>
          <w:sz w:val="22"/>
          <w:szCs w:val="22"/>
        </w:rPr>
        <w:t xml:space="preserve">LP collateral is locked onchain and subject to continuous health monitoring. Liquidation is automated via bot incentives.</w:t>
      </w:r>
    </w:p>
    <w:p>
      <w:pPr>
        <w:pStyle w:val="ListParagraph"/>
        <w:numPr>
          <w:ilvl w:val="0"/>
          <w:numId w:val="2"/>
        </w:numPr>
        <w:spacing w:after="80" w:line="276"/>
      </w:pPr>
      <w:r>
        <w:rPr>
          <w:rFonts w:ascii="Arial" w:cs="Arial" w:eastAsia="Arial" w:hAnsi="Arial"/>
          <w:b/>
          <w:bCs/>
          <w:color w:val="2C3E50"/>
          <w:sz w:val="22"/>
          <w:szCs w:val="22"/>
        </w:rPr>
        <w:t xml:space="preserve">Oracle integrity: </w:t>
      </w:r>
      <w:r>
        <w:rPr>
          <w:rFonts w:ascii="Arial" w:cs="Arial" w:eastAsia="Arial" w:hAnsi="Arial"/>
          <w:color w:val="2C3E50"/>
          <w:sz w:val="22"/>
          <w:szCs w:val="22"/>
        </w:rPr>
        <w:t xml:space="preserve">Signed price feeds with staleness checks. Multi-signer support and Pyth validation prevent single-point-of-failure.</w:t>
      </w:r>
    </w:p>
    <w:p>
      <w:pPr>
        <w:pStyle w:val="ListParagraph"/>
        <w:numPr>
          <w:ilvl w:val="0"/>
          <w:numId w:val="2"/>
        </w:numPr>
        <w:spacing w:after="80" w:line="276"/>
      </w:pPr>
      <w:r>
        <w:rPr>
          <w:rFonts w:ascii="Arial" w:cs="Arial" w:eastAsia="Arial" w:hAnsi="Arial"/>
          <w:b/>
          <w:bCs/>
          <w:color w:val="2C3E50"/>
          <w:sz w:val="22"/>
          <w:szCs w:val="22"/>
        </w:rPr>
        <w:t xml:space="preserve">Offchain attestation (future): </w:t>
      </w:r>
      <w:r>
        <w:rPr>
          <w:rFonts w:ascii="Arial" w:cs="Arial" w:eastAsia="Arial" w:hAnsi="Arial"/>
          <w:color w:val="2C3E50"/>
          <w:sz w:val="22"/>
          <w:szCs w:val="22"/>
        </w:rPr>
        <w:t xml:space="preserve">ZK proofs verify that curator’s offchain brokerage positions match onchain exposure. Proof liveness requirements trigger vault warnings and halts if attestation lapses.</w:t>
      </w:r>
    </w:p>
    <w:p>
      <w:pPr>
        <w:spacing w:after="120" w:line="276"/>
      </w:pPr>
      <w:r>
        <w:rPr>
          <w:rFonts w:ascii="Arial" w:cs="Arial" w:eastAsia="Arial" w:hAnsi="Arial"/>
          <w:color w:val="2C3E50"/>
          <w:sz w:val="22"/>
          <w:szCs w:val="22"/>
        </w:rPr>
        <w:t xml:space="preserve">Vault halt conditions: collateral ratio below threshold and liquidation failure, oracle staleness, curator-initiated emergency, governance multisig action. When halted, no new mints are allowed, but redemptions continue from buffer/collateral to avoid trapping minters.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tabs>
        <w:tab w:val="right" w:pos="9360"/>
      </w:tabs>
      <w:spacing w:before="100"/>
    </w:pPr>
    <w:r>
      <w:rPr>
        <w:rFonts w:ascii="Arial" w:cs="Arial" w:eastAsia="Arial" w:hAnsi="Arial"/>
        <w:color w:val="7F8C8D"/>
        <w:sz w:val="16"/>
        <w:szCs w:val="16"/>
      </w:rPr>
      <w:t xml:space="preserve">Own Protocol — Confidential</w:t>
    </w:r>
    <w:r>
      <w:rPr>
        <w:rFonts w:ascii="Arial" w:cs="Arial" w:eastAsia="Arial" w:hAnsi="Arial"/>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2026-03-20T07:39:08.506Z</dcterms:created>
  <dcterms:modified xsi:type="dcterms:W3CDTF">2026-03-20T07:39:08.507Z</dcterms:modified>
</cp:coreProperties>
</file>

<file path=docProps/custom.xml><?xml version="1.0" encoding="utf-8"?>
<Properties xmlns="http://schemas.openxmlformats.org/officeDocument/2006/custom-properties" xmlns:vt="http://schemas.openxmlformats.org/officeDocument/2006/docPropsVTypes"/>
</file>