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A55BB" w14:textId="77777777" w:rsidR="00E34F88" w:rsidRPr="00C02EEA" w:rsidRDefault="00000000">
      <w:pPr>
        <w:spacing w:line="252" w:lineRule="auto"/>
        <w:jc w:val="center"/>
        <w:rPr>
          <w:lang w:val="ru-RU"/>
        </w:rPr>
      </w:pPr>
      <w:r w:rsidRPr="00C02EEA">
        <w:rPr>
          <w:rFonts w:ascii="Times New Roman" w:hAnsi="Times New Roman" w:eastAsia="Times New Roman"/>
          <w:b/>
          <w:color w:val="000000"/>
          <w:sz w:val="24"/>
          <w:lang w:val="ru-RU"/>
        </w:rPr>
        <w:t>МИНИСТЕРСТВО НАУКИ И ВЫСШЕГО ОБРАЗОВАНИЯ РОССИЙСКОЙ ФЕДЕРАЦИИ</w:t>
      </w:r>
      <w:r w:rsidRPr="00C02EEA">
        <w:rPr>
          <w:rFonts w:ascii="Times New Roman" w:hAnsi="Times New Roman" w:eastAsia="Times New Roman"/>
          <w:b/>
          <w:color w:val="000000"/>
          <w:sz w:val="24"/>
          <w:lang w:val="ru-RU"/>
        </w:rPr>
        <w:br/>
        <w:t>ФЕДЕРАЛЬНОЕ ГОСУДАРСТВЕННОЕ БЮДЖЕТНОЕ ОБРАЗОВАТЕЛЬНОЕ УЧРЕЖДЕНИЕ ВЫСШЕГО ОБРАЗОВАНИЯ</w:t>
      </w:r>
      <w:r w:rsidRPr="00C02EEA">
        <w:rPr>
          <w:rFonts w:ascii="Times New Roman" w:hAnsi="Times New Roman" w:eastAsia="Times New Roman"/>
          <w:b/>
          <w:color w:val="000000"/>
          <w:sz w:val="24"/>
          <w:lang w:val="ru-RU"/>
        </w:rPr>
        <w:br/>
        <w:t>«НАЦИОНАЛЬНЫЙ ИССЛЕДОВАТЕЛЬСКИЙ УНИВЕРСИТЕТ «МЭИ»»</w:t>
      </w:r>
    </w:p>
    <w:p w14:paraId="3D17D71A" w14:textId="77777777" w:rsidR="00E34F88" w:rsidRPr="00C02EEA" w:rsidRDefault="00000000">
      <w:pPr>
        <w:spacing w:after="2100" w:line="264" w:lineRule="auto"/>
        <w:jc w:val="center"/>
        <w:rPr>
          <w:lang w:val="ru-RU"/>
        </w:rPr>
      </w:pPr>
      <w:r w:rsidRPr="00C02EEA">
        <w:rPr>
          <w:rFonts w:ascii="Times New Roman" w:hAnsi="Times New Roman" w:eastAsia="Times New Roman"/>
          <w:color w:val="000000"/>
          <w:sz w:val="24"/>
          <w:lang w:val="ru-RU"/>
        </w:rPr>
        <w:t>Институт информационных и вычислительных технологий (ИВТИ)</w:t>
      </w:r>
      <w:r w:rsidRPr="00C02EEA">
        <w:rPr>
          <w:rFonts w:ascii="Times New Roman" w:hAnsi="Times New Roman" w:eastAsia="Times New Roman"/>
          <w:color w:val="000000"/>
          <w:sz w:val="24"/>
          <w:lang w:val="ru-RU"/>
        </w:rPr>
        <w:br/>
        <w:t>Кафедра управления и интеллектуальных технологий (УИТ)</w:t>
      </w:r>
    </w:p>
    <w:p w14:paraId="56A3D723" w14:textId="1BF8F3AC" w:rsidR="00E34F88" w:rsidRPr="00C02EEA" w:rsidRDefault="00000000">
      <w:pPr>
        <w:spacing w:after="120"/>
        <w:jc w:val="center"/>
        <w:rPr>
          <w:lang w:val="ru-RU"/>
        </w:rPr>
      </w:pPr>
      <w:r w:rsidRPr="00C02EEA">
        <w:rPr>
          <w:rFonts w:ascii="Times New Roman" w:hAnsi="Times New Roman" w:eastAsia="Times New Roman"/>
          <w:b/>
          <w:color w:val="000000"/>
          <w:sz w:val="32"/>
          <w:lang w:val="ru-RU"/>
        </w:rPr>
        <w:t>ОТЧЕТ</w:t>
        <w:br/>
        <w:t>ПО ЛАБОРАТОРНОЙ РАБОТЕ № 1</w:t>
      </w:r>
      <w:r w:rsidRPr="00C02EEA">
        <w:rPr>
          <w:rFonts w:ascii="Times New Roman" w:hAnsi="Times New Roman" w:eastAsia="Times New Roman"/>
          <w:b/>
          <w:color w:val="000000"/>
          <w:sz w:val="32"/>
          <w:lang w:val="ru-RU"/>
        </w:rPr>
      </w:r>
    </w:p>
    <w:p w14:paraId="6681399F" w14:textId="3E6F5E7C" w:rsidR="00E34F88" w:rsidRPr="00C02EEA" w:rsidRDefault="00000000">
      <w:pPr>
        <w:spacing w:after="120"/>
        <w:jc w:val="center"/>
        <w:rPr>
          <w:lang w:val="ru-RU"/>
        </w:rPr>
      </w:pPr>
      <w:r w:rsidRPr="00C02EEA">
        <w:rPr>
          <w:rFonts w:ascii="Times New Roman" w:hAnsi="Times New Roman" w:eastAsia="Times New Roman"/>
          <w:color w:val="000000"/>
          <w:sz w:val="28"/>
          <w:lang w:val="ru-RU"/>
        </w:rPr>
        <w:t>по курсу «Теория автоматического управления, часть 2»</w:t>
      </w:r>
      <w:proofErr w:type="gramStart"/>
      <w:r w:rsidRP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="00C02EEA" w:rsidRP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Pr="00C02EEA">
        <w:rPr>
          <w:rFonts w:ascii="Times New Roman" w:hAnsi="Times New Roman" w:eastAsia="Times New Roman"/>
          <w:color w:val="000000"/>
          <w:sz w:val="28"/>
          <w:lang w:val="ru-RU"/>
        </w:rPr>
      </w:r>
      <w:proofErr w:type="gramEnd"/>
    </w:p>
    <w:p w14:paraId="068C75C9" w14:textId="01234A5D" w:rsidR="00E34F88" w:rsidRPr="00C02EEA" w:rsidRDefault="00000000">
      <w:pPr>
        <w:spacing w:after="160"/>
        <w:jc w:val="center"/>
        <w:rPr>
          <w:sz w:val="32"/>
          <w:szCs w:val="32"/>
          <w:lang w:val="ru-RU"/>
        </w:rPr>
      </w:pPr>
      <w:r w:rsidRPr="00C02EEA">
        <w:rPr>
          <w:rFonts w:ascii="Times New Roman" w:hAnsi="Times New Roman" w:eastAsia="Times New Roman"/>
          <w:b/>
          <w:color w:val="000000"/>
          <w:sz w:val="32"/>
          <w:szCs w:val="32"/>
          <w:lang w:val="ru-RU"/>
        </w:rPr>
        <w:t>Тема: «Исследование импульсных систем автоматического управления»</w:t>
      </w:r>
      <w:proofErr w:type="gramStart"/>
      <w:r w:rsidRPr="00C02EEA">
        <w:rPr>
          <w:rFonts w:ascii="Times New Roman" w:hAnsi="Times New Roman" w:eastAsia="Times New Roman"/>
          <w:b/>
          <w:color w:val="000000"/>
          <w:sz w:val="32"/>
          <w:szCs w:val="32"/>
          <w:lang w:val="ru-RU"/>
        </w:rPr>
      </w:r>
      <w:r w:rsidR="00C02EEA" w:rsidRPr="00C02EEA">
        <w:rPr>
          <w:rFonts w:ascii="Times New Roman" w:hAnsi="Times New Roman" w:eastAsia="Times New Roman"/>
          <w:b/>
          <w:color w:val="000000"/>
          <w:sz w:val="32"/>
          <w:szCs w:val="32"/>
          <w:lang w:val="ru-RU"/>
        </w:rPr>
      </w:r>
      <w:r w:rsidRPr="00C02EEA">
        <w:rPr>
          <w:rFonts w:ascii="Times New Roman" w:hAnsi="Times New Roman" w:eastAsia="Times New Roman"/>
          <w:b/>
          <w:color w:val="000000"/>
          <w:sz w:val="32"/>
          <w:szCs w:val="32"/>
          <w:lang w:val="ru-RU"/>
        </w:rPr>
      </w:r>
      <w:proofErr w:type="gramEnd"/>
    </w:p>
    <w:p w14:paraId="558F5E82" w14:textId="41E880C4" w:rsidR="00E34F88" w:rsidRPr="00C02EEA" w:rsidRDefault="00000000">
      <w:pPr>
        <w:spacing w:after="1700"/>
        <w:jc w:val="center"/>
        <w:rPr>
          <w:lang w:val="ru-RU"/>
        </w:rPr>
      </w:pPr>
      <w:r w:rsidRPr="00C02EEA">
        <w:rPr>
          <w:rFonts w:ascii="Times New Roman" w:hAnsi="Times New Roman" w:eastAsia="Times New Roman"/>
          <w:b/>
          <w:color w:val="000000"/>
          <w:sz w:val="28"/>
          <w:lang w:val="ru-RU"/>
        </w:rPr>
        <w:t>Бригада № 2, вариант № 2</w:t>
      </w:r>
    </w:p>
    <w:p w14:paraId="78298DCB" w14:textId="5BAFE18E" w:rsidR="00E34F88" w:rsidRPr="00C02EEA" w:rsidRDefault="00000000">
      <w:pPr>
        <w:spacing w:after="2300"/>
        <w:jc w:val="right"/>
        <w:rPr>
          <w:lang w:val="ru-RU"/>
        </w:rPr>
      </w:pPr>
      <w:r w:rsidRPr="00C02EEA">
        <w:rPr>
          <w:rFonts w:ascii="Times New Roman" w:hAnsi="Times New Roman" w:eastAsia="Times New Roman"/>
          <w:color w:val="000000"/>
          <w:sz w:val="28"/>
          <w:lang w:val="ru-RU"/>
        </w:rPr>
        <w:t>Выполнили: студенты группы А-03-23</w:t>
        <w:br/>
        <w:t>Грудинин Е.К., Турханов А.К., Огарков И.А.</w:t>
        <w:br/>
        <w:br/>
        <w:t>Проверил: ассист. кафедры УИТ</w:t>
        <w:br/>
        <w:t>Дементьев В.Ю.</w:t>
      </w:r>
      <w:r w:rsid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P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P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P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P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P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P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P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P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P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="00C02EEA">
        <w:rPr>
          <w:rFonts w:ascii="Times New Roman" w:hAnsi="Times New Roman" w:eastAsia="Times New Roman"/>
          <w:color w:val="000000"/>
          <w:sz w:val="28"/>
          <w:lang w:val="ru-RU"/>
        </w:rPr>
      </w:r>
      <w:r w:rsidR="00C02EEA">
        <w:rPr>
          <w:rFonts w:ascii="Times New Roman" w:hAnsi="Times New Roman" w:eastAsia="Times New Roman"/>
          <w:color w:val="000000"/>
          <w:sz w:val="28"/>
          <w:lang w:val="ru-RU"/>
        </w:rPr>
      </w:r>
    </w:p>
    <w:p w14:paraId="6D31AC84" w14:textId="2B41ABA1" w:rsidR="00E34F88" w:rsidRDefault="00000000">
      <w:pPr>
        <w:spacing w:after="0"/>
        <w:jc w:val="center"/>
      </w:pPr>
      <w:proofErr w:type="spellStart"/>
      <w:r>
        <w:rPr>
          <w:rFonts w:ascii="Times New Roman" w:hAnsi="Times New Roman" w:eastAsia="Times New Roman"/>
          <w:color w:val="000000"/>
          <w:sz w:val="24"/>
        </w:rPr>
        <w:t>Москва</w:t>
      </w:r>
      <w:proofErr w:type="spellEnd"/>
      <w:r>
        <w:rPr>
          <w:rFonts w:ascii="Times New Roman" w:hAnsi="Times New Roman" w:eastAsia="Times New Roman"/>
          <w:color w:val="000000"/>
          <w:sz w:val="24"/>
        </w:rPr>
        <w:t>, 2026 г.</w:t>
      </w:r>
    </w:p>
    <w:p>
      <w:pPr>
        <w:sectPr>
          <w:footerReference w:type="default" r:id="rId8"/>
          <w:footerReference w:type="first" r:id="rId11"/>
          <w:headerReference w:type="default" r:id="rId19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keepNext/>
        <w:spacing w:before="80" w:after="12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1 Цель работы и исходные данные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Цель работы — исследовать переходные процессы и установившуюся точность импульсной системы автоматического управления, а также найти границу устойчивости по коэффициенту усиления. В работе сопоставляются непрерывная и импульсная системы при разных периодах квантования.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4"/>
        </w:rPr>
        <w:t>В бригаде № 2 принят вариант 2. Для пункта 1.1 задана непрерывная часть с параметрами K = 0,4, T₁ = 7 с, T₂ = 6 с и двумя постоянными времени по 1 с. Передаточная функция после подстановки варианта имеет вид:</w:t>
      </w:r>
    </w:p>
    <w:p>
      <w:pPr>
        <w:keepLines/>
        <w:spacing w:before="40" w:after="80" w:line="264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4"/>
        </w:rPr>
        <w:t>Wн(p) = 0,4(1 + 7p) / [p(1 + 6p)(1 + p)²] = (2,8p + 0,4) / (6p⁴ + 13p³ + 8p² + p).</w:t>
      </w:r>
    </w:p>
    <w:p>
      <w:pPr>
        <w:keepNext/>
        <w:spacing w:before="100" w:after="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2"/>
        </w:rPr>
        <w:t>Таблица 1 — Исходные параметры и диапазоны изменения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4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Величина</w:t>
            </w:r>
          </w:p>
        </w:tc>
        <w:tc>
          <w:tcPr>
            <w:tcW w:type="dxa" w:w="28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Значение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Период квантования T</w:t>
            </w:r>
          </w:p>
        </w:tc>
        <w:tc>
          <w:tcPr>
            <w:tcW w:type="dxa" w:w="28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0,015; 0,25; 0,4; 0,6; 0,75 с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Сравнение переходных процессов и ошибок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Постоянная времени T₁</w:t>
            </w:r>
          </w:p>
        </w:tc>
        <w:tc>
          <w:tcPr>
            <w:tcW w:type="dxa" w:w="28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6,5; 7,0; 7,5 с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Поиск границы устойчивости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Коэффициент K</w:t>
            </w:r>
          </w:p>
        </w:tc>
        <w:tc>
          <w:tcPr>
            <w:tcW w:type="dxa" w:w="28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0,4 для варианта; изменяется в п. 2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 п. 2 определяется Kпред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Число бригады / вариант</w:t>
            </w:r>
          </w:p>
        </w:tc>
        <w:tc>
          <w:tcPr>
            <w:tcW w:type="dxa" w:w="28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 / 2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Исходные данные по README и таблице практикума</w:t>
            </w:r>
          </w:p>
        </w:tc>
      </w:tr>
    </w:tbl>
    <w:p>
      <w:pPr>
        <w:spacing w:after="20" w:before="20" w:line="240" w:lineRule="auto"/>
        <w:ind w:firstLine="0"/>
      </w:pP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3"/>
        </w:rPr>
        <w:t>В практикуме для переходного процесса приведён рабочий диапазон T от 0,01 до 0,5 с. В заполненной таблице дополнительно исследованы T = 0,6 и 0,75 с; эти точки сохранены как фактически выполненные, с выходом за указанный диапазон.</w:t>
      </w:r>
    </w:p>
    <w:p>
      <w:r>
        <w:br w:type="page"/>
      </w:r>
    </w:p>
    <w:p>
      <w:pPr>
        <w:keepNext/>
        <w:spacing w:before="80" w:after="12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2 Модель импульсной системы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В импульсной системе отсчёты сигнала снимаются через период T. Идеальный импульсный элемент заменяет отсчёты последовательностью δ-импульсов, а формирующее звено задаёт их реальную форму. На схеме SimInTech показаны непрерывная ветвь сравнения и ветвь ИСАУ с экстраполятором. В блоках указана полная передаточная функция непрерывной части.</w:t>
      </w:r>
    </w:p>
    <w:p>
      <w:pPr>
        <w:keepNext/>
        <w:spacing w:before="4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628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e_b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80"/>
        <w:ind w:firstLine="0"/>
        <w:jc w:val="center"/>
      </w:pPr>
      <w:r>
        <w:rPr>
          <w:rFonts w:ascii="Times New Roman" w:hAnsi="Times New Roman" w:eastAsia="Times New Roman"/>
          <w:color w:val="000000"/>
          <w:sz w:val="22"/>
        </w:rPr>
        <w:t>Рисунок 1 — Схема сравнения непрерывной и импульсной систем в SimInTech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4"/>
        </w:rPr>
        <w:t>Для отрицательной единичной обратной связи дискретные передаточные функции замкнутой системы и ошибки равны:</w:t>
      </w:r>
    </w:p>
    <w:p>
      <w:pPr>
        <w:keepLines/>
        <w:spacing w:before="40" w:after="80" w:line="264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4"/>
        </w:rPr>
        <w:t>Wз*(p) = Wр*(p) / [1 + Wр*(p)];      Wх*(p) = 1 / [1 + Wр*(p)].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3"/>
        </w:rPr>
        <w:t>Разомкнутая дискретная передаточная функция строится для цепи импульсный элемент — формирователь — непрерывная часть: Wр*(p) = D̄{Wф(p)Wн(p)}. Её коэффициенты зависят от T, поэтому для разных периодов система имеет разные переходные процессы и значения Kпред.</w:t>
      </w:r>
    </w:p>
    <w:p>
      <w:r>
        <w:br w:type="page"/>
      </w:r>
    </w:p>
    <w:p>
      <w:pPr>
        <w:keepNext/>
        <w:spacing w:before="80" w:after="12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3 Исследование переходных процессов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Для сравнения использованы процессы при T = 0,015 и 0,6 с. На исходных графиках SimInTech показаны выходные сигналы непрерывной и импульсной систем и границы полосы ±5 % относительно единичного установившегося значения. На рисунке кривые восстановлены по пиксельным данным скриншотов и оформлены для чёрно-белой печати. Числа времени регулирования и перерегулирования взяты из заполненной рукописной таблицы.</w:t>
      </w:r>
    </w:p>
    <w:p>
      <w:pPr>
        <w:keepNext/>
        <w:spacing w:before="4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ient_b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80"/>
        <w:ind w:firstLine="0"/>
        <w:jc w:val="center"/>
      </w:pPr>
      <w:r>
        <w:rPr>
          <w:rFonts w:ascii="Times New Roman" w:hAnsi="Times New Roman" w:eastAsia="Times New Roman"/>
          <w:color w:val="000000"/>
          <w:sz w:val="22"/>
        </w:rPr>
        <w:t>Рисунок 2 — Переходные процессы при T = 0,015 и 0,6 с по скриншотам SimInTech</w:t>
      </w:r>
    </w:p>
    <w:p>
      <w:pPr>
        <w:keepNext/>
        <w:spacing w:before="100" w:after="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2"/>
        </w:rPr>
        <w:t>Таблица 2 — Показатели переходного процесса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T, с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tрег ИСАУ, с</w:t>
            </w:r>
          </w:p>
        </w:tc>
        <w:tc>
          <w:tcPr>
            <w:tcW w:type="dxa" w:w="328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σ ИСАУ, %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0,015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14,038</w:t>
            </w:r>
          </w:p>
        </w:tc>
        <w:tc>
          <w:tcPr>
            <w:tcW w:type="dxa" w:w="328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21,8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0,25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14,724</w:t>
            </w:r>
          </w:p>
        </w:tc>
        <w:tc>
          <w:tcPr>
            <w:tcW w:type="dxa" w:w="328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0,4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15,03</w:t>
            </w:r>
          </w:p>
        </w:tc>
        <w:tc>
          <w:tcPr>
            <w:tcW w:type="dxa" w:w="328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0,6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15,39</w:t>
            </w:r>
          </w:p>
        </w:tc>
        <w:tc>
          <w:tcPr>
            <w:tcW w:type="dxa" w:w="328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0,75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15,82</w:t>
            </w:r>
          </w:p>
        </w:tc>
        <w:tc>
          <w:tcPr>
            <w:tcW w:type="dxa" w:w="328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29</w:t>
            </w:r>
          </w:p>
        </w:tc>
      </w:tr>
    </w:tbl>
    <w:p>
      <w:pPr>
        <w:spacing w:after="20" w:before="20" w:line="240" w:lineRule="auto"/>
        <w:ind w:firstLine="0"/>
      </w:pP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2"/>
        </w:rPr>
        <w:t>Для непрерывной системы в рукописной таблице записаны два считывания tрег = 13,89 и 14,00 с при σ = 17,8 %. При увеличении T от 0,015 до 0,75 с время регулирования в ИСАУ выросло примерно на 1,78 с, а перерегулирование увеличилось с 21,8 до 29 %. Это согласуется с ухудшением качества переходного процесса при более редких отсчётах. При сопоставлении источников пики на двух сохранённых графиках визуально не полностью согласуются со значениями σ в рукописной таблице. Поэтому σ оставлены как записаны, а графики служат для качественного сравнения; показатели при T = 0,015 и 0,6 с следует повторно проверить по модели перед сдачей.</w:t>
      </w:r>
    </w:p>
    <w:p>
      <w:r>
        <w:br w:type="page"/>
      </w:r>
    </w:p>
    <w:p>
      <w:pPr>
        <w:keepNext/>
        <w:spacing w:before="80" w:after="12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4 Установившиеся ошибки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Точность проверялась на единичном скачке и линейном входе. Выгрузки SimInTech содержат значения сигналов до 100-го отсчёта. При скачке ошибка затухает практически до нуля; при линейном входе она стремится к конечному значению 2,5. Графики построены по этим выгрузкам, а в рукописной таблице результаты округлены до 0 и 2,5.</w:t>
      </w:r>
    </w:p>
    <w:p>
      <w:pPr>
        <w:keepNext/>
        <w:spacing w:before="4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s_b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80"/>
        <w:ind w:firstLine="0"/>
        <w:jc w:val="center"/>
      </w:pPr>
      <w:r>
        <w:rPr>
          <w:rFonts w:ascii="Times New Roman" w:hAnsi="Times New Roman" w:eastAsia="Times New Roman"/>
          <w:color w:val="000000"/>
          <w:sz w:val="22"/>
        </w:rPr>
        <w:t>Рисунок 3 — Установление ошибок при скачке и линейном входе</w:t>
      </w:r>
    </w:p>
    <w:p>
      <w:pPr>
        <w:keepNext/>
        <w:spacing w:before="100" w:after="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2"/>
        </w:rPr>
        <w:t>Таблица 3 — Значения ошибок к 100-му отсчёту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Система</w:t>
            </w:r>
          </w:p>
        </w:tc>
        <w:tc>
          <w:tcPr>
            <w:tcW w:type="dxa" w:w="323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eст при скачке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eкин при линейном входе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ИСАУ</w:t>
            </w:r>
          </w:p>
        </w:tc>
        <w:tc>
          <w:tcPr>
            <w:tcW w:type="dxa" w:w="323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7,129·10⁻⁸ (≈ 0)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2,500223 (≈ 2,5)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НСАУ</w:t>
            </w:r>
          </w:p>
        </w:tc>
        <w:tc>
          <w:tcPr>
            <w:tcW w:type="dxa" w:w="323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7,234·10⁻⁸ (≈ 0)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2,499999 (≈ 2,5)</w:t>
            </w:r>
          </w:p>
        </w:tc>
      </w:tr>
    </w:tbl>
    <w:p>
      <w:pPr>
        <w:spacing w:after="20" w:before="20" w:line="240" w:lineRule="auto"/>
        <w:ind w:firstLine="0"/>
      </w:pP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3"/>
        </w:rPr>
        <w:t>Для обоих вариантов обратной связи статическая ошибка на скачок практически равна нулю. На линейном воздействии остаётся конечная кинетическая ошибка около 2,5. В пределах приведённых результатов влияние T на установившиеся значения мало по сравнению с его влиянием на форму переходного процесса.</w:t>
      </w:r>
    </w:p>
    <w:p>
      <w:r>
        <w:br w:type="page"/>
      </w:r>
    </w:p>
    <w:p>
      <w:pPr>
        <w:keepNext/>
        <w:spacing w:before="80" w:after="12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5 Определение границы устойчивости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Во втором пункте коэффициент усиления K изменялся до появления незатухающих колебаний. Для каждого T и T₁ записывалось предельное значение Kпред. В проверочном прогоне при T₁ = 7,5 с получены Kпред ≈ 1,71 для непрерывной системы и Kпред = 1,685 для ИСАУ при T = 0,015 с.</w:t>
      </w:r>
    </w:p>
    <w:p>
      <w:pPr>
        <w:keepNext/>
        <w:spacing w:before="4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577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stability_b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80"/>
        <w:ind w:firstLine="0"/>
        <w:jc w:val="center"/>
      </w:pPr>
      <w:r>
        <w:rPr>
          <w:rFonts w:ascii="Times New Roman" w:hAnsi="Times New Roman" w:eastAsia="Times New Roman"/>
          <w:color w:val="000000"/>
          <w:sz w:val="22"/>
        </w:rPr>
        <w:t>Рисунок 4 — Модель поиска Kпред при T₁ = 7,5 с; в блоках указаны полные передаточные функции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4"/>
        </w:rPr>
        <w:t>Для непрерывной системы можно получить контрольное значение аналитически. При единичной отрицательной обратной связи характеристическое уравнение имеет вид:</w:t>
      </w:r>
    </w:p>
    <w:p>
      <w:pPr>
        <w:keepLines/>
        <w:spacing w:before="40" w:after="80" w:line="264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4"/>
        </w:rPr>
        <w:t>6p⁴ + 13p³ + 8p² + (1 + KT₁)p + K = 0.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3"/>
        </w:rPr>
        <w:t>Для полинома четвёртой степени определитель Гурвица третьего порядка равен Δ₃ = (1 + KT₁)[98 − 6KT₁] − 169K. Граница устойчивости определяется равенством Δ₃ = 0 при положительных коэффициентах и Δ₂ = 98 − 6KT₁ &gt; 0. Эту формулу применяли только к непрерывной системе; предельные коэффициенты ИСАУ взяты из моделирования.</w:t>
      </w:r>
    </w:p>
    <w:p>
      <w:pPr>
        <w:keepLines/>
        <w:spacing w:before="40" w:after="80" w:line="264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3"/>
        </w:rPr>
        <w:t>Kпред = [(92T₁ − 169) + √((92T₁ − 169)² + 2352T₁²)] / (12T₁²).</w:t>
      </w:r>
    </w:p>
    <w:p>
      <w:r>
        <w:br w:type="page"/>
      </w:r>
    </w:p>
    <w:p>
      <w:pPr>
        <w:keepNext/>
        <w:spacing w:before="80" w:after="12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6 Результаты поиска Kпред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В таблице приведены предельные коэффициенты из заполненной таблицы по ИСАУ. Строка НСАУ рассчитана по условию Δ₃ = 0 и не зависит от периода квантования. Значения согласуются с контрольной точкой схемы на рисунке 4.</w:t>
      </w:r>
    </w:p>
    <w:p>
      <w:pPr>
        <w:keepNext/>
        <w:spacing w:before="100" w:after="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2"/>
        </w:rPr>
        <w:t>Таблица 4 — Предельный коэффициент усиления Kпред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type="dxa" w:w="24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T, с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T₁ = 6,5 с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T₁ = 7,0 с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T₁ = 7,5 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0,015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1,870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1,780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1,685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0,25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1,530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1,450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1,375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0,4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1,375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1,305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1,241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0,6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1,220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1,159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1,100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0,75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1,129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1,070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1,017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НСАУ, расчёт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1,896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1,801</w:t>
            </w:r>
          </w:p>
        </w:tc>
        <w:tc>
          <w:tcPr>
            <w:tcW w:type="dxa" w:w="20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1,713</w:t>
            </w:r>
          </w:p>
        </w:tc>
      </w:tr>
    </w:tbl>
    <w:p>
      <w:pPr>
        <w:spacing w:after="20" w:before="20" w:line="240" w:lineRule="auto"/>
        <w:ind w:firstLine="0"/>
      </w:pPr>
    </w:p>
    <w:p>
      <w:pPr>
        <w:keepNext/>
        <w:spacing w:before="4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61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bility_b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80"/>
        <w:ind w:firstLine="0"/>
        <w:jc w:val="center"/>
      </w:pPr>
      <w:r>
        <w:rPr>
          <w:rFonts w:ascii="Times New Roman" w:hAnsi="Times New Roman" w:eastAsia="Times New Roman"/>
          <w:color w:val="000000"/>
          <w:sz w:val="22"/>
        </w:rPr>
        <w:t>Рисунок 5 — Зависимость Kпред от T₁ для разных периодов квантования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2"/>
        </w:rPr>
        <w:t>Для каждого зафиксированного T величина Kпред уменьшается при увеличении T₁. При каждом из рассмотренных T₁ она также снижается с ростом периода квантования. Например, при T₁ = 7,5 с измеренное значение меняется от 1,685 при T = 0,015 с до 1,017 при T = 0,75 с. Непрерывная расчётная граница при тех же параметрах равна 1,713.</w:t>
      </w:r>
    </w:p>
    <w:p>
      <w:r>
        <w:br w:type="page"/>
      </w:r>
    </w:p>
    <w:p>
      <w:pPr>
        <w:keepNext/>
        <w:spacing w:before="80" w:after="12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7 Выводы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В работе исследована импульсная система варианта 2 с непрерывной частью Wн(p) = 0,4(1 + 7p)/[p(1 + 6p)(1 + p)²]. По результатам переходных процессов время регулирования ИСАУ увеличивается с ростом T, а перерегулирование возрастает. При T = 0,75 с получены tрег = 15,82 с и σ = 29 %.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На единичный скачок установившаяся ошибка обеих систем близка к нулю. При линейном входе ошибка устанавливается около 2,5. По результатам моделирования период квантования заметнее меняет переходный процесс и запас устойчивости, чем установившуюся точность.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Граница по усилению снижается при увеличении T и T₁. Для непрерывной системы получены контрольные значения Kпред = 1,896; 1,801; 1,713 при T₁ = 6,5; 7,0; 7,5 с. Они близки к значениям ИСАУ при малом T, что подтверждает модельный результат.</w:t>
      </w:r>
    </w:p>
    <w:p>
      <w:pPr>
        <w:keepNext/>
        <w:spacing w:before="40" w:after="6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Дополнение к задаче на защиту: Wф(p) по графику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3"/>
        </w:rPr>
        <w:t>Для кусочно-линейной импульсной характеристики суммируют скачки уровня Δhᵢ и приращения наклона Δmᵢ в каждом узле tᵢ:</w:t>
      </w:r>
    </w:p>
    <w:p>
      <w:pPr>
        <w:keepLines/>
        <w:spacing w:before="40" w:after="80" w:line="264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3"/>
        </w:rPr>
        <w:t>Wф(p) = Σᵢ Δhᵢe^(−ptᵢ)/p + Σᵢ Δmᵢe^(−ptᵢ)/p².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2"/>
        </w:rPr>
        <w:t>В рассматриваемом графике допуска уровень скачком становится равен 1 при t = 0, затем растёт с наклоном 2 до t = 1, остаётся равным 3 до t = 2 и линейно падает до нуля к t = 3. Эта форма показана на рисунке 6. Приращения наклона в узлах равны +2, −2, −3 и +3. Отсюда:</w:t>
      </w:r>
    </w:p>
    <w:p>
      <w:pPr>
        <w:keepLines/>
        <w:spacing w:before="40" w:after="80" w:line="264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3"/>
        </w:rPr>
        <w:t>Wф(p) = 1/p + 2/p² − 2e^(−p)/p² − 3e^(−2p)/p² + 3e^(−3p)/p².</w:t>
      </w:r>
    </w:p>
    <w:p>
      <w:pPr>
        <w:keepNext/>
        <w:spacing w:before="4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14800" cy="22337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hi_example_b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80"/>
        <w:ind w:firstLine="0"/>
        <w:jc w:val="center"/>
      </w:pPr>
      <w:r>
        <w:rPr>
          <w:rFonts w:ascii="Times New Roman" w:hAnsi="Times New Roman" w:eastAsia="Times New Roman"/>
          <w:color w:val="000000"/>
          <w:sz w:val="22"/>
        </w:rPr>
        <w:t>Рисунок 6 — Форма импульса из задачи на допуск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2"/>
        </w:rPr>
        <w:t>Проверка: на участке 2 ≤ t &lt; 3 наклон равен −3, а слагаемое при t = 3 возвращает его к нулю; после t = 3 импульсная характеристика остаётся нулевой.</w:t>
      </w:r>
    </w:p>
    <w:p>
      <w:r>
        <w:br w:type="page"/>
      </w:r>
    </w:p>
    <w:p>
      <w:pPr>
        <w:keepNext/>
        <w:spacing w:before="80" w:after="12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8 Формулы, пронумерованные в лекциях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4"/>
        </w:rPr>
        <w:t>По списку к защите необходимо знать формулы (1)–(6). Ниже сохранены лекционные обозначения; T — период квантования, ω₀ = 2π/T.</w:t>
      </w:r>
    </w:p>
    <w:p>
      <w:pPr>
        <w:spacing w:after="20" w:before="0" w:line="360" w:lineRule="auto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3"/>
        </w:rPr>
        <w:t>(1) Идеальный импульсный элемент</w:t>
      </w:r>
      <w:r>
        <w:rPr>
          <w:rFonts w:ascii="Times New Roman" w:hAnsi="Times New Roman" w:eastAsia="Times New Roman"/>
          <w:color w:val="000000"/>
          <w:sz w:val="23"/>
        </w:rPr>
      </w:r>
    </w:p>
    <w:p>
      <w:pPr>
        <w:keepLines/>
        <w:spacing w:before="0" w:after="80" w:line="264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2"/>
        </w:rPr>
        <w:t>x*(t) = x(t)Σₗ₌₀∞δ(t−lT) = Σₗ₌₀∞x[lT]δ(t−lT) = x(t)δT(t).</w:t>
      </w:r>
    </w:p>
    <w:p>
      <w:pPr>
        <w:spacing w:after="20" w:before="0" w:line="360" w:lineRule="auto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3"/>
        </w:rPr>
        <w:t>(2) D-преобразование</w:t>
      </w:r>
      <w:r>
        <w:rPr>
          <w:rFonts w:ascii="Times New Roman" w:hAnsi="Times New Roman" w:eastAsia="Times New Roman"/>
          <w:color w:val="000000"/>
          <w:sz w:val="23"/>
        </w:rPr>
      </w:r>
    </w:p>
    <w:p>
      <w:pPr>
        <w:keepLines/>
        <w:spacing w:before="0" w:after="80" w:line="264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2"/>
        </w:rPr>
        <w:t>X*(p) = D{x[lT]} = Σₗ₌₀∞x[lT]e^(−plT).</w:t>
      </w:r>
    </w:p>
    <w:p>
      <w:pPr>
        <w:spacing w:after="20" w:before="0" w:line="360" w:lineRule="auto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3"/>
        </w:rPr>
        <w:t>(3) Связь по D̄-преобразованию</w:t>
      </w:r>
      <w:r>
        <w:rPr>
          <w:rFonts w:ascii="Times New Roman" w:hAnsi="Times New Roman" w:eastAsia="Times New Roman"/>
          <w:color w:val="000000"/>
          <w:sz w:val="23"/>
        </w:rPr>
      </w:r>
    </w:p>
    <w:p>
      <w:pPr>
        <w:keepLines/>
        <w:spacing w:before="0" w:after="80" w:line="264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2"/>
        </w:rPr>
        <w:t>X*(p) = D̄{X(p)} = (ω₀/2π)Σₗ₌₋∞∞X(p−jω₀l).</w:t>
      </w:r>
    </w:p>
    <w:p>
      <w:pPr>
        <w:spacing w:after="20" w:before="0" w:line="360" w:lineRule="auto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3"/>
        </w:rPr>
        <w:t>(4) Формула разложения</w:t>
      </w:r>
      <w:r>
        <w:rPr>
          <w:rFonts w:ascii="Times New Roman" w:hAnsi="Times New Roman" w:eastAsia="Times New Roman"/>
          <w:color w:val="000000"/>
          <w:sz w:val="23"/>
        </w:rPr>
      </w:r>
    </w:p>
    <w:p>
      <w:pPr>
        <w:keepLines/>
        <w:spacing w:before="0" w:after="80" w:line="264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2"/>
        </w:rPr>
        <w:t>F*(p) = Σᵢ B(pᵢ)/A′(pᵢ) · e^(pT)/[e^(pT)−e^(pᵢT)].</w:t>
      </w:r>
    </w:p>
    <w:p>
      <w:pPr>
        <w:spacing w:after="20" w:before="0" w:line="360" w:lineRule="auto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3"/>
        </w:rPr>
        <w:t>(5) Обратное D-преобразование</w:t>
      </w:r>
      <w:r>
        <w:rPr>
          <w:rFonts w:ascii="Times New Roman" w:hAnsi="Times New Roman" w:eastAsia="Times New Roman"/>
          <w:color w:val="000000"/>
          <w:sz w:val="23"/>
        </w:rPr>
      </w:r>
    </w:p>
    <w:p>
      <w:pPr>
        <w:keepLines/>
        <w:spacing w:before="0" w:after="80" w:line="264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2"/>
        </w:rPr>
        <w:t>f[lT] = Σᵥ B*(pᵥ)/A*′(pᵥ) · e^(pᵥ(l−1)T).</w:t>
      </w:r>
    </w:p>
    <w:p>
      <w:pPr>
        <w:spacing w:after="20" w:before="0" w:line="360" w:lineRule="auto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3"/>
        </w:rPr>
        <w:t>(6) Дискретное преобразование Фурье</w:t>
      </w:r>
      <w:r>
        <w:rPr>
          <w:rFonts w:ascii="Times New Roman" w:hAnsi="Times New Roman" w:eastAsia="Times New Roman"/>
          <w:color w:val="000000"/>
          <w:sz w:val="23"/>
        </w:rPr>
      </w:r>
    </w:p>
    <w:p>
      <w:pPr>
        <w:keepLines/>
        <w:spacing w:before="0" w:after="80" w:line="264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2"/>
        </w:rPr>
        <w:t>X*(jω) = (1/T)Σₗ₌₋∞∞X(j(ω−ω₀l)) = (ω₀/2π)Σₗ₌₋∞∞X(j(ω−ω₀l)).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2"/>
        </w:rPr>
        <w:t>Для формулы (4) в общем виде требуются простые действительные ненулевые корни A(p)=0 и единичное формирующее звено; для нулевого полюса и прямоугольного импульса в лекциях даны отдельные выражения. В формуле (5) производная A*′ берётся по e^(pT). В формуле (3) при x(0) ≠ 0 учитывается поправка x(0)/2; формула (6) записана для x(0)=0.</w:t>
      </w:r>
    </w:p>
    <w:p>
      <w:r>
        <w:br w:type="page"/>
      </w:r>
    </w:p>
    <w:p>
      <w:pPr>
        <w:keepNext/>
        <w:spacing w:before="80" w:after="12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9 Короткие вопросы без подготовки</w:t>
      </w:r>
    </w:p>
    <w:p>
      <w:pPr>
        <w:spacing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3"/>
        </w:rPr>
        <w:t xml:space="preserve">1. Виды квантования сигнала? </w:t>
      </w:r>
      <w:r>
        <w:rPr>
          <w:rFonts w:ascii="Times New Roman" w:hAnsi="Times New Roman" w:eastAsia="Times New Roman"/>
          <w:color w:val="000000"/>
          <w:sz w:val="23"/>
        </w:rPr>
        <w:t>По времени, по уровню и одновременно по времени и уровню.</w:t>
      </w:r>
    </w:p>
    <w:p>
      <w:pPr>
        <w:spacing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3"/>
        </w:rPr>
        <w:t xml:space="preserve">2. Что такое АИМ и что выдаёт ИИЭ? </w:t>
      </w:r>
      <w:r>
        <w:rPr>
          <w:rFonts w:ascii="Times New Roman" w:hAnsi="Times New Roman" w:eastAsia="Times New Roman"/>
          <w:color w:val="000000"/>
          <w:sz w:val="23"/>
        </w:rPr>
        <w:t>Амплитуда импульса пропорциональна отсчёту; ИИЭ формирует взвешенную последовательность δ-импульсов.</w:t>
      </w:r>
    </w:p>
    <w:p>
      <w:pPr>
        <w:spacing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3"/>
        </w:rPr>
        <w:t xml:space="preserve">3. Элементы типовой ИСАУ? </w:t>
      </w:r>
      <w:r>
        <w:rPr>
          <w:rFonts w:ascii="Times New Roman" w:hAnsi="Times New Roman" w:eastAsia="Times New Roman"/>
          <w:color w:val="000000"/>
          <w:sz w:val="23"/>
        </w:rPr>
        <w:t>Сумматор, импульсный элемент, непрерывная часть и обратная связь; ИИЭ выдаёт δ-импульсы с весами x[lT].</w:t>
      </w:r>
    </w:p>
    <w:p>
      <w:pPr>
        <w:spacing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3"/>
        </w:rPr>
        <w:t xml:space="preserve">4. Что называют решётчатой функцией и как записать D-преобразование? </w:t>
      </w:r>
      <w:r>
        <w:rPr>
          <w:rFonts w:ascii="Times New Roman" w:hAnsi="Times New Roman" w:eastAsia="Times New Roman"/>
          <w:color w:val="000000"/>
          <w:sz w:val="23"/>
        </w:rPr>
        <w:t>Это отсчёты в равноотстоящие моменты lT; X*(p)=Σₗx[lT]e^(−plT).</w:t>
      </w:r>
    </w:p>
    <w:p>
      <w:pPr>
        <w:keepNext/>
        <w:spacing w:before="40" w:after="6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Вероятные уточнения по результатам работы</w:t>
      </w:r>
    </w:p>
    <w:p>
      <w:pPr>
        <w:spacing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3"/>
        </w:rPr>
        <w:t xml:space="preserve">Почему растёт tрег при увеличении T? </w:t>
      </w:r>
      <w:r>
        <w:rPr>
          <w:rFonts w:ascii="Times New Roman" w:hAnsi="Times New Roman" w:eastAsia="Times New Roman"/>
          <w:color w:val="000000"/>
          <w:sz w:val="23"/>
        </w:rPr>
        <w:t>Обратная связь обновляется реже, поэтому динамическое поведение меняется и переходный процесс обычно удлиняется.</w:t>
      </w:r>
    </w:p>
    <w:p>
      <w:pPr>
        <w:spacing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3"/>
        </w:rPr>
        <w:t xml:space="preserve">Как определялся tрег? </w:t>
      </w:r>
      <w:r>
        <w:rPr>
          <w:rFonts w:ascii="Times New Roman" w:hAnsi="Times New Roman" w:eastAsia="Times New Roman"/>
          <w:color w:val="000000"/>
          <w:sz w:val="23"/>
        </w:rPr>
        <w:t>Как момент входа в полосу 0,95–1,05, после которого сигнал остаётся внутри неё.</w:t>
      </w:r>
    </w:p>
    <w:p>
      <w:pPr>
        <w:spacing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3"/>
        </w:rPr>
        <w:t xml:space="preserve">Как определялась граница устойчивости? </w:t>
      </w:r>
      <w:r>
        <w:rPr>
          <w:rFonts w:ascii="Times New Roman" w:hAnsi="Times New Roman" w:eastAsia="Times New Roman"/>
          <w:color w:val="000000"/>
          <w:sz w:val="23"/>
        </w:rPr>
        <w:t>По последнему K, при котором колебания не затухают и не нарастают.</w:t>
      </w:r>
    </w:p>
    <w:p>
      <w:pPr>
        <w:spacing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3"/>
        </w:rPr>
        <w:t xml:space="preserve">Что означает Kпред? </w:t>
      </w:r>
      <w:r>
        <w:rPr>
          <w:rFonts w:ascii="Times New Roman" w:hAnsi="Times New Roman" w:eastAsia="Times New Roman"/>
          <w:color w:val="000000"/>
          <w:sz w:val="23"/>
        </w:rPr>
        <w:t>Предельный коэффициент усиления на границе устойчивости.</w:t>
      </w:r>
    </w:p>
    <w:p>
      <w:pPr>
        <w:spacing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3"/>
        </w:rPr>
        <w:t xml:space="preserve">Как меняется Kпред с T в этих опытах? </w:t>
      </w:r>
      <w:r>
        <w:rPr>
          <w:rFonts w:ascii="Times New Roman" w:hAnsi="Times New Roman" w:eastAsia="Times New Roman"/>
          <w:color w:val="000000"/>
          <w:sz w:val="23"/>
        </w:rPr>
        <w:t>Снижается при увеличении периода квантования.</w:t>
      </w:r>
    </w:p>
    <w:p>
      <w:pPr>
        <w:spacing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3"/>
        </w:rPr>
        <w:t xml:space="preserve">Почему для скачка ошибка стремится к нулю? </w:t>
      </w:r>
      <w:r>
        <w:rPr>
          <w:rFonts w:ascii="Times New Roman" w:hAnsi="Times New Roman" w:eastAsia="Times New Roman"/>
          <w:color w:val="000000"/>
          <w:sz w:val="23"/>
        </w:rPr>
        <w:t>В прямой части есть интегратор, поэтому система имеет астатизм первого порядка по задающему скачку.</w:t>
      </w:r>
    </w:p>
    <w:p>
      <w:r>
        <w:br w:type="page"/>
      </w:r>
    </w:p>
    <w:p>
      <w:pPr>
        <w:keepNext/>
        <w:spacing w:before="80" w:after="12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10 Укрупнённые вопросы к защите: 1–3</w:t>
      </w:r>
    </w:p>
    <w:p>
      <w:pPr>
        <w:keepNext/>
        <w:spacing w:before="40" w:after="6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1. Квантование и типовая структура ИСАУ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3"/>
        </w:rPr>
        <w:t>Сигнал можно квантовать по времени, по уровню или по обоим признакам. В принятой в лекциях классификации импульсные системы используют квантование по времени, релейные — по уровню, цифровые — по времени и уровню. ИСАУ называют систему, в которой хотя бы одна переменная состояния квантуется по времени.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3"/>
        </w:rPr>
        <w:t>В замкнутой линейной структуре задающее воздействие поступает на сумматор, сигнал рассогласования проходит через импульсный элемент и непрерывную часть, а выход возвращается по отрицательной обратной связи. Для расчёта импульсный элемент заменяют идеальным импульсным элементом и формирователем. При АИМ высота импульса пропорциональна значению сигнала в момент lT.</w:t>
      </w:r>
    </w:p>
    <w:p>
      <w:pPr>
        <w:keepNext/>
        <w:spacing w:before="40" w:after="6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2. Импульсный элемент, решётчатая функция и D-преобразование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3"/>
        </w:rPr>
        <w:t>Идеальный импульсный элемент формирует последовательность δ-функций, площади которых равны отсчётам x[lT]. Параметры реального импульсного элемента: период T, длительность τи, относительная длительность γ, форма импульса и коэффициент передачи. Решётчатая функция — последовательность отсчётов, заданная только в равноотстоящие моменты времени.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3"/>
        </w:rPr>
        <w:t>Подставляя x*(t)=Σₗx[lT]δ(t−lT) в одностороннее преобразование Лапласа и применяя выборочное свойство δ-функции, получаем X*(p)=Σₗx[lT]e^(−plT). Для ступени 1₀(t) получаем e^(pT)/(e^(pT)−1), для рампы t получаем Te^(pT)/(e^(pT)−1)².</w:t>
      </w:r>
    </w:p>
    <w:p>
      <w:pPr>
        <w:keepNext/>
        <w:spacing w:before="40" w:after="6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3. Свойства D-преобразования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3"/>
        </w:rPr>
        <w:t>На защите достаточно назвать линейность, задержку на целое число тактов, сдвиг изображения, теорему о свёртке, изображение первой разности, накопленной суммы, начальное и предельное значения. Например, задержке на m тактов соответствует множитель e^(−pmT), свёртке во времени — произведение изображений, а сумма ординат равна F*(0), если ряд сходится.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3"/>
        </w:rPr>
        <w:t>Для предельного значения используют limₚ→0(1−e^(−pT))F*(p), если предел существует и полюса позволяют применить теорему. Начальное значение равно limₚ→∞F*(p). При задержке со сдвигом вперёд нужно учитывать начальные члены; простую формулу задержки применяют к причинной последовательности.</w:t>
      </w:r>
    </w:p>
    <w:p>
      <w:r>
        <w:br w:type="page"/>
      </w:r>
    </w:p>
    <w:p>
      <w:pPr>
        <w:keepNext/>
        <w:spacing w:before="80" w:after="12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11 Укрупнённые вопросы к защите: 4–5</w:t>
      </w:r>
    </w:p>
    <w:p>
      <w:pPr>
        <w:keepNext/>
        <w:spacing w:before="40" w:after="6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4. D̄-преобразование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2"/>
        </w:rPr>
        <w:t>D-преобразование действует на отсчёты, а D̄-преобразование позволяет получить изображение этих отсчётов по непрерывному изображению X(p). Связь выводят, представляя периодическую последовательность δ-импульсов рядом Фурье, умножая её на x(t) и преобразуя по Лапласу. Возникает сумма сдвинутых копий X(p−jω₀l), где ω₀=2π/T. Для начального значения x(0) лекция добавляет x(0)/2.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2"/>
        </w:rPr>
        <w:t>Основные свойства: линейность, вынесение множителя e^(−psT) при целом s и преобразование произведения непрерывного изображения с решётчатым изображением. Для сложного выражения используют таблицу или предварительно раскладывают его на простые дроби.</w:t>
      </w:r>
    </w:p>
    <w:p>
      <w:pPr>
        <w:keepNext/>
        <w:spacing w:before="40" w:after="6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5. Передаточные функции ИСАУ и способы нахождения Wр*(p)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2"/>
        </w:rPr>
        <w:t>Дискретная передаточная функция — отношение D-изображения выхода к D-изображению входа при нулевых начальных условиях. Для отрицательной единичной обратной связи Wз*=Wр*/(1+Wр*), а передаточная функция ошибки по задающему воздействию Wх*=1/(1+Wр*). Wр*(p) находят четырьмя способами: непосредственно по D̄-формуле; по отсчётам весовой функции; формулой разложения при выполнении условий; по таблицам после разложения на простые дроби.</w:t>
      </w:r>
    </w:p>
    <w:p>
      <w:pPr>
        <w:spacing w:after="80" w:before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2"/>
        </w:rPr>
        <w:t>Формула разложения в общем случае требует простых действительных ненулевых полюсов непрерывной части и формирующего звена Wф(p)=1. Для прямоугольных импульсов и для полюса p=0 в лекциях приведены отдельные варианты. При других условиях формулу нельзя применять без изменений.</w:t>
      </w:r>
    </w:p>
    <w:p>
      <w:pPr>
        <w:keepNext/>
        <w:spacing w:before="40" w:after="60" w:line="264" w:lineRule="auto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Источники</w:t>
      </w:r>
    </w:p>
    <w:p>
      <w:pPr>
        <w:spacing w:after="40" w:line="252" w:lineRule="auto"/>
        <w:ind w:firstLine="0" w:left="340"/>
        <w:jc w:val="left"/>
      </w:pPr>
      <w:r>
        <w:rPr>
          <w:rFonts w:ascii="Times New Roman" w:hAnsi="Times New Roman" w:eastAsia="Times New Roman"/>
          <w:color w:val="000000"/>
          <w:sz w:val="21"/>
        </w:rPr>
        <w:t>1. Державин О. М., Сидорова Е. Ю. Исследование импульсных систем автоматического управления и систем управления при случайных воздействиях: практикум. М.: Изд-во МЭИ, 2025. 52 с.</w:t>
      </w:r>
    </w:p>
    <w:p>
      <w:pPr>
        <w:spacing w:after="40" w:line="252" w:lineRule="auto"/>
        <w:ind w:firstLine="0" w:left="340"/>
        <w:jc w:val="left"/>
      </w:pPr>
      <w:r>
        <w:rPr>
          <w:rFonts w:ascii="Times New Roman" w:hAnsi="Times New Roman" w:eastAsia="Times New Roman"/>
          <w:color w:val="000000"/>
          <w:sz w:val="21"/>
        </w:rPr>
        <w:t>2. ТАУ, часть 2. Лекционные материалы, файл «ТАУвселекции.pdf»: лекции № 3–6 (D-преобразование, описание ИСАУ, формулы (1)–(6)).</w:t>
      </w:r>
    </w:p>
    <w:p>
      <w:pPr>
        <w:spacing w:after="40" w:line="252" w:lineRule="auto"/>
        <w:ind w:firstLine="0" w:left="340"/>
        <w:jc w:val="left"/>
      </w:pPr>
      <w:r>
        <w:rPr>
          <w:rFonts w:ascii="Times New Roman" w:hAnsi="Times New Roman" w:eastAsia="Times New Roman"/>
          <w:color w:val="000000"/>
          <w:sz w:val="21"/>
        </w:rPr>
        <w:t>3. Вопросы к защите лабораторной работы № 1 по дисциплине «ТАУ, часть 2», файл кафедральных материалов.</w:t>
      </w:r>
    </w:p>
    <w:p>
      <w:pPr>
        <w:spacing w:after="40" w:line="252" w:lineRule="auto"/>
        <w:ind w:firstLine="0" w:left="340"/>
        <w:jc w:val="left"/>
      </w:pPr>
      <w:r>
        <w:rPr>
          <w:rFonts w:ascii="Times New Roman" w:hAnsi="Times New Roman" w:eastAsia="Times New Roman"/>
          <w:color w:val="000000"/>
          <w:sz w:val="21"/>
        </w:rPr>
        <w:t>4. Материалы выполнения бригады № 2: заполненные таблицы, проекты SimInTech и выгрузки ошибок, 2026 г.</w:t>
      </w:r>
    </w:p>
    <w:sectPr w:rsidR="00E34F88" w:rsidRPr="00C02EEA" w:rsidSect="00034616">
      <w:footerReference w:type="default" r:id="rId12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75F11" w14:textId="77777777" w:rsidR="002F1C6A" w:rsidRDefault="002F1C6A">
      <w:pPr>
        <w:spacing w:after="0" w:line="240" w:lineRule="auto"/>
      </w:pPr>
      <w:r>
        <w:separator/>
      </w:r>
    </w:p>
  </w:endnote>
  <w:endnote w:type="continuationSeparator" w:id="0">
    <w:p w14:paraId="1695E05E" w14:textId="77777777" w:rsidR="002F1C6A" w:rsidRDefault="002F1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1295D" w14:textId="77777777" w:rsidR="00E34F88" w:rsidRDefault="00000000">
    <w:pPr>
      <w:pStyle w:val="a7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firstLine="0"/>
      <w:jc w:val="center"/>
    </w:pPr>
    <w:r>
      <w:rPr>
        <w:rFonts w:ascii="Times New Roman" w:hAnsi="Times New Roman" w:eastAsia="Times New Roman"/>
        <w:color w:val="000000"/>
        <w:sz w:val="20"/>
      </w:rPr>
      <w:t xml:space="preserve">ТАУ-2 · ЛР1 · бригада № 2 · </w:t>
    </w:r>
    <w:r>
      <w:rPr>
        <w:rFonts w:ascii="Times New Roman" w:hAnsi="Times New Roman" w:eastAsia="Times New Roman"/>
        <w:color w:val="000000"/>
        <w:sz w:val="20"/>
      </w:rPr>
      <w:t xml:space="preserve">стр. </w:t>
    </w:r>
    <w:r>
      <w:rPr>
        <w:rFonts w:ascii="Times New Roman" w:hAnsi="Times New Roman" w:eastAsia="Times New Roman"/>
        <w:color w:val="000000"/>
        <w:sz w:val="20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EA82E" w14:textId="77777777" w:rsidR="002F1C6A" w:rsidRDefault="002F1C6A">
      <w:pPr>
        <w:spacing w:after="0" w:line="240" w:lineRule="auto"/>
      </w:pPr>
      <w:r>
        <w:separator/>
      </w:r>
    </w:p>
  </w:footnote>
  <w:footnote w:type="continuationSeparator" w:id="0">
    <w:p w14:paraId="740E0E79" w14:textId="77777777" w:rsidR="002F1C6A" w:rsidRDefault="002F1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76957">
    <w:abstractNumId w:val="8"/>
  </w:num>
  <w:num w:numId="2" w16cid:durableId="1500851010">
    <w:abstractNumId w:val="6"/>
  </w:num>
  <w:num w:numId="3" w16cid:durableId="294871454">
    <w:abstractNumId w:val="5"/>
  </w:num>
  <w:num w:numId="4" w16cid:durableId="1153721713">
    <w:abstractNumId w:val="4"/>
  </w:num>
  <w:num w:numId="5" w16cid:durableId="1235891416">
    <w:abstractNumId w:val="7"/>
  </w:num>
  <w:num w:numId="6" w16cid:durableId="506017108">
    <w:abstractNumId w:val="3"/>
  </w:num>
  <w:num w:numId="7" w16cid:durableId="950891522">
    <w:abstractNumId w:val="2"/>
  </w:num>
  <w:num w:numId="8" w16cid:durableId="625895698">
    <w:abstractNumId w:val="1"/>
  </w:num>
  <w:num w:numId="9" w16cid:durableId="289171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D67"/>
    <w:rsid w:val="00034616"/>
    <w:rsid w:val="0006063C"/>
    <w:rsid w:val="0015074B"/>
    <w:rsid w:val="0029639D"/>
    <w:rsid w:val="002F1C6A"/>
    <w:rsid w:val="00326F90"/>
    <w:rsid w:val="00AA1D8D"/>
    <w:rsid w:val="00B47730"/>
    <w:rsid w:val="00C02EEA"/>
    <w:rsid w:val="00CB0664"/>
    <w:rsid w:val="00E34F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98FD01"/>
  <w14:defaultImageDpi w14:val="300"/>
  <w15:docId w15:val="{F1C1709A-A671-4DEC-80BB-78FF40192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  <w:ind w:firstLine="709"/>
    </w:pPr>
    <w:rPr>
      <w:rFonts w:ascii="Times New Roman" w:hAnsi="Times New Roman" w:eastAsia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rFonts w:ascii="Times New Roman" w:hAnsi="Times New Roman" w:eastAsia="Times New Roman"/>
      <w:color w:val="000000"/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color w:val="000000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 по ТАУ, часть 2</dc:title>
  <dc:subject>Исследование импульсных систем автоматического управления, вариант 2</dc:subject>
  <dc:creator>Грудинин Е.К.; Турханов А.К.; Огарков И.А.</dc:creator>
  <cp:keywords/>
  <dc:description>generated by python-docx</dc:description>
  <cp:lastModifiedBy>Егор Грудинин</cp:lastModifiedBy>
  <cp:revision>2</cp:revision>
  <dcterms:created xsi:type="dcterms:W3CDTF">2026-10-30T11:45:00Z</dcterms:created>
  <dcterms:modified xsi:type="dcterms:W3CDTF">2026-10-30T11:45:00Z</dcterms:modified>
  <cp:category/>
</cp:coreProperties>
</file>