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Times New Roman" w:hAnsi="Times New Roman"/>
          <w:sz w:val="21"/>
        </w:rPr>
        <w:t>Федеральное государственное бюджетное образовательное учреждение</w:t>
        <w:br/>
        <w:t>высшего образования</w:t>
        <w:br/>
        <w:t>«НАЦИОНАЛЬНЫЙ ИССЛЕДОВАТЕЛЬСКИЙ УНИВЕРСИТЕТ «МЭИ»</w:t>
        <w:br/>
        <w:t>Кафедра управления и интеллектуальных технологий</w:t>
      </w:r>
    </w:p>
    <w:p>
      <w:pPr>
        <w:spacing w:before="2200"/>
      </w:pPr>
    </w:p>
    <w:p>
      <w:pPr>
        <w:spacing w:after="80"/>
        <w:jc w:val="center"/>
      </w:pPr>
      <w:r>
        <w:rPr>
          <w:rFonts w:ascii="Times New Roman" w:hAnsi="Times New Roman"/>
          <w:b/>
          <w:sz w:val="32"/>
        </w:rPr>
        <w:t>ОТЧЕТ ПО ЛАБОРАТОРНОЙ РАБОТЕ №1</w:t>
        <w:br/>
      </w:r>
      <w:r>
        <w:rPr>
          <w:rFonts w:ascii="Times New Roman" w:hAnsi="Times New Roman"/>
          <w:b/>
          <w:sz w:val="26"/>
        </w:rPr>
        <w:t>«Изучение основ применения искусственных нейронных сетей»</w:t>
        <w:br/>
      </w:r>
    </w:p>
    <w:p>
      <w:pPr>
        <w:spacing w:after="40"/>
        <w:jc w:val="center"/>
      </w:pPr>
      <w:r>
        <w:rPr>
          <w:rFonts w:ascii="Times New Roman" w:hAnsi="Times New Roman"/>
          <w:sz w:val="24"/>
        </w:rPr>
        <w:t>по курсу «Нейро-нечеткие технологии в задачах управления»</w:t>
        <w:br/>
        <w:t>Вариант № 6 (6.1)</w:t>
      </w:r>
    </w:p>
    <w:p>
      <w:pPr>
        <w:spacing w:before="1800"/>
      </w:pPr>
    </w:p>
    <w:p>
      <w:pPr>
        <w:spacing w:after="40" w:line="276" w:lineRule="auto"/>
        <w:ind w:left="5184"/>
      </w:pPr>
      <w:r>
        <w:rPr>
          <w:rFonts w:ascii="Times New Roman" w:hAnsi="Times New Roman"/>
          <w:sz w:val="23"/>
        </w:rPr>
        <w:t>Выполнили:</w:t>
        <w:br/>
        <w:t>Студенты группы А-03-23</w:t>
        <w:br/>
        <w:t>Грудинин Е.К.</w:t>
        <w:br/>
        <w:t>Турханов А.К.</w:t>
        <w:br/>
        <w:br/>
        <w:t>Проверил:</w:t>
        <w:br/>
        <w:t>доцент, к.т.н.</w:t>
        <w:br/>
        <w:t>Косинский М.Ю.</w:t>
      </w:r>
    </w:p>
    <w:p>
      <w:pPr>
        <w:spacing w:before="2000"/>
      </w:pPr>
    </w:p>
    <w:p>
      <w:pPr>
        <w:jc w:val="center"/>
      </w:pPr>
      <w:r>
        <w:rPr>
          <w:rFonts w:ascii="Times New Roman" w:hAnsi="Times New Roman"/>
          <w:sz w:val="24"/>
        </w:rPr>
        <w:t>Москва 2026 г.</w:t>
      </w:r>
    </w:p>
    <w:p>
      <w:r>
        <w:br w:type="page"/>
      </w:r>
    </w:p>
    <w:p>
      <w:pPr>
        <w:keepNext/>
        <w:spacing w:before="240" w:after="80"/>
      </w:pPr>
      <w:r>
        <w:rPr>
          <w:rFonts w:ascii="Times New Roman" w:hAnsi="Times New Roman"/>
          <w:b/>
          <w:sz w:val="26"/>
        </w:rPr>
        <w:t>Задание на лабораторную работу</w:t>
      </w:r>
    </w:p>
    <w:p>
      <w:pPr>
        <w:spacing w:line="276" w:lineRule="auto" w:after="60"/>
        <w:ind w:firstLine="706"/>
      </w:pPr>
      <w:r>
        <w:rPr>
          <w:rFonts w:ascii="Times New Roman" w:hAnsi="Times New Roman"/>
          <w:b w:val="0"/>
          <w:i w:val="0"/>
          <w:sz w:val="24"/>
        </w:rPr>
        <w:t>Цель работы: изучение основ работы с искусственными нейронными сетями в SimInTech на примере классификации ирисов и построение схемы для оценки надежности технических систем по варианту.</w:t>
      </w:r>
    </w:p>
    <w:p>
      <w:pPr>
        <w:spacing w:line="276" w:lineRule="auto" w:after="60"/>
        <w:ind w:firstLine="706"/>
      </w:pPr>
      <w:r>
        <w:rPr>
          <w:rFonts w:ascii="Times New Roman" w:hAnsi="Times New Roman"/>
          <w:b w:val="0"/>
          <w:i w:val="0"/>
          <w:sz w:val="24"/>
        </w:rPr>
        <w:t>Порядок выполнения:</w:t>
      </w:r>
    </w:p>
    <w:p>
      <w:pPr>
        <w:spacing w:line="276" w:lineRule="auto" w:after="60"/>
        <w:ind w:firstLine="706"/>
      </w:pPr>
      <w:r>
        <w:rPr>
          <w:rFonts w:ascii="Times New Roman" w:hAnsi="Times New Roman"/>
          <w:b w:val="0"/>
          <w:i w:val="0"/>
          <w:sz w:val="24"/>
        </w:rPr>
        <w:t>1. Ознакомиться со схемой классификации ирисов. Изучить блоки и параметры расчета, обучить сеть и оценить точность.</w:t>
      </w:r>
    </w:p>
    <w:p>
      <w:pPr>
        <w:spacing w:line="276" w:lineRule="auto" w:after="60"/>
        <w:ind w:firstLine="706"/>
      </w:pPr>
      <w:r>
        <w:rPr>
          <w:rFonts w:ascii="Times New Roman" w:hAnsi="Times New Roman"/>
          <w:b w:val="0"/>
          <w:i w:val="0"/>
          <w:sz w:val="24"/>
        </w:rPr>
        <w:t>2. Проверить работу обученной сети на тестовых данных.</w:t>
      </w:r>
    </w:p>
    <w:p>
      <w:pPr>
        <w:spacing w:line="276" w:lineRule="auto" w:after="60"/>
        <w:ind w:firstLine="706"/>
      </w:pPr>
      <w:r>
        <w:rPr>
          <w:rFonts w:ascii="Times New Roman" w:hAnsi="Times New Roman"/>
          <w:b w:val="0"/>
          <w:i w:val="0"/>
          <w:sz w:val="24"/>
        </w:rPr>
        <w:t>3. Проверить влияние изменения количества слоев и нейронов на обучение.</w:t>
      </w:r>
    </w:p>
    <w:p>
      <w:pPr>
        <w:spacing w:line="276" w:lineRule="auto" w:after="60"/>
        <w:ind w:firstLine="706"/>
      </w:pPr>
      <w:r>
        <w:rPr>
          <w:rFonts w:ascii="Times New Roman" w:hAnsi="Times New Roman"/>
          <w:b w:val="0"/>
          <w:i w:val="0"/>
          <w:sz w:val="24"/>
        </w:rPr>
        <w:t>4. Собрать схему для классификации систем по степени надежности по варианту 6.1, загрузив данные из файлов input61.txt и target61.txt.</w:t>
      </w:r>
    </w:p>
    <w:p>
      <w:pPr>
        <w:spacing w:line="276" w:lineRule="auto" w:after="60"/>
        <w:ind w:firstLine="706"/>
      </w:pPr>
      <w:r>
        <w:rPr>
          <w:rFonts w:ascii="Times New Roman" w:hAnsi="Times New Roman"/>
          <w:b w:val="0"/>
          <w:i w:val="0"/>
          <w:sz w:val="24"/>
        </w:rPr>
        <w:t>5. Настроить размерность входа на 3 параметра и выхода на 4 класса надежности.</w:t>
      </w:r>
    </w:p>
    <w:p>
      <w:pPr>
        <w:spacing w:line="276" w:lineRule="auto" w:after="60"/>
        <w:ind w:firstLine="706"/>
      </w:pPr>
      <w:r>
        <w:rPr>
          <w:rFonts w:ascii="Times New Roman" w:hAnsi="Times New Roman"/>
          <w:b w:val="0"/>
          <w:i w:val="0"/>
          <w:sz w:val="24"/>
        </w:rPr>
        <w:t>6. Обучить сеть, протестировать на выборке input61t.txt и сделать выводы по точности.</w:t>
      </w:r>
    </w:p>
    <w:p>
      <w:pPr>
        <w:keepNext/>
        <w:spacing w:before="240" w:after="80"/>
      </w:pPr>
      <w:r>
        <w:rPr>
          <w:rFonts w:ascii="Times New Roman" w:hAnsi="Times New Roman"/>
          <w:b/>
          <w:sz w:val="26"/>
        </w:rPr>
        <w:t>Исходные данные (Вариант 6.1)</w:t>
      </w:r>
    </w:p>
    <w:p>
      <w:pPr>
        <w:spacing w:line="276" w:lineRule="auto" w:after="60"/>
        <w:ind w:firstLine="706"/>
      </w:pPr>
      <w:r>
        <w:rPr>
          <w:rFonts w:ascii="Times New Roman" w:hAnsi="Times New Roman"/>
          <w:b w:val="0"/>
          <w:i w:val="0"/>
          <w:sz w:val="24"/>
        </w:rPr>
        <w:t>Объект исследования — информационно-вычислительный комплекс электроустановки (ИВКЭ) АИИС КУЭ. Требуется оценить категорию надежности системы (коэффициент готовности) по трем входным параметрам:</w:t>
      </w:r>
    </w:p>
    <w:p>
      <w:pPr>
        <w:spacing w:line="276" w:lineRule="auto" w:after="60"/>
        <w:ind w:firstLine="706"/>
      </w:pPr>
      <w:r>
        <w:rPr>
          <w:rFonts w:ascii="Times New Roman" w:hAnsi="Times New Roman"/>
          <w:b w:val="0"/>
          <w:i w:val="0"/>
          <w:sz w:val="24"/>
        </w:rPr>
        <w:t>• x₁ — коэффициент сложности ИВКЭ (число счетчиков, значения от 0 до 25, среднее 12.8);</w:t>
      </w:r>
    </w:p>
    <w:p>
      <w:pPr>
        <w:spacing w:line="276" w:lineRule="auto" w:after="60"/>
        <w:ind w:firstLine="706"/>
      </w:pPr>
      <w:r>
        <w:rPr>
          <w:rFonts w:ascii="Times New Roman" w:hAnsi="Times New Roman"/>
          <w:b w:val="0"/>
          <w:i w:val="0"/>
          <w:sz w:val="24"/>
        </w:rPr>
        <w:t>• x₂ — максимальное по модулю отклонение тока от номинала в цепях ТТ, ТН и счетчиков (значения от -100% до +100%, среднее -0.6%);</w:t>
      </w:r>
    </w:p>
    <w:p>
      <w:pPr>
        <w:spacing w:line="276" w:lineRule="auto" w:after="60"/>
        <w:ind w:firstLine="706"/>
      </w:pPr>
      <w:r>
        <w:rPr>
          <w:rFonts w:ascii="Times New Roman" w:hAnsi="Times New Roman"/>
          <w:b w:val="0"/>
          <w:i w:val="0"/>
          <w:sz w:val="24"/>
        </w:rPr>
        <w:t>• x₃ — срок эксплуатации оборудования в годах (значения от 0 до 16 лет, среднее 8.0 лет).</w:t>
      </w:r>
    </w:p>
    <w:p>
      <w:pPr>
        <w:spacing w:line="276" w:lineRule="auto" w:after="60"/>
        <w:ind w:firstLine="706"/>
      </w:pPr>
      <w:r>
        <w:rPr>
          <w:rFonts w:ascii="Times New Roman" w:hAnsi="Times New Roman"/>
          <w:b w:val="0"/>
          <w:i w:val="0"/>
          <w:sz w:val="24"/>
        </w:rPr>
        <w:t>Выходной параметр — класс надежности системы от 0 до 3:</w:t>
      </w:r>
    </w:p>
    <w:p>
      <w:pPr>
        <w:spacing w:line="276" w:lineRule="auto" w:after="60"/>
        <w:ind w:firstLine="706"/>
      </w:pPr>
      <w:r>
        <w:rPr>
          <w:rFonts w:ascii="Times New Roman" w:hAnsi="Times New Roman"/>
          <w:b w:val="0"/>
          <w:i w:val="0"/>
          <w:sz w:val="24"/>
        </w:rPr>
        <w:t>• 0 — аварийное состояние (195 систем в выборке);</w:t>
      </w:r>
    </w:p>
    <w:p>
      <w:pPr>
        <w:spacing w:line="276" w:lineRule="auto" w:after="60"/>
        <w:ind w:firstLine="706"/>
      </w:pPr>
      <w:r>
        <w:rPr>
          <w:rFonts w:ascii="Times New Roman" w:hAnsi="Times New Roman"/>
          <w:b w:val="0"/>
          <w:i w:val="0"/>
          <w:sz w:val="24"/>
        </w:rPr>
        <w:t>• 1 — пониженная готовность (307 систем);</w:t>
      </w:r>
    </w:p>
    <w:p>
      <w:pPr>
        <w:spacing w:line="276" w:lineRule="auto" w:after="60"/>
        <w:ind w:firstLine="706"/>
      </w:pPr>
      <w:r>
        <w:rPr>
          <w:rFonts w:ascii="Times New Roman" w:hAnsi="Times New Roman"/>
          <w:b w:val="0"/>
          <w:i w:val="0"/>
          <w:sz w:val="24"/>
        </w:rPr>
        <w:t>• 2 — нормальная готовность (397 систем);</w:t>
      </w:r>
    </w:p>
    <w:p>
      <w:pPr>
        <w:spacing w:line="276" w:lineRule="auto" w:after="60"/>
        <w:ind w:firstLine="706"/>
      </w:pPr>
      <w:r>
        <w:rPr>
          <w:rFonts w:ascii="Times New Roman" w:hAnsi="Times New Roman"/>
          <w:b w:val="0"/>
          <w:i w:val="0"/>
          <w:sz w:val="24"/>
        </w:rPr>
        <w:t>• 3 — высокая надежность (101 система).</w:t>
      </w:r>
    </w:p>
    <w:p>
      <w:pPr>
        <w:spacing w:line="276" w:lineRule="auto" w:after="60"/>
        <w:ind w:firstLine="706"/>
      </w:pPr>
      <w:r>
        <w:rPr>
          <w:rFonts w:ascii="Times New Roman" w:hAnsi="Times New Roman"/>
          <w:b w:val="0"/>
          <w:i w:val="0"/>
          <w:sz w:val="24"/>
        </w:rPr>
        <w:t>Выборка содержит 1000 записей. Исходные данные находятся в файлах input61.txt (обучение), input61t.txt (тест) и target61.txt (метки классов).</w:t>
      </w:r>
    </w:p>
    <w:p>
      <w:pPr>
        <w:keepNext/>
        <w:spacing w:before="240" w:after="80"/>
      </w:pPr>
      <w:r>
        <w:rPr>
          <w:rFonts w:ascii="Times New Roman" w:hAnsi="Times New Roman"/>
          <w:b/>
          <w:sz w:val="26"/>
        </w:rPr>
        <w:t>Ход выполнения работы</w:t>
      </w:r>
    </w:p>
    <w:p>
      <w:pPr>
        <w:spacing w:line="276" w:lineRule="auto" w:after="60"/>
      </w:pPr>
      <w:r>
        <w:rPr>
          <w:rFonts w:ascii="Times New Roman" w:hAnsi="Times New Roman"/>
          <w:b/>
          <w:i w:val="0"/>
          <w:sz w:val="24"/>
        </w:rPr>
        <w:t>1. Ознакомились с принципами работы с искусственными нейронными сетями в ППП Simintech на примере проекта классификации ирисов (\SimInTech\Demo\Нейронные сети\Классификация ирисов\Обучение.prt).</w:t>
      </w:r>
    </w:p>
    <w:p>
      <w:pPr>
        <w:spacing w:line="276" w:lineRule="auto" w:after="60"/>
      </w:pPr>
      <w:r>
        <w:rPr>
          <w:rFonts w:ascii="Times New Roman" w:hAnsi="Times New Roman"/>
          <w:b/>
          <w:i w:val="0"/>
          <w:sz w:val="24"/>
        </w:rPr>
        <w:t>2. Изучили состав схемы, назначение блоков и их свойства. Изучили пункт меню «Параметры расчёта». Провели обучение данной сети. Сделали вывод о точности обучения.</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023360" cy="1500236"/>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4023360" cy="1500236"/>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 Обучение ИНС на примере датасета ирисов Фишера</w:t>
            </w:r>
          </w:p>
        </w:tc>
      </w:tr>
    </w:tbl>
    <w:p>
      <w:pPr>
        <w:spacing w:after="40"/>
      </w:pPr>
    </w:p>
    <w:p>
      <w:pPr>
        <w:spacing w:line="276" w:lineRule="auto" w:after="60"/>
        <w:ind w:firstLine="706"/>
      </w:pPr>
      <w:r>
        <w:rPr>
          <w:rFonts w:ascii="Times New Roman" w:hAnsi="Times New Roman"/>
          <w:b w:val="0"/>
          <w:i w:val="0"/>
          <w:sz w:val="24"/>
        </w:rPr>
        <w:t>В базовой сети задано два скрытых слоя: 300 и 100 нейронов с функцией активации ReLU, выходной слой рассчитан на 3 класса. Время расчета задали 10 с (10 эпох). Динамика обучения выводится на временной график.</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3291840" cy="333248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3291840" cy="3332480"/>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2. График точности обучения ИНС на 10 эпохах. Ирисы Фишера</w:t>
            </w:r>
          </w:p>
        </w:tc>
      </w:tr>
    </w:tbl>
    <w:p>
      <w:pPr>
        <w:spacing w:after="40"/>
      </w:pPr>
    </w:p>
    <w:p>
      <w:pPr>
        <w:spacing w:line="276" w:lineRule="auto" w:after="60"/>
        <w:ind w:firstLine="706"/>
      </w:pPr>
      <w:r>
        <w:rPr>
          <w:rFonts w:ascii="Times New Roman" w:hAnsi="Times New Roman"/>
          <w:b w:val="0"/>
          <w:i w:val="0"/>
          <w:sz w:val="24"/>
        </w:rPr>
        <w:t>Точность обучения быстро растет и к 10 эпохе доходит до 95%. Для проверки работы сети открыли схему тестирования и подали всю выборку из 150 экземпляров.</w:t>
      </w:r>
    </w:p>
    <w:p>
      <w:pPr>
        <w:spacing w:line="276" w:lineRule="auto" w:after="60"/>
      </w:pPr>
      <w:r>
        <w:rPr>
          <w:rFonts w:ascii="Times New Roman" w:hAnsi="Times New Roman"/>
          <w:b/>
          <w:i w:val="0"/>
          <w:sz w:val="24"/>
        </w:rPr>
        <w:t>3. Провели исследование работы обученной сети, для этого открыли проект (\SimInTech\Demo\Нейронные сети\Классификация ирисов\Тестирование.prt).</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023360" cy="1255698"/>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4023360" cy="1255698"/>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3. Тестирование ИНС. Классификация ирисов</w:t>
            </w:r>
          </w:p>
        </w:tc>
      </w:tr>
    </w:tbl>
    <w:p>
      <w:pPr>
        <w:spacing w:after="4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3291840" cy="3339253"/>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3291840" cy="3339253"/>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4. Определение типа ириса на тестовой выборке</w:t>
            </w:r>
          </w:p>
        </w:tc>
      </w:tr>
    </w:tbl>
    <w:p>
      <w:pPr>
        <w:spacing w:after="40"/>
      </w:pPr>
    </w:p>
    <w:p>
      <w:pPr>
        <w:spacing w:line="276" w:lineRule="auto" w:after="60"/>
        <w:ind w:firstLine="706"/>
      </w:pPr>
      <w:r>
        <w:rPr>
          <w:rFonts w:ascii="Times New Roman" w:hAnsi="Times New Roman"/>
          <w:b w:val="0"/>
          <w:i w:val="0"/>
          <w:sz w:val="24"/>
        </w:rPr>
        <w:t>На рис. 4 видно, что сеть без ошибок определяет ирисы первого класса (значение 0), а на втором и третьем классах (значения 1 и 2) есть единичные ошибки классификации из-за взаимного перекрытия их признаков.</w:t>
      </w:r>
    </w:p>
    <w:p>
      <w:pPr>
        <w:spacing w:line="276" w:lineRule="auto" w:after="60"/>
      </w:pPr>
      <w:r>
        <w:rPr>
          <w:rFonts w:ascii="Times New Roman" w:hAnsi="Times New Roman"/>
          <w:b/>
          <w:i w:val="0"/>
          <w:sz w:val="24"/>
        </w:rPr>
        <w:t>4. Исследовали влияние увеличения и уменьшения количества слоёв на качество обучения.</w:t>
      </w:r>
    </w:p>
    <w:p>
      <w:pPr>
        <w:spacing w:line="276" w:lineRule="auto" w:after="60"/>
        <w:ind w:firstLine="706"/>
      </w:pPr>
      <w:r>
        <w:rPr>
          <w:rFonts w:ascii="Times New Roman" w:hAnsi="Times New Roman"/>
          <w:b w:val="0"/>
          <w:i w:val="0"/>
          <w:sz w:val="24"/>
        </w:rPr>
        <w:t>Далее проверили, как влияет увеличение времени обучения до 100 эпох и изменение структуры скрытых слоев.</w:t>
      </w:r>
    </w:p>
    <w:p>
      <w:pPr>
        <w:spacing w:line="276" w:lineRule="auto" w:after="60"/>
        <w:ind w:firstLine="706"/>
      </w:pPr>
      <w:r>
        <w:rPr>
          <w:rFonts w:ascii="Times New Roman" w:hAnsi="Times New Roman"/>
          <w:b w:val="0"/>
          <w:i w:val="0"/>
          <w:sz w:val="24"/>
        </w:rPr>
        <w:t>В первой модификации добавили третий скрытый слой, получив структуру 300 – 100 – 100 при 100 эпохах обучения:</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023360" cy="1372777"/>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023360" cy="1372777"/>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5. Обучение ИНС. Ирисы Фишера. Структура сети: 300 – 100 – 100</w:t>
            </w:r>
          </w:p>
        </w:tc>
      </w:tr>
    </w:tbl>
    <w:p>
      <w:pPr>
        <w:spacing w:after="4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3291840" cy="3332480"/>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3291840" cy="3332480"/>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6. Точность обучения ИНС. Ирисы Фишера. Структура сети: 300 – 100 – 100</w:t>
            </w:r>
          </w:p>
        </w:tc>
      </w:tr>
    </w:tbl>
    <w:p>
      <w:pPr>
        <w:spacing w:after="40"/>
      </w:pPr>
    </w:p>
    <w:p>
      <w:pPr>
        <w:spacing w:line="276" w:lineRule="auto" w:after="60"/>
        <w:ind w:firstLine="706"/>
      </w:pPr>
      <w:r>
        <w:rPr>
          <w:rFonts w:ascii="Times New Roman" w:hAnsi="Times New Roman"/>
          <w:b w:val="0"/>
          <w:i w:val="0"/>
          <w:sz w:val="24"/>
        </w:rPr>
        <w:t>Из графика видно, что точность обучения достигала 100%. После этого проверили работу схемы в режиме теста:</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023360" cy="1075475"/>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4023360" cy="1075475"/>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7. Тестирование первой модификации ИНС. Ирисы Фишера</w:t>
            </w:r>
          </w:p>
        </w:tc>
      </w:tr>
    </w:tbl>
    <w:p>
      <w:pPr>
        <w:spacing w:after="4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3291840" cy="3339253"/>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3291840" cy="3339253"/>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8. Результаты тестирования первой модификации ИНС. Ирисы Фишера</w:t>
            </w:r>
          </w:p>
        </w:tc>
      </w:tr>
    </w:tbl>
    <w:p>
      <w:pPr>
        <w:spacing w:after="40"/>
      </w:pPr>
    </w:p>
    <w:p>
      <w:pPr>
        <w:spacing w:line="276" w:lineRule="auto" w:after="60"/>
        <w:ind w:firstLine="706"/>
      </w:pPr>
      <w:r>
        <w:rPr>
          <w:rFonts w:ascii="Times New Roman" w:hAnsi="Times New Roman"/>
          <w:b w:val="0"/>
          <w:i w:val="0"/>
          <w:sz w:val="24"/>
        </w:rPr>
        <w:t>На рис. 8 видна идеальная ступенчатая функция без единой ошибки классификации на всей тестовой выборке из 150 образцов.</w:t>
      </w:r>
    </w:p>
    <w:p>
      <w:pPr>
        <w:spacing w:line="276" w:lineRule="auto" w:after="60"/>
        <w:ind w:firstLine="706"/>
      </w:pPr>
      <w:r>
        <w:rPr>
          <w:rFonts w:ascii="Times New Roman" w:hAnsi="Times New Roman"/>
          <w:b w:val="0"/>
          <w:i w:val="0"/>
          <w:sz w:val="24"/>
        </w:rPr>
        <w:t>Во второй модификации уменьшили число скрытых слоев до одного, задав в нем 300 нейронов:</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023360" cy="1583490"/>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4023360" cy="1583490"/>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9. Обучение ИНС. Ирисы Фишера. Структура сети: 300</w:t>
            </w:r>
          </w:p>
        </w:tc>
      </w:tr>
    </w:tbl>
    <w:p>
      <w:pPr>
        <w:spacing w:after="4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3291840" cy="3332480"/>
                  <wp:docPr id="10" name="Picture 10"/>
                  <wp:cNvGraphicFramePr>
                    <a:graphicFrameLocks noChangeAspect="1"/>
                  </wp:cNvGraphicFramePr>
                  <a:graphic>
                    <a:graphicData uri="http://schemas.openxmlformats.org/drawingml/2006/picture">
                      <pic:pic>
                        <pic:nvPicPr>
                          <pic:cNvPr id="0" name="image10.png"/>
                          <pic:cNvPicPr/>
                        </pic:nvPicPr>
                        <pic:blipFill>
                          <a:blip r:embed="rId18"/>
                          <a:stretch>
                            <a:fillRect/>
                          </a:stretch>
                        </pic:blipFill>
                        <pic:spPr>
                          <a:xfrm>
                            <a:off x="0" y="0"/>
                            <a:ext cx="3291840" cy="3332480"/>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10. Точность обучения ИНС. Ирисы Фишера. Структура сети: 300</w:t>
            </w:r>
          </w:p>
        </w:tc>
      </w:tr>
    </w:tbl>
    <w:p>
      <w:pPr>
        <w:spacing w:after="40"/>
      </w:pPr>
    </w:p>
    <w:p>
      <w:pPr>
        <w:spacing w:line="276" w:lineRule="auto" w:after="60"/>
        <w:ind w:firstLine="706"/>
      </w:pPr>
      <w:r>
        <w:rPr>
          <w:rFonts w:ascii="Times New Roman" w:hAnsi="Times New Roman"/>
          <w:b w:val="0"/>
          <w:i w:val="0"/>
          <w:sz w:val="24"/>
        </w:rPr>
        <w:t>Точность обучения стабилизировалась около 96%. После этого провели тестирование однослойной сети:</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023360" cy="1033524"/>
                  <wp:docPr id="11" name="Picture 11"/>
                  <wp:cNvGraphicFramePr>
                    <a:graphicFrameLocks noChangeAspect="1"/>
                  </wp:cNvGraphicFramePr>
                  <a:graphic>
                    <a:graphicData uri="http://schemas.openxmlformats.org/drawingml/2006/picture">
                      <pic:pic>
                        <pic:nvPicPr>
                          <pic:cNvPr id="0" name="image11.png"/>
                          <pic:cNvPicPr/>
                        </pic:nvPicPr>
                        <pic:blipFill>
                          <a:blip r:embed="rId19"/>
                          <a:stretch>
                            <a:fillRect/>
                          </a:stretch>
                        </pic:blipFill>
                        <pic:spPr>
                          <a:xfrm>
                            <a:off x="0" y="0"/>
                            <a:ext cx="4023360" cy="1033524"/>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11. Тестирование второй модификации ИНС. Ирисы Фишера</w:t>
            </w:r>
          </w:p>
        </w:tc>
      </w:tr>
    </w:tbl>
    <w:p>
      <w:pPr>
        <w:spacing w:after="4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3291840" cy="3339253"/>
                  <wp:docPr id="12" name="Picture 12"/>
                  <wp:cNvGraphicFramePr>
                    <a:graphicFrameLocks noChangeAspect="1"/>
                  </wp:cNvGraphicFramePr>
                  <a:graphic>
                    <a:graphicData uri="http://schemas.openxmlformats.org/drawingml/2006/picture">
                      <pic:pic>
                        <pic:nvPicPr>
                          <pic:cNvPr id="0" name="image12.png"/>
                          <pic:cNvPicPr/>
                        </pic:nvPicPr>
                        <pic:blipFill>
                          <a:blip r:embed="rId20"/>
                          <a:stretch>
                            <a:fillRect/>
                          </a:stretch>
                        </pic:blipFill>
                        <pic:spPr>
                          <a:xfrm>
                            <a:off x="0" y="0"/>
                            <a:ext cx="3291840" cy="3339253"/>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12. Результаты тестирования второй модификации ИНС. Ирисы Фишера</w:t>
            </w:r>
          </w:p>
        </w:tc>
      </w:tr>
    </w:tbl>
    <w:p>
      <w:pPr>
        <w:spacing w:after="40"/>
      </w:pPr>
    </w:p>
    <w:p>
      <w:pPr>
        <w:spacing w:line="276" w:lineRule="auto" w:after="60"/>
        <w:ind w:firstLine="706"/>
      </w:pPr>
      <w:r>
        <w:rPr>
          <w:rFonts w:ascii="Times New Roman" w:hAnsi="Times New Roman"/>
          <w:b w:val="0"/>
          <w:i w:val="0"/>
          <w:sz w:val="24"/>
        </w:rPr>
        <w:t>Уменьшение числа скрытых слоев до одного сохранило высокую точность на тесте (около 96%, две ошибки на 150 образцов), при этом кривая обучения стала более плавной.</w:t>
      </w:r>
    </w:p>
    <w:p>
      <w:pPr>
        <w:spacing w:line="276" w:lineRule="auto" w:after="60"/>
      </w:pPr>
      <w:r>
        <w:rPr>
          <w:rFonts w:ascii="Times New Roman" w:hAnsi="Times New Roman"/>
          <w:b/>
          <w:i w:val="0"/>
          <w:sz w:val="24"/>
        </w:rPr>
        <w:t>5. На основе изученных схем создали свою схему для классификации систем по степени надёжности. Сохранили созданный проект в своей папке на ПК.</w:t>
      </w:r>
    </w:p>
    <w:p>
      <w:pPr>
        <w:spacing w:line="276" w:lineRule="auto" w:after="60"/>
      </w:pPr>
      <w:r>
        <w:rPr>
          <w:rFonts w:ascii="Times New Roman" w:hAnsi="Times New Roman"/>
          <w:b/>
          <w:i w:val="0"/>
          <w:sz w:val="24"/>
        </w:rPr>
        <w:t>6. Данные, необходимые для выполнения работы, находятся в файлах inputXX.txt, targetXX.txt. Для загрузки данных из файлов в среду Simintech воспользовались блоком «Таблица данных из файла».</w:t>
      </w:r>
    </w:p>
    <w:p>
      <w:pPr>
        <w:spacing w:line="276" w:lineRule="auto" w:after="60"/>
      </w:pPr>
      <w:r>
        <w:rPr>
          <w:rFonts w:ascii="Times New Roman" w:hAnsi="Times New Roman"/>
          <w:b/>
          <w:i w:val="0"/>
          <w:sz w:val="24"/>
        </w:rPr>
        <w:t>7. При настройке размерности входных данных указали, что в них содержится 3 параметра.</w:t>
      </w:r>
    </w:p>
    <w:p>
      <w:pPr>
        <w:spacing w:line="276" w:lineRule="auto" w:after="60"/>
      </w:pPr>
      <w:r>
        <w:rPr>
          <w:rFonts w:ascii="Times New Roman" w:hAnsi="Times New Roman"/>
          <w:b/>
          <w:i w:val="0"/>
          <w:sz w:val="24"/>
        </w:rPr>
        <w:t>8. Провели обучение и тестирование полученной сети, аналогично примеру с ирисами. Сделали выводы о точности обучения и влиянии количества слоёв и нейронов в слое на качество обучения.</w:t>
      </w:r>
    </w:p>
    <w:p>
      <w:pPr>
        <w:spacing w:line="276" w:lineRule="auto" w:after="60"/>
        <w:ind w:firstLine="706"/>
      </w:pPr>
      <w:r>
        <w:rPr>
          <w:rFonts w:ascii="Times New Roman" w:hAnsi="Times New Roman"/>
          <w:b w:val="0"/>
          <w:i w:val="0"/>
          <w:sz w:val="24"/>
        </w:rPr>
        <w:t>Для варианта 6.1 собрали схему обучения в SimInTech. Входные данные считываются из файла input61.txt блоком «Таблица данных из файла», целевые метки — из файла target61.txt. Размерность входа задали равной 3, выхода — 4. В блоке WorkModeBlock для обучения выбран режим work_type = 0.</w:t>
      </w:r>
    </w:p>
    <w:p>
      <w:pPr>
        <w:spacing w:line="276" w:lineRule="auto" w:after="60"/>
        <w:ind w:firstLine="706"/>
      </w:pPr>
      <w:r>
        <w:rPr>
          <w:rFonts w:ascii="Times New Roman" w:hAnsi="Times New Roman"/>
          <w:b w:val="0"/>
          <w:i w:val="0"/>
          <w:sz w:val="24"/>
        </w:rPr>
        <w:t>В базовой схеме задали трехслойную структуру скрытых слоев: 100 – 50 – 50 нейронов с функцией активации ReLU и оптимизатором Adam со скоростью обучения 0.001. Время расчета задали равным 500 с (500 шагов обучения):</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023360" cy="1222389"/>
                  <wp:docPr id="13" name="Picture 13"/>
                  <wp:cNvGraphicFramePr>
                    <a:graphicFrameLocks noChangeAspect="1"/>
                  </wp:cNvGraphicFramePr>
                  <a:graphic>
                    <a:graphicData uri="http://schemas.openxmlformats.org/drawingml/2006/picture">
                      <pic:pic>
                        <pic:nvPicPr>
                          <pic:cNvPr id="0" name="image13.png"/>
                          <pic:cNvPicPr/>
                        </pic:nvPicPr>
                        <pic:blipFill>
                          <a:blip r:embed="rId21"/>
                          <a:stretch>
                            <a:fillRect/>
                          </a:stretch>
                        </pic:blipFill>
                        <pic:spPr>
                          <a:xfrm>
                            <a:off x="0" y="0"/>
                            <a:ext cx="4023360" cy="1222389"/>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13. Схема обучения ИНС. Структура сети: 100 – 50 – 50</w:t>
            </w:r>
          </w:p>
        </w:tc>
      </w:tr>
    </w:tbl>
    <w:p>
      <w:pPr>
        <w:spacing w:after="4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3291840" cy="3332480"/>
                  <wp:docPr id="14" name="Picture 14"/>
                  <wp:cNvGraphicFramePr>
                    <a:graphicFrameLocks noChangeAspect="1"/>
                  </wp:cNvGraphicFramePr>
                  <a:graphic>
                    <a:graphicData uri="http://schemas.openxmlformats.org/drawingml/2006/picture">
                      <pic:pic>
                        <pic:nvPicPr>
                          <pic:cNvPr id="0" name="image14.png"/>
                          <pic:cNvPicPr/>
                        </pic:nvPicPr>
                        <pic:blipFill>
                          <a:blip r:embed="rId22"/>
                          <a:stretch>
                            <a:fillRect/>
                          </a:stretch>
                        </pic:blipFill>
                        <pic:spPr>
                          <a:xfrm>
                            <a:off x="0" y="0"/>
                            <a:ext cx="3291840" cy="3332480"/>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14. Точность обучения трехслойной ИНС на 500 эпохах</w:t>
            </w:r>
          </w:p>
        </w:tc>
      </w:tr>
    </w:tbl>
    <w:p>
      <w:pPr>
        <w:spacing w:after="40"/>
      </w:pPr>
    </w:p>
    <w:p>
      <w:pPr>
        <w:spacing w:line="276" w:lineRule="auto" w:after="60"/>
        <w:ind w:firstLine="706"/>
      </w:pPr>
      <w:r>
        <w:rPr>
          <w:rFonts w:ascii="Times New Roman" w:hAnsi="Times New Roman"/>
          <w:b w:val="0"/>
          <w:i w:val="0"/>
          <w:sz w:val="24"/>
        </w:rPr>
        <w:t>Начальная точность составляет около 0.25 (случайный выбор из 4 классов), а к 500 эпохе поднимается в среднем до 77% (колебания кривой на графике обусловлены разбросом параметров выборки). Обученную сеть проверили на схеме тестирования:</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206240" cy="775375"/>
                  <wp:docPr id="15" name="Picture 15"/>
                  <wp:cNvGraphicFramePr>
                    <a:graphicFrameLocks noChangeAspect="1"/>
                  </wp:cNvGraphicFramePr>
                  <a:graphic>
                    <a:graphicData uri="http://schemas.openxmlformats.org/drawingml/2006/picture">
                      <pic:pic>
                        <pic:nvPicPr>
                          <pic:cNvPr id="0" name="image15.png"/>
                          <pic:cNvPicPr/>
                        </pic:nvPicPr>
                        <pic:blipFill>
                          <a:blip r:embed="rId23"/>
                          <a:stretch>
                            <a:fillRect/>
                          </a:stretch>
                        </pic:blipFill>
                        <pic:spPr>
                          <a:xfrm>
                            <a:off x="0" y="0"/>
                            <a:ext cx="4206240" cy="775375"/>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15. Тестирование базовой ИНС</w:t>
            </w:r>
          </w:p>
        </w:tc>
      </w:tr>
    </w:tbl>
    <w:p>
      <w:pPr>
        <w:spacing w:after="4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3291840" cy="3339253"/>
                  <wp:docPr id="16" name="Picture 16"/>
                  <wp:cNvGraphicFramePr>
                    <a:graphicFrameLocks noChangeAspect="1"/>
                  </wp:cNvGraphicFramePr>
                  <a:graphic>
                    <a:graphicData uri="http://schemas.openxmlformats.org/drawingml/2006/picture">
                      <pic:pic>
                        <pic:nvPicPr>
                          <pic:cNvPr id="0" name="image16.png"/>
                          <pic:cNvPicPr/>
                        </pic:nvPicPr>
                        <pic:blipFill>
                          <a:blip r:embed="rId24"/>
                          <a:stretch>
                            <a:fillRect/>
                          </a:stretch>
                        </pic:blipFill>
                        <pic:spPr>
                          <a:xfrm>
                            <a:off x="0" y="0"/>
                            <a:ext cx="3291840" cy="3339253"/>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16. Предсказанные степени надежности (1000 образцов)</w:t>
            </w:r>
          </w:p>
        </w:tc>
      </w:tr>
    </w:tbl>
    <w:p>
      <w:pPr>
        <w:spacing w:after="40"/>
      </w:pPr>
    </w:p>
    <w:p>
      <w:pPr>
        <w:spacing w:line="276" w:lineRule="auto" w:after="60"/>
        <w:ind w:firstLine="706"/>
      </w:pPr>
      <w:r>
        <w:rPr>
          <w:rFonts w:ascii="Times New Roman" w:hAnsi="Times New Roman"/>
          <w:b w:val="0"/>
          <w:i w:val="0"/>
          <w:sz w:val="24"/>
        </w:rPr>
        <w:t>На рис. 16 показаны значения классов от 0 до 3, которые выдает сеть для 1000 проверяемых систем.</w:t>
      </w:r>
    </w:p>
    <w:p>
      <w:pPr>
        <w:spacing w:line="276" w:lineRule="auto" w:after="60"/>
        <w:ind w:firstLine="706"/>
      </w:pPr>
      <w:r>
        <w:rPr>
          <w:rFonts w:ascii="Times New Roman" w:hAnsi="Times New Roman"/>
          <w:b w:val="0"/>
          <w:i w:val="0"/>
          <w:sz w:val="24"/>
        </w:rPr>
        <w:t>Для количественного расчета точности в схему тестирования подключили интегратор k/s (рис. 17). Блок WorkModeBlock при совпадении предсказанного класса с эталоном из target61.txt выдает единичный сигнал, который накапливается интегратором:</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206240" cy="1139755"/>
                  <wp:docPr id="17" name="Picture 17"/>
                  <wp:cNvGraphicFramePr>
                    <a:graphicFrameLocks noChangeAspect="1"/>
                  </wp:cNvGraphicFramePr>
                  <a:graphic>
                    <a:graphicData uri="http://schemas.openxmlformats.org/drawingml/2006/picture">
                      <pic:pic>
                        <pic:nvPicPr>
                          <pic:cNvPr id="0" name="image17.png"/>
                          <pic:cNvPicPr/>
                        </pic:nvPicPr>
                        <pic:blipFill>
                          <a:blip r:embed="rId25"/>
                          <a:stretch>
                            <a:fillRect/>
                          </a:stretch>
                        </pic:blipFill>
                        <pic:spPr>
                          <a:xfrm>
                            <a:off x="0" y="0"/>
                            <a:ext cx="4206240" cy="1139755"/>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17. Тестирование и оценка качества классификации ИНС</w:t>
            </w:r>
          </w:p>
        </w:tc>
      </w:tr>
    </w:tbl>
    <w:p>
      <w:pPr>
        <w:spacing w:after="4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023360" cy="2547163"/>
                  <wp:docPr id="18" name="Picture 18"/>
                  <wp:cNvGraphicFramePr>
                    <a:graphicFrameLocks noChangeAspect="1"/>
                  </wp:cNvGraphicFramePr>
                  <a:graphic>
                    <a:graphicData uri="http://schemas.openxmlformats.org/drawingml/2006/picture">
                      <pic:pic>
                        <pic:nvPicPr>
                          <pic:cNvPr id="0" name="image18.png"/>
                          <pic:cNvPicPr/>
                        </pic:nvPicPr>
                        <pic:blipFill>
                          <a:blip r:embed="rId26"/>
                          <a:stretch>
                            <a:fillRect/>
                          </a:stretch>
                        </pic:blipFill>
                        <pic:spPr>
                          <a:xfrm>
                            <a:off x="0" y="0"/>
                            <a:ext cx="4023360" cy="2547163"/>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18. График качества классификации трехслойной сети (100 – 50 – 50)</w:t>
            </w:r>
          </w:p>
        </w:tc>
      </w:tr>
    </w:tbl>
    <w:p>
      <w:pPr>
        <w:spacing w:after="40"/>
      </w:pPr>
    </w:p>
    <w:p>
      <w:pPr>
        <w:spacing w:line="276" w:lineRule="auto" w:after="60"/>
        <w:ind w:firstLine="706"/>
      </w:pPr>
      <w:r>
        <w:rPr>
          <w:rFonts w:ascii="Times New Roman" w:hAnsi="Times New Roman"/>
          <w:b w:val="0"/>
          <w:i w:val="0"/>
          <w:sz w:val="24"/>
        </w:rPr>
        <w:t>На графике (рис. 18) по оси абсцисс отложен номер проверяемой системы (от 1 до 1000), по оси ординат — накопленное число верно классифицированных систем. К концу выборки счетчик достигает 750, что дает точность 75.0% (750 правильных ответов из 1000).</w:t>
      </w:r>
    </w:p>
    <w:p>
      <w:pPr>
        <w:spacing w:line="276" w:lineRule="auto" w:after="60"/>
        <w:ind w:firstLine="706"/>
      </w:pPr>
      <w:r>
        <w:rPr>
          <w:rFonts w:ascii="Times New Roman" w:hAnsi="Times New Roman"/>
          <w:b w:val="0"/>
          <w:i w:val="0"/>
          <w:sz w:val="24"/>
        </w:rPr>
        <w:t>Как и в случае с ирисами Фишера, исследовали влияние структуры ИНС на качество классификации. Скрытую часть сети упростили до двух слоев, увеличив число нейронов первого слоя: 500 – 50:</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023360" cy="1115387"/>
                  <wp:docPr id="19" name="Picture 19"/>
                  <wp:cNvGraphicFramePr>
                    <a:graphicFrameLocks noChangeAspect="1"/>
                  </wp:cNvGraphicFramePr>
                  <a:graphic>
                    <a:graphicData uri="http://schemas.openxmlformats.org/drawingml/2006/picture">
                      <pic:pic>
                        <pic:nvPicPr>
                          <pic:cNvPr id="0" name="image19.png"/>
                          <pic:cNvPicPr/>
                        </pic:nvPicPr>
                        <pic:blipFill>
                          <a:blip r:embed="rId27"/>
                          <a:stretch>
                            <a:fillRect/>
                          </a:stretch>
                        </pic:blipFill>
                        <pic:spPr>
                          <a:xfrm>
                            <a:off x="0" y="0"/>
                            <a:ext cx="4023360" cy="1115387"/>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19. Схема обучения ИНС. Структура сети: 500 – 50</w:t>
            </w:r>
          </w:p>
        </w:tc>
      </w:tr>
    </w:tbl>
    <w:p>
      <w:pPr>
        <w:spacing w:after="4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3291840" cy="3332480"/>
                  <wp:docPr id="20" name="Picture 20"/>
                  <wp:cNvGraphicFramePr>
                    <a:graphicFrameLocks noChangeAspect="1"/>
                  </wp:cNvGraphicFramePr>
                  <a:graphic>
                    <a:graphicData uri="http://schemas.openxmlformats.org/drawingml/2006/picture">
                      <pic:pic>
                        <pic:nvPicPr>
                          <pic:cNvPr id="0" name="image20.png"/>
                          <pic:cNvPicPr/>
                        </pic:nvPicPr>
                        <pic:blipFill>
                          <a:blip r:embed="rId28"/>
                          <a:stretch>
                            <a:fillRect/>
                          </a:stretch>
                        </pic:blipFill>
                        <pic:spPr>
                          <a:xfrm>
                            <a:off x="0" y="0"/>
                            <a:ext cx="3291840" cy="3332480"/>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20. Точность обучения двухслойной сети (500 – 50) на 500 эпохах</w:t>
            </w:r>
          </w:p>
        </w:tc>
      </w:tr>
    </w:tbl>
    <w:p>
      <w:pPr>
        <w:spacing w:after="40"/>
      </w:pPr>
    </w:p>
    <w:p>
      <w:pPr>
        <w:spacing w:line="276" w:lineRule="auto" w:after="60"/>
        <w:ind w:firstLine="706"/>
      </w:pPr>
      <w:r>
        <w:rPr>
          <w:rFonts w:ascii="Times New Roman" w:hAnsi="Times New Roman"/>
          <w:b w:val="0"/>
          <w:i w:val="0"/>
          <w:sz w:val="24"/>
        </w:rPr>
        <w:t>Точность обучения двухслойной сети выросла до 85%, причем кривая стабилизировалась примерно к 300 эпохе и имела значительно меньший разброс. Схема тестирования двухслойной сети и итоговый график качества приведены на рис. 21 и рис. 22:</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206240" cy="1176433"/>
                  <wp:docPr id="21" name="Picture 21"/>
                  <wp:cNvGraphicFramePr>
                    <a:graphicFrameLocks noChangeAspect="1"/>
                  </wp:cNvGraphicFramePr>
                  <a:graphic>
                    <a:graphicData uri="http://schemas.openxmlformats.org/drawingml/2006/picture">
                      <pic:pic>
                        <pic:nvPicPr>
                          <pic:cNvPr id="0" name="image21.png"/>
                          <pic:cNvPicPr/>
                        </pic:nvPicPr>
                        <pic:blipFill>
                          <a:blip r:embed="rId29"/>
                          <a:stretch>
                            <a:fillRect/>
                          </a:stretch>
                        </pic:blipFill>
                        <pic:spPr>
                          <a:xfrm>
                            <a:off x="0" y="0"/>
                            <a:ext cx="4206240" cy="1176433"/>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21. Схема тестирования двухслойной сети</w:t>
            </w:r>
          </w:p>
        </w:tc>
      </w:tr>
    </w:tbl>
    <w:p>
      <w:pPr>
        <w:spacing w:after="40"/>
      </w:pP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9360"/>
      </w:tblGrid>
      <w:tr>
        <w:trPr>
          <w:cantSplit/>
        </w:trPr>
        <w:tc>
          <w:tcPr>
            <w:tcW w:type="dxa" w:w="8064"/>
          </w:tcPr>
          <w:p>
            <w:pPr>
              <w:keepNext/>
              <w:spacing w:before="60" w:after="20"/>
              <w:jc w:val="center"/>
            </w:pPr>
            <w:r>
              <w:drawing>
                <wp:inline xmlns:a="http://schemas.openxmlformats.org/drawingml/2006/main" xmlns:pic="http://schemas.openxmlformats.org/drawingml/2006/picture">
                  <wp:extent cx="4023360" cy="2547163"/>
                  <wp:docPr id="22" name="Picture 22"/>
                  <wp:cNvGraphicFramePr>
                    <a:graphicFrameLocks noChangeAspect="1"/>
                  </wp:cNvGraphicFramePr>
                  <a:graphic>
                    <a:graphicData uri="http://schemas.openxmlformats.org/drawingml/2006/picture">
                      <pic:pic>
                        <pic:nvPicPr>
                          <pic:cNvPr id="0" name="image22.png"/>
                          <pic:cNvPicPr/>
                        </pic:nvPicPr>
                        <pic:blipFill>
                          <a:blip r:embed="rId30"/>
                          <a:stretch>
                            <a:fillRect/>
                          </a:stretch>
                        </pic:blipFill>
                        <pic:spPr>
                          <a:xfrm>
                            <a:off x="0" y="0"/>
                            <a:ext cx="4023360" cy="2547163"/>
                          </a:xfrm>
                          <a:prstGeom prst="rect"/>
                        </pic:spPr>
                      </pic:pic>
                    </a:graphicData>
                  </a:graphic>
                </wp:inline>
              </w:drawing>
            </w:r>
          </w:p>
        </w:tc>
      </w:tr>
      <w:tr>
        <w:trPr>
          <w:cantSplit/>
        </w:trPr>
        <w:tc>
          <w:tcPr>
            <w:tcW w:type="dxa" w:w="8064"/>
          </w:tcPr>
          <w:p>
            <w:pPr>
              <w:spacing w:before="20" w:after="80"/>
              <w:jc w:val="center"/>
            </w:pPr>
            <w:r>
              <w:rPr>
                <w:rFonts w:ascii="Times New Roman" w:hAnsi="Times New Roman"/>
                <w:i/>
                <w:sz w:val="20"/>
              </w:rPr>
              <w:t>Рис. 22. График качества классификации двухслойной сети (500 – 50)</w:t>
            </w:r>
          </w:p>
        </w:tc>
      </w:tr>
    </w:tbl>
    <w:p>
      <w:pPr>
        <w:spacing w:after="40"/>
      </w:pPr>
    </w:p>
    <w:p>
      <w:pPr>
        <w:spacing w:line="276" w:lineRule="auto" w:after="60"/>
        <w:ind w:firstLine="706"/>
      </w:pPr>
      <w:r>
        <w:rPr>
          <w:rFonts w:ascii="Times New Roman" w:hAnsi="Times New Roman"/>
          <w:b w:val="0"/>
          <w:i w:val="0"/>
          <w:sz w:val="24"/>
        </w:rPr>
        <w:t>На кумулятивном графике (рис. 22) итоговое число верно распознанных систем выросло до 820 из 1000, что соответствует точности 82.0%.</w:t>
      </w:r>
    </w:p>
    <w:p>
      <w:pPr>
        <w:keepNext/>
        <w:spacing w:before="120" w:after="40"/>
      </w:pPr>
      <w:r>
        <w:rPr>
          <w:rFonts w:ascii="Times New Roman" w:hAnsi="Times New Roman"/>
          <w:b/>
          <w:sz w:val="22"/>
        </w:rPr>
        <w:t>Таблица 1. Сводные результаты моделирования для варианта 6.1</w:t>
      </w:r>
    </w:p>
    <w:tbl>
      <w:tblPr>
        <w:tblW w:type="auto" w:w="0"/>
        <w:jc w:val="center"/>
        <w:tblLayout w:type="fixed"/>
        <w:tblLook w:firstColumn="1" w:firstRow="1" w:lastColumn="0" w:lastRow="0" w:noHBand="0" w:noVBand="1" w:val="04A0"/>
        <w:tblBorders>
          <w:top w:val="single" w:sz="8" w:space="0" w:color="000000"/>
          <w:bottom w:val="single" w:sz="8" w:space="0" w:color="000000"/>
          <w:left w:val="none"/>
          <w:right w:val="none"/>
          <w:insideH w:val="single" w:sz="4" w:space="0" w:color="000000"/>
          <w:insideV w:val="none"/>
        </w:tblBorders>
      </w:tblPr>
      <w:tblGrid>
        <w:gridCol w:w="1872"/>
        <w:gridCol w:w="1872"/>
        <w:gridCol w:w="1872"/>
        <w:gridCol w:w="1872"/>
        <w:gridCol w:w="1872"/>
      </w:tblGrid>
      <w:tr>
        <w:tc>
          <w:tcPr>
            <w:tcW w:type="dxa" w:w="2160"/>
            <w:tcMar>
              <w:top w:w="80" w:type="dxa"/>
              <w:bottom w:w="80" w:type="dxa"/>
              <w:left w:w="120" w:type="dxa"/>
              <w:right w:w="120" w:type="dxa"/>
            </w:tcMar>
            <w:vAlign w:val="center"/>
          </w:tcPr>
          <w:p>
            <w:pPr>
              <w:spacing w:before="40" w:after="40" w:line="252" w:lineRule="auto"/>
              <w:jc w:val="center"/>
            </w:pPr>
            <w:r>
              <w:rPr>
                <w:rFonts w:ascii="Times New Roman" w:hAnsi="Times New Roman"/>
                <w:b/>
                <w:i w:val="0"/>
                <w:sz w:val="20"/>
              </w:rPr>
              <w:t>Конфигурация сети</w:t>
            </w:r>
          </w:p>
        </w:tc>
        <w:tc>
          <w:tcPr>
            <w:tcW w:type="dxa" w:w="2592"/>
            <w:tcMar>
              <w:top w:w="80" w:type="dxa"/>
              <w:bottom w:w="80" w:type="dxa"/>
              <w:left w:w="120" w:type="dxa"/>
              <w:right w:w="120" w:type="dxa"/>
            </w:tcMar>
            <w:vAlign w:val="center"/>
          </w:tcPr>
          <w:p>
            <w:pPr>
              <w:spacing w:before="40" w:after="40" w:line="252" w:lineRule="auto"/>
              <w:jc w:val="center"/>
            </w:pPr>
            <w:r>
              <w:rPr>
                <w:rFonts w:ascii="Times New Roman" w:hAnsi="Times New Roman"/>
                <w:b/>
                <w:i w:val="0"/>
                <w:sz w:val="20"/>
              </w:rPr>
              <w:t>Структура слоев</w:t>
            </w:r>
          </w:p>
        </w:tc>
        <w:tc>
          <w:tcPr>
            <w:tcW w:type="dxa" w:w="1296"/>
            <w:tcMar>
              <w:top w:w="80" w:type="dxa"/>
              <w:bottom w:w="80" w:type="dxa"/>
              <w:left w:w="120" w:type="dxa"/>
              <w:right w:w="120" w:type="dxa"/>
            </w:tcMar>
            <w:vAlign w:val="center"/>
          </w:tcPr>
          <w:p>
            <w:pPr>
              <w:spacing w:before="40" w:after="40" w:line="252" w:lineRule="auto"/>
              <w:jc w:val="center"/>
            </w:pPr>
            <w:r>
              <w:rPr>
                <w:rFonts w:ascii="Times New Roman" w:hAnsi="Times New Roman"/>
                <w:b/>
                <w:i w:val="0"/>
                <w:sz w:val="20"/>
              </w:rPr>
              <w:t>Эпохи</w:t>
            </w:r>
          </w:p>
        </w:tc>
        <w:tc>
          <w:tcPr>
            <w:tcW w:type="dxa" w:w="1872"/>
            <w:tcMar>
              <w:top w:w="80" w:type="dxa"/>
              <w:bottom w:w="80" w:type="dxa"/>
              <w:left w:w="120" w:type="dxa"/>
              <w:right w:w="120" w:type="dxa"/>
            </w:tcMar>
            <w:vAlign w:val="center"/>
          </w:tcPr>
          <w:p>
            <w:pPr>
              <w:spacing w:before="40" w:after="40" w:line="252" w:lineRule="auto"/>
              <w:jc w:val="center"/>
            </w:pPr>
            <w:r>
              <w:rPr>
                <w:rFonts w:ascii="Times New Roman" w:hAnsi="Times New Roman"/>
                <w:b/>
                <w:i w:val="0"/>
                <w:sz w:val="20"/>
              </w:rPr>
              <w:t>Точность обучения</w:t>
            </w:r>
          </w:p>
        </w:tc>
        <w:tc>
          <w:tcPr>
            <w:tcW w:type="dxa" w:w="2016"/>
            <w:tcMar>
              <w:top w:w="80" w:type="dxa"/>
              <w:bottom w:w="80" w:type="dxa"/>
              <w:left w:w="120" w:type="dxa"/>
              <w:right w:w="120" w:type="dxa"/>
            </w:tcMar>
            <w:vAlign w:val="center"/>
          </w:tcPr>
          <w:p>
            <w:pPr>
              <w:spacing w:before="40" w:after="40" w:line="252" w:lineRule="auto"/>
              <w:jc w:val="center"/>
            </w:pPr>
            <w:r>
              <w:rPr>
                <w:rFonts w:ascii="Times New Roman" w:hAnsi="Times New Roman"/>
                <w:b/>
                <w:i w:val="0"/>
                <w:sz w:val="20"/>
              </w:rPr>
              <w:t>Точность на тесте</w:t>
            </w:r>
          </w:p>
        </w:tc>
      </w:tr>
      <w:tr>
        <w:tc>
          <w:tcPr>
            <w:tcW w:type="dxa" w:w="2160"/>
            <w:tcMar>
              <w:top w:w="80" w:type="dxa"/>
              <w:bottom w:w="80" w:type="dxa"/>
              <w:left w:w="120" w:type="dxa"/>
              <w:right w:w="120" w:type="dxa"/>
            </w:tcMar>
            <w:vAlign w:val="center"/>
          </w:tcPr>
          <w:p>
            <w:pPr>
              <w:spacing w:before="40" w:after="40" w:line="252" w:lineRule="auto"/>
              <w:jc w:val="left"/>
            </w:pPr>
            <w:r>
              <w:rPr>
                <w:rFonts w:ascii="Times New Roman" w:hAnsi="Times New Roman"/>
                <w:b w:val="0"/>
                <w:i w:val="0"/>
                <w:sz w:val="20"/>
              </w:rPr>
              <w:t>Базовая сеть</w:t>
            </w:r>
          </w:p>
        </w:tc>
        <w:tc>
          <w:tcPr>
            <w:tcW w:type="dxa" w:w="2592"/>
            <w:tcMar>
              <w:top w:w="80" w:type="dxa"/>
              <w:bottom w:w="80" w:type="dxa"/>
              <w:left w:w="120" w:type="dxa"/>
              <w:right w:w="120" w:type="dxa"/>
            </w:tcMar>
            <w:vAlign w:val="center"/>
          </w:tcPr>
          <w:p>
            <w:pPr>
              <w:spacing w:before="40" w:after="40" w:line="252" w:lineRule="auto"/>
              <w:jc w:val="left"/>
            </w:pPr>
            <w:r>
              <w:rPr>
                <w:rFonts w:ascii="Times New Roman" w:hAnsi="Times New Roman"/>
                <w:b w:val="0"/>
                <w:i w:val="0"/>
                <w:sz w:val="20"/>
              </w:rPr>
              <w:t>3 — [100 – 50 – 50] — 4</w:t>
            </w:r>
          </w:p>
        </w:tc>
        <w:tc>
          <w:tcPr>
            <w:tcW w:type="dxa" w:w="1296"/>
            <w:tcMar>
              <w:top w:w="80" w:type="dxa"/>
              <w:bottom w:w="80" w:type="dxa"/>
              <w:left w:w="120" w:type="dxa"/>
              <w:right w:w="120" w:type="dxa"/>
            </w:tcMar>
            <w:vAlign w:val="center"/>
          </w:tcPr>
          <w:p>
            <w:pPr>
              <w:spacing w:before="40" w:after="40" w:line="252" w:lineRule="auto"/>
              <w:jc w:val="center"/>
            </w:pPr>
            <w:r>
              <w:rPr>
                <w:rFonts w:ascii="Times New Roman" w:hAnsi="Times New Roman"/>
                <w:b w:val="0"/>
                <w:i w:val="0"/>
                <w:sz w:val="20"/>
              </w:rPr>
              <w:t>500</w:t>
            </w:r>
          </w:p>
        </w:tc>
        <w:tc>
          <w:tcPr>
            <w:tcW w:type="dxa" w:w="1872"/>
            <w:tcMar>
              <w:top w:w="80" w:type="dxa"/>
              <w:bottom w:w="80" w:type="dxa"/>
              <w:left w:w="120" w:type="dxa"/>
              <w:right w:w="120" w:type="dxa"/>
            </w:tcMar>
            <w:vAlign w:val="center"/>
          </w:tcPr>
          <w:p>
            <w:pPr>
              <w:spacing w:before="40" w:after="40" w:line="252" w:lineRule="auto"/>
              <w:jc w:val="center"/>
            </w:pPr>
            <w:r>
              <w:rPr>
                <w:rFonts w:ascii="Times New Roman" w:hAnsi="Times New Roman"/>
                <w:b w:val="0"/>
                <w:i w:val="0"/>
                <w:sz w:val="20"/>
              </w:rPr>
              <w:t>77.0%</w:t>
            </w:r>
          </w:p>
        </w:tc>
        <w:tc>
          <w:tcPr>
            <w:tcW w:type="dxa" w:w="2016"/>
            <w:tcMar>
              <w:top w:w="80" w:type="dxa"/>
              <w:bottom w:w="80" w:type="dxa"/>
              <w:left w:w="120" w:type="dxa"/>
              <w:right w:w="120" w:type="dxa"/>
            </w:tcMar>
            <w:vAlign w:val="center"/>
          </w:tcPr>
          <w:p>
            <w:pPr>
              <w:spacing w:before="40" w:after="40" w:line="252" w:lineRule="auto"/>
              <w:jc w:val="center"/>
            </w:pPr>
            <w:r>
              <w:rPr>
                <w:rFonts w:ascii="Times New Roman" w:hAnsi="Times New Roman"/>
                <w:b w:val="0"/>
                <w:i w:val="0"/>
                <w:sz w:val="20"/>
              </w:rPr>
              <w:t>75.0% (750 / 1000)</w:t>
            </w:r>
          </w:p>
        </w:tc>
      </w:tr>
      <w:tr>
        <w:tc>
          <w:tcPr>
            <w:tcW w:type="dxa" w:w="2160"/>
            <w:tcMar>
              <w:top w:w="80" w:type="dxa"/>
              <w:bottom w:w="80" w:type="dxa"/>
              <w:left w:w="120" w:type="dxa"/>
              <w:right w:w="120" w:type="dxa"/>
            </w:tcMar>
            <w:vAlign w:val="center"/>
          </w:tcPr>
          <w:p>
            <w:pPr>
              <w:spacing w:before="40" w:after="40" w:line="252" w:lineRule="auto"/>
              <w:jc w:val="left"/>
            </w:pPr>
            <w:r>
              <w:rPr>
                <w:rFonts w:ascii="Times New Roman" w:hAnsi="Times New Roman"/>
                <w:b/>
                <w:i w:val="0"/>
                <w:sz w:val="20"/>
              </w:rPr>
              <w:t>Модификация</w:t>
            </w:r>
          </w:p>
        </w:tc>
        <w:tc>
          <w:tcPr>
            <w:tcW w:type="dxa" w:w="2592"/>
            <w:tcMar>
              <w:top w:w="80" w:type="dxa"/>
              <w:bottom w:w="80" w:type="dxa"/>
              <w:left w:w="120" w:type="dxa"/>
              <w:right w:w="120" w:type="dxa"/>
            </w:tcMar>
            <w:vAlign w:val="center"/>
          </w:tcPr>
          <w:p>
            <w:pPr>
              <w:spacing w:before="40" w:after="40" w:line="252" w:lineRule="auto"/>
              <w:jc w:val="left"/>
            </w:pPr>
            <w:r>
              <w:rPr>
                <w:rFonts w:ascii="Times New Roman" w:hAnsi="Times New Roman"/>
                <w:b/>
                <w:i w:val="0"/>
                <w:sz w:val="20"/>
              </w:rPr>
              <w:t>3 — [500 — 50] — 4</w:t>
            </w:r>
          </w:p>
        </w:tc>
        <w:tc>
          <w:tcPr>
            <w:tcW w:type="dxa" w:w="1296"/>
            <w:tcMar>
              <w:top w:w="80" w:type="dxa"/>
              <w:bottom w:w="80" w:type="dxa"/>
              <w:left w:w="120" w:type="dxa"/>
              <w:right w:w="120" w:type="dxa"/>
            </w:tcMar>
            <w:vAlign w:val="center"/>
          </w:tcPr>
          <w:p>
            <w:pPr>
              <w:spacing w:before="40" w:after="40" w:line="252" w:lineRule="auto"/>
              <w:jc w:val="center"/>
            </w:pPr>
            <w:r>
              <w:rPr>
                <w:rFonts w:ascii="Times New Roman" w:hAnsi="Times New Roman"/>
                <w:b/>
                <w:i w:val="0"/>
                <w:sz w:val="20"/>
              </w:rPr>
              <w:t>500</w:t>
            </w:r>
          </w:p>
        </w:tc>
        <w:tc>
          <w:tcPr>
            <w:tcW w:type="dxa" w:w="1872"/>
            <w:tcMar>
              <w:top w:w="80" w:type="dxa"/>
              <w:bottom w:w="80" w:type="dxa"/>
              <w:left w:w="120" w:type="dxa"/>
              <w:right w:w="120" w:type="dxa"/>
            </w:tcMar>
            <w:vAlign w:val="center"/>
          </w:tcPr>
          <w:p>
            <w:pPr>
              <w:spacing w:before="40" w:after="40" w:line="252" w:lineRule="auto"/>
              <w:jc w:val="center"/>
            </w:pPr>
            <w:r>
              <w:rPr>
                <w:rFonts w:ascii="Times New Roman" w:hAnsi="Times New Roman"/>
                <w:b/>
                <w:i w:val="0"/>
                <w:sz w:val="20"/>
              </w:rPr>
              <w:t>85.0%</w:t>
            </w:r>
          </w:p>
        </w:tc>
        <w:tc>
          <w:tcPr>
            <w:tcW w:type="dxa" w:w="2016"/>
            <w:tcMar>
              <w:top w:w="80" w:type="dxa"/>
              <w:bottom w:w="80" w:type="dxa"/>
              <w:left w:w="120" w:type="dxa"/>
              <w:right w:w="120" w:type="dxa"/>
            </w:tcMar>
            <w:vAlign w:val="center"/>
          </w:tcPr>
          <w:p>
            <w:pPr>
              <w:spacing w:before="40" w:after="40" w:line="252" w:lineRule="auto"/>
              <w:jc w:val="center"/>
            </w:pPr>
            <w:r>
              <w:rPr>
                <w:rFonts w:ascii="Times New Roman" w:hAnsi="Times New Roman"/>
                <w:b/>
                <w:i w:val="0"/>
                <w:sz w:val="20"/>
              </w:rPr>
              <w:t>82.0% (820 / 1000)</w:t>
            </w:r>
          </w:p>
        </w:tc>
      </w:tr>
    </w:tbl>
    <w:p>
      <w:pPr>
        <w:spacing w:after="40"/>
      </w:pPr>
    </w:p>
    <w:p>
      <w:pPr>
        <w:keepNext/>
        <w:spacing w:before="240" w:after="80"/>
      </w:pPr>
      <w:r>
        <w:rPr>
          <w:rFonts w:ascii="Times New Roman" w:hAnsi="Times New Roman"/>
          <w:b/>
          <w:sz w:val="26"/>
        </w:rPr>
        <w:t>Выводы</w:t>
      </w:r>
    </w:p>
    <w:p>
      <w:pPr>
        <w:spacing w:line="276" w:lineRule="auto" w:after="60"/>
        <w:ind w:firstLine="706"/>
      </w:pPr>
      <w:r>
        <w:rPr>
          <w:rFonts w:ascii="Times New Roman" w:hAnsi="Times New Roman"/>
          <w:b w:val="0"/>
          <w:i w:val="0"/>
          <w:sz w:val="24"/>
        </w:rPr>
        <w:t>1. На примере классификации ирисов Фишера изучили принципы построения и обучения ИНС в SimInTech: при базовой двухслойной структуре (300 – 100) за 10 эпох точность обучения достигает 95%. Добавление третьего скрытого слоя (300 – 100 – 100) при 100 эпохах позволило достичь 100% точности распознавания на тестовой выборке, а уменьшение сети до одного слоя (300 нейронов) дало около 96% точности со стабильной сходимостью.</w:t>
      </w:r>
    </w:p>
    <w:p>
      <w:pPr>
        <w:spacing w:line="276" w:lineRule="auto" w:after="60"/>
        <w:ind w:firstLine="706"/>
      </w:pPr>
      <w:r>
        <w:rPr>
          <w:rFonts w:ascii="Times New Roman" w:hAnsi="Times New Roman"/>
          <w:b w:val="0"/>
          <w:i w:val="0"/>
          <w:sz w:val="24"/>
        </w:rPr>
        <w:t>2. Для задачи оценки надежности ИВКЭ переход от трех скрытых слоев к двум с изменением конфигурации на 500 – 50 (вместо 100 – 50 – 50) позволил повысить точность классификации систем по степени надежности на тестовой выборке с 75% до 82% (820 верных систем из 1000). Точность на этапе обучения при этом возросла с 77% до 85%, а процесс обучения стабилизировался к 300 эпохе.</w:t>
      </w:r>
    </w:p>
    <w:p>
      <w:pPr>
        <w:spacing w:line="276" w:lineRule="auto" w:after="60"/>
        <w:ind w:firstLine="706"/>
      </w:pPr>
      <w:r>
        <w:rPr>
          <w:rFonts w:ascii="Times New Roman" w:hAnsi="Times New Roman"/>
          <w:b w:val="0"/>
          <w:i w:val="0"/>
          <w:sz w:val="24"/>
        </w:rPr>
        <w:t>3. Увеличение числа нейронов в первом скрытом слое со 100 до 500 позволило расширить размерность признакового пространства на начальном этапе обработки трех входных параметров (коэффициент сложности, отклонение тока, срок службы). Это дало возможность сети более точно сформировать нелинейные разделяющие поверхности между частично перекрывающимися классами технического состояния и улучшить обобщающую способность без переобучения.</w:t>
      </w:r>
    </w:p>
    <w:sectPr w:rsidR="00FC693F" w:rsidRPr="0006063C" w:rsidSect="00034616">
      <w:pgSz w:w="11909" w:h="16834"/>
      <w:pgMar w:top="1138" w:right="850"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 по лабораторной работе №1</dc:title>
  <dc:subject>Нейро-нечеткие технологии в задачах управления</dc:subject>
  <dc:creator>Егор Грудинин</dc:creator>
  <cp:keywords/>
  <cp:lastModifiedBy>Егор Грудинин</cp:lastModifiedBy>
  <cp:revision>9</cp:revision>
  <dcterms:created xsi:type="dcterms:W3CDTF">2026-10-02T16:20:00Z</dcterms:created>
  <dcterms:modified xsi:type="dcterms:W3CDTF">2026-10-04T11:20:00Z</dcterms:modified>
  <cp:category/>
</cp:coreProperties>
</file>