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Times New Roman" w:hAnsi="Times New Roman"/>
          <w:b/>
          <w:sz w:val="22"/>
        </w:rPr>
        <w:t>НАЦИОНАЛЬНЫЙ ИССЛЕДОВАТЕЛЬСКИЙ УНИВЕРСИТЕТ «МЭИ»</w:t>
        <w:br/>
        <w:t>Кафедра управления и интеллектуальных технологий (УИТ)</w:t>
      </w:r>
    </w:p>
    <w:p>
      <w:pPr>
        <w:spacing w:after="200"/>
        <w:jc w:val="center"/>
      </w:pPr>
      <w:r>
        <w:rPr>
          <w:rFonts w:ascii="Times New Roman" w:hAnsi="Times New Roman"/>
          <w:sz w:val="21"/>
        </w:rPr>
        <w:t>Дисциплина: «Нейро-нечеткие технологии в задачах управления»</w:t>
        <w:br/>
        <w:t>Преподаватель: доцент, к.т.н. Косинский М.Ю.</w:t>
        <w:br/>
        <w:t>Бригада: студенты гр. А-03-23 Грудинин Е.К., Турханов А.К. (Вариант 6.1)</w:t>
      </w:r>
    </w:p>
    <w:p>
      <w:pPr>
        <w:spacing w:before="160" w:after="160"/>
        <w:jc w:val="center"/>
      </w:pPr>
      <w:r>
        <w:rPr>
          <w:rFonts w:ascii="Times New Roman" w:hAnsi="Times New Roman"/>
          <w:b/>
          <w:sz w:val="26"/>
        </w:rPr>
        <w:t>СПРАВКА-ОБОСНОВАНИЕ ПАРАМЕТРОВ МОДЕЛИРОВАНИЯ В ЛР №1</w:t>
        <w:br/>
        <w:t>(Adam, He, ReLU, Softmax, Cross-Entropy, шаг интегрирования 1 с)</w:t>
      </w:r>
    </w:p>
    <w:p>
      <w:pPr>
        <w:keepNext/>
        <w:spacing w:before="240" w:after="80"/>
      </w:pPr>
      <w:r>
        <w:rPr>
          <w:rFonts w:ascii="Times New Roman" w:hAnsi="Times New Roman"/>
          <w:b/>
          <w:sz w:val="26"/>
        </w:rPr>
        <w:t>1. Почему параметров Adam, He, ReLU не было видно при сборке схемы?</w:t>
      </w:r>
    </w:p>
    <w:p>
      <w:pPr>
        <w:spacing w:line="276" w:lineRule="auto" w:after="60"/>
        <w:ind w:firstLine="706"/>
      </w:pPr>
      <w:r>
        <w:rPr>
          <w:rFonts w:ascii="Times New Roman" w:hAnsi="Times New Roman"/>
          <w:b w:val="0"/>
          <w:i w:val="0"/>
          <w:sz w:val="22"/>
        </w:rPr>
        <w:t>При выполнении лабораторной работы в среде SimInTech использовалась стандартная библиотека «Нейронные сети». Сборка схемы производилась из типовых функциональных блоков: TDenseLayer (полносвязный скрытый слой), TInputLayer (входной слой), TWorkModeBlock (блок выбора режима) и блока расчета функции потерь.</w:t>
      </w:r>
    </w:p>
    <w:p>
      <w:pPr>
        <w:spacing w:line="276" w:lineRule="auto" w:after="60"/>
        <w:ind w:firstLine="706"/>
      </w:pPr>
      <w:r>
        <w:rPr>
          <w:rFonts w:ascii="Times New Roman" w:hAnsi="Times New Roman"/>
          <w:b w:val="0"/>
          <w:i w:val="0"/>
          <w:sz w:val="22"/>
        </w:rPr>
        <w:t>В диалоговом окне блока TDenseLayer разработчиками библиотеки SimInTech ключевые параметры нейросети уже зашиты по умолчанию:</w:t>
      </w:r>
    </w:p>
    <w:p>
      <w:pPr>
        <w:spacing w:line="276" w:lineRule="auto" w:after="60"/>
        <w:ind w:firstLine="706"/>
      </w:pPr>
      <w:r>
        <w:rPr>
          <w:rFonts w:ascii="Times New Roman" w:hAnsi="Times New Roman"/>
          <w:b w:val="0"/>
          <w:i w:val="0"/>
          <w:sz w:val="22"/>
        </w:rPr>
        <w:t>• Оптимизатор весов (optimizer) — ADAM (алгоритм Adam со скоростью обучения 0.001);</w:t>
      </w:r>
    </w:p>
    <w:p>
      <w:pPr>
        <w:spacing w:line="276" w:lineRule="auto" w:after="60"/>
        <w:ind w:firstLine="706"/>
      </w:pPr>
      <w:r>
        <w:rPr>
          <w:rFonts w:ascii="Times New Roman" w:hAnsi="Times New Roman"/>
          <w:b w:val="0"/>
          <w:i w:val="0"/>
          <w:sz w:val="22"/>
        </w:rPr>
        <w:t>• Метод инициализации весов (weightInit) — he (метод Кайминга Хэ);</w:t>
      </w:r>
    </w:p>
    <w:p>
      <w:pPr>
        <w:spacing w:line="276" w:lineRule="auto" w:after="60"/>
        <w:ind w:firstLine="706"/>
      </w:pPr>
      <w:r>
        <w:rPr>
          <w:rFonts w:ascii="Times New Roman" w:hAnsi="Times New Roman"/>
          <w:b w:val="0"/>
          <w:i w:val="0"/>
          <w:sz w:val="22"/>
        </w:rPr>
        <w:t>• Функция активации нейронов (active) — relu (Rectified Linear Unit);</w:t>
      </w:r>
    </w:p>
    <w:p>
      <w:pPr>
        <w:spacing w:line="276" w:lineRule="auto" w:after="60"/>
        <w:ind w:firstLine="706"/>
      </w:pPr>
      <w:r>
        <w:rPr>
          <w:rFonts w:ascii="Times New Roman" w:hAnsi="Times New Roman"/>
          <w:b w:val="0"/>
          <w:i w:val="0"/>
          <w:sz w:val="22"/>
        </w:rPr>
        <w:t>• Функция потерь на выходе — softMaxToCrossEntropy (Softmax + категориальная перекрестная энтропия).</w:t>
      </w:r>
    </w:p>
    <w:p>
      <w:pPr>
        <w:spacing w:line="276" w:lineRule="auto" w:after="60"/>
        <w:ind w:firstLine="706"/>
      </w:pPr>
      <w:r>
        <w:rPr>
          <w:rFonts w:ascii="Times New Roman" w:hAnsi="Times New Roman"/>
          <w:b w:val="0"/>
          <w:i w:val="0"/>
          <w:sz w:val="22"/>
        </w:rPr>
        <w:t>При сборке схемы студенты настраивали только размерности (число нейронов units = 100, 50, 4), а все выпадающие списки математических параметров оставались в значениях по умолчанию. Именно поэтому в процессе работы параметры Adam и He могли не броситься в глаза, хотя физически сеть обучалась строго на них.</w:t>
      </w:r>
    </w:p>
    <w:p>
      <w:pPr>
        <w:spacing w:line="276" w:lineRule="auto" w:after="60"/>
        <w:ind w:firstLine="706"/>
      </w:pPr>
      <w:r>
        <w:rPr>
          <w:rFonts w:ascii="Times New Roman" w:hAnsi="Times New Roman"/>
          <w:b w:val="0"/>
          <w:i w:val="0"/>
          <w:sz w:val="22"/>
        </w:rPr>
        <w:t>Прямым доказательством служит файл конфигурации res.json, который среда SimInTech автоматически генерирует в папке проекта result\ при каждом запуске обучения (рис. 1).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bottom w:val="none"/>
          <w:left w:val="none"/>
          <w:right w:val="none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dxa" w:w="8064"/>
          </w:tcPr>
          <w:p>
            <w:pPr>
              <w:keepNext/>
              <w:spacing w:before="6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120640" cy="2772639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imintech_res_json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0640" cy="277263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type="dxa" w:w="8064"/>
          </w:tcPr>
          <w:p>
            <w:pPr>
              <w:spacing w:before="20" w:after="80"/>
              <w:jc w:val="center"/>
            </w:pPr>
            <w:r>
              <w:rPr>
                <w:rFonts w:ascii="Times New Roman" w:hAnsi="Times New Roman"/>
                <w:i/>
                <w:sz w:val="19"/>
              </w:rPr>
              <w:t>Рис. 1. Файл res.json проекта SimInTech с реальными параметрами обученной сети</w:t>
            </w:r>
          </w:p>
        </w:tc>
      </w:tr>
    </w:tbl>
    <w:p>
      <w:pPr>
        <w:spacing w:after="40"/>
      </w:pPr>
    </w:p>
    <w:p>
      <w:pPr>
        <w:keepNext/>
        <w:spacing w:before="240" w:after="80"/>
      </w:pPr>
      <w:r>
        <w:rPr>
          <w:rFonts w:ascii="Times New Roman" w:hAnsi="Times New Roman"/>
          <w:b/>
          <w:sz w:val="26"/>
        </w:rPr>
        <w:t>2. Алгоритм оптимизации Adam (Лекция №4, Слайд 11)</w:t>
      </w:r>
    </w:p>
    <w:p>
      <w:pPr>
        <w:spacing w:line="276" w:lineRule="auto" w:after="60"/>
        <w:ind w:firstLine="706"/>
      </w:pPr>
      <w:r>
        <w:rPr>
          <w:rFonts w:ascii="Times New Roman" w:hAnsi="Times New Roman"/>
          <w:b w:val="0"/>
          <w:i w:val="0"/>
          <w:sz w:val="22"/>
        </w:rPr>
        <w:t>Теоретические основы адаптивных методов оптимизации изложены в презентации лекции №4 «Обучение ИНС (современные методы)». На слайде 11 Косинский М.Ю. подробно разбирает алгоритм Adam (Adaptive Moment Estimation):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bottom w:val="none"/>
          <w:left w:val="none"/>
          <w:right w:val="none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dxa" w:w="8064"/>
          </w:tcPr>
          <w:p>
            <w:pPr>
              <w:keepNext/>
              <w:spacing w:before="6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754880" cy="267462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ec4_slide11_adam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4880" cy="26746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type="dxa" w:w="8064"/>
          </w:tcPr>
          <w:p>
            <w:pPr>
              <w:spacing w:before="20" w:after="80"/>
              <w:jc w:val="center"/>
            </w:pPr>
            <w:r>
              <w:rPr>
                <w:rFonts w:ascii="Times New Roman" w:hAnsi="Times New Roman"/>
                <w:i/>
                <w:sz w:val="19"/>
              </w:rPr>
              <w:t>Рис. 2. Слайд 11 лекции №4 «Модификации градиентных методов — Adam»</w:t>
            </w:r>
          </w:p>
        </w:tc>
      </w:tr>
    </w:tbl>
    <w:p>
      <w:pPr>
        <w:spacing w:after="40"/>
      </w:pPr>
    </w:p>
    <w:p>
      <w:pPr>
        <w:spacing w:line="276" w:lineRule="auto" w:after="60"/>
        <w:ind w:firstLine="706"/>
      </w:pPr>
      <w:r>
        <w:rPr>
          <w:rFonts w:ascii="Times New Roman" w:hAnsi="Times New Roman"/>
          <w:b w:val="0"/>
          <w:i w:val="0"/>
          <w:sz w:val="22"/>
        </w:rPr>
        <w:t>Суть метода: в отличие от классического градиентного спуска (рассмотренного в лекции №3), где шаг обучения η одинаков для всех синапсов, Adam вычисляет индивидуальные адаптивные скорости обучения для каждого веса на основе оценки моментов первого порядка (экспоненциальное скользящее среднее градиентов) и второго порядка (среднеквадратичный градиент).</w:t>
      </w:r>
    </w:p>
    <w:p>
      <w:pPr>
        <w:spacing w:line="276" w:lineRule="auto" w:after="60"/>
        <w:ind w:firstLine="706"/>
      </w:pPr>
      <w:r>
        <w:rPr>
          <w:rFonts w:ascii="Times New Roman" w:hAnsi="Times New Roman"/>
          <w:b w:val="0"/>
          <w:i w:val="0"/>
          <w:sz w:val="22"/>
        </w:rPr>
        <w:t>В формуле на слайде 11 используются параметры затухания моментов β₁ = 0.9 и β₂ = 0.999. В конфигурационном файле SimInTech (рис. 1) параметры decayMomentDW = 0.9 и decayMomentWGr = 0.99 соответствуют в точности этим коэффициентам. Базовая скорость обучения η = 0.001 является каноническим значением, рекомендованным авторами алгоритма (Kingma D., Ba J., 2014).</w:t>
      </w:r>
    </w:p>
    <w:p>
      <w:pPr>
        <w:keepNext/>
        <w:spacing w:before="240" w:after="80"/>
      </w:pPr>
      <w:r>
        <w:rPr>
          <w:rFonts w:ascii="Times New Roman" w:hAnsi="Times New Roman"/>
          <w:b/>
          <w:sz w:val="26"/>
        </w:rPr>
        <w:t>3. Функция активации ReLU (Лекция №4, Слайд 2)</w:t>
      </w:r>
    </w:p>
    <w:p>
      <w:pPr>
        <w:spacing w:line="276" w:lineRule="auto" w:after="60"/>
        <w:ind w:firstLine="706"/>
      </w:pPr>
      <w:r>
        <w:rPr>
          <w:rFonts w:ascii="Times New Roman" w:hAnsi="Times New Roman"/>
          <w:b w:val="0"/>
          <w:i w:val="0"/>
          <w:sz w:val="22"/>
        </w:rPr>
        <w:t>В лекции №2 (слайды 16–17) рассматриваются классические гладкие функции активации: сигмоидальная σ(s) = 1 / (1 + e⁻ˢ) и гиперболический тангенс th(s) (рис. 3). Однако для глубоких и многослойных сетей они имеют фундаментальный недостаток — насыщение: при больших входных значениях производная функции стремится к нулю, из-за чего градиент ошибки затухает при обратном распространении (проблема vanishing gradient).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bottom w:val="none"/>
          <w:left w:val="none"/>
          <w:right w:val="none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dxa" w:w="8064"/>
          </w:tcPr>
          <w:p>
            <w:pPr>
              <w:keepNext/>
              <w:spacing w:before="6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572000" cy="257175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ec2_slide16_activations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0" cy="25717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type="dxa" w:w="8064"/>
          </w:tcPr>
          <w:p>
            <w:pPr>
              <w:spacing w:before="20" w:after="80"/>
              <w:jc w:val="center"/>
            </w:pPr>
            <w:r>
              <w:rPr>
                <w:rFonts w:ascii="Times New Roman" w:hAnsi="Times New Roman"/>
                <w:i/>
                <w:sz w:val="19"/>
              </w:rPr>
              <w:t>Рис. 3. Слайд 16 лекции №2 «Классические функции активации»</w:t>
            </w:r>
          </w:p>
        </w:tc>
      </w:tr>
    </w:tbl>
    <w:p>
      <w:pPr>
        <w:spacing w:after="40"/>
      </w:pPr>
    </w:p>
    <w:p>
      <w:pPr>
        <w:spacing w:line="276" w:lineRule="auto" w:after="60"/>
        <w:ind w:firstLine="706"/>
      </w:pPr>
      <w:r>
        <w:rPr>
          <w:rFonts w:ascii="Times New Roman" w:hAnsi="Times New Roman"/>
          <w:b w:val="0"/>
          <w:i w:val="0"/>
          <w:sz w:val="22"/>
        </w:rPr>
        <w:t>В лекции №4 на слайде 2 Косинский М.Ю. приводит современную функцию активации ReLU (Rectified Linear Unit), которая и установлена в блоках TDenseLayer в SimInTech (рис. 4):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bottom w:val="none"/>
          <w:left w:val="none"/>
          <w:right w:val="none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dxa" w:w="8064"/>
          </w:tcPr>
          <w:p>
            <w:pPr>
              <w:keepNext/>
              <w:spacing w:before="6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572000" cy="257175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ec4_slide2_relu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0" cy="25717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type="dxa" w:w="8064"/>
          </w:tcPr>
          <w:p>
            <w:pPr>
              <w:spacing w:before="20" w:after="80"/>
              <w:jc w:val="center"/>
            </w:pPr>
            <w:r>
              <w:rPr>
                <w:rFonts w:ascii="Times New Roman" w:hAnsi="Times New Roman"/>
                <w:i/>
                <w:sz w:val="19"/>
              </w:rPr>
              <w:t>Рис. 4. Слайд 2 лекции №4 «Современные функции активации — ReLU»</w:t>
            </w:r>
          </w:p>
        </w:tc>
      </w:tr>
    </w:tbl>
    <w:p>
      <w:pPr>
        <w:spacing w:after="40"/>
      </w:pPr>
    </w:p>
    <w:p>
      <w:pPr>
        <w:spacing w:line="276" w:lineRule="auto" w:after="60"/>
        <w:ind w:firstLine="706"/>
      </w:pPr>
      <w:r>
        <w:rPr>
          <w:rFonts w:ascii="Times New Roman" w:hAnsi="Times New Roman"/>
          <w:b w:val="0"/>
          <w:i w:val="0"/>
          <w:sz w:val="22"/>
        </w:rPr>
        <w:t>Функция ReLU определяется формулой f(x) = max(0, x). Ее производная при x &gt; 0 строго равна 1, что полностью исключает затухание градиента и обеспечивает быструю сходимость сети (в 4–6 раз быстрее сигмоиды).</w:t>
      </w:r>
    </w:p>
    <w:p>
      <w:pPr>
        <w:keepNext/>
        <w:spacing w:before="240" w:after="80"/>
      </w:pPr>
      <w:r>
        <w:rPr>
          <w:rFonts w:ascii="Times New Roman" w:hAnsi="Times New Roman"/>
          <w:b/>
          <w:sz w:val="26"/>
        </w:rPr>
        <w:t>4. Инициализация весовых коэффициентов по методу Хэ (He initialization)</w:t>
      </w:r>
    </w:p>
    <w:p>
      <w:pPr>
        <w:spacing w:line="276" w:lineRule="auto" w:after="60"/>
        <w:ind w:firstLine="706"/>
      </w:pPr>
      <w:r>
        <w:rPr>
          <w:rFonts w:ascii="Times New Roman" w:hAnsi="Times New Roman"/>
          <w:b w:val="0"/>
          <w:i w:val="0"/>
          <w:sz w:val="22"/>
        </w:rPr>
        <w:t>В лекции №3 на слайдах 32–35 рассматривается геометрическая интерпретация целевой функции ошибки (рис. 5). Функция ошибки E в пространстве весов представляет собой сложный многомерный рельеф с оврагами, седловыми точками и множеством локальных экстремумов.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bottom w:val="none"/>
          <w:left w:val="none"/>
          <w:right w:val="none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dxa" w:w="8064"/>
          </w:tcPr>
          <w:p>
            <w:pPr>
              <w:keepNext/>
              <w:spacing w:before="6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572000" cy="257175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ec3_slide32_geometry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0" cy="25717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type="dxa" w:w="8064"/>
          </w:tcPr>
          <w:p>
            <w:pPr>
              <w:spacing w:before="20" w:after="80"/>
              <w:jc w:val="center"/>
            </w:pPr>
            <w:r>
              <w:rPr>
                <w:rFonts w:ascii="Times New Roman" w:hAnsi="Times New Roman"/>
                <w:i/>
                <w:sz w:val="19"/>
              </w:rPr>
              <w:t>Рис. 5. Слайд 32 лекции №3 «Геометрическая интерпретация процесса обучения»</w:t>
            </w:r>
          </w:p>
        </w:tc>
      </w:tr>
    </w:tbl>
    <w:p>
      <w:pPr>
        <w:spacing w:after="40"/>
      </w:pPr>
    </w:p>
    <w:p>
      <w:pPr>
        <w:spacing w:line="276" w:lineRule="auto" w:after="60"/>
        <w:ind w:firstLine="706"/>
      </w:pPr>
      <w:r>
        <w:rPr>
          <w:rFonts w:ascii="Times New Roman" w:hAnsi="Times New Roman"/>
          <w:b w:val="0"/>
          <w:i w:val="0"/>
          <w:sz w:val="22"/>
        </w:rPr>
        <w:t>Если начальные веса задать произвольно, на первых же итерациях сигналы в слоях могут экспоненциально возрасти (взрыв градиента) либо упасть до нуля (затухание). Для сигмоид традиционно использовалась инициализация Ксавье (Xavier): Var(W) = 2 / (n_in + n_out).</w:t>
      </w:r>
    </w:p>
    <w:p>
      <w:pPr>
        <w:spacing w:line="276" w:lineRule="auto" w:after="60"/>
        <w:ind w:firstLine="706"/>
      </w:pPr>
      <w:r>
        <w:rPr>
          <w:rFonts w:ascii="Times New Roman" w:hAnsi="Times New Roman"/>
          <w:b w:val="0"/>
          <w:i w:val="0"/>
          <w:sz w:val="22"/>
        </w:rPr>
        <w:t>Однако для функции ReLU отрицательная часть входов обнуляется (половина нейронов неактивна). В 2015 году Кайминг Хэ (Kaiming He) доказал, что для сохранения дисперсии сигнала в сетях с ReLU дисперсию весов необходимо удваивать: Var(W) = 2 / n_in. В блоке TDenseLayer в SimInTech этот метод включен как базовый (weightInit = 'he').</w:t>
      </w:r>
    </w:p>
    <w:p>
      <w:pPr>
        <w:keepNext/>
        <w:spacing w:before="240" w:after="80"/>
      </w:pPr>
      <w:r>
        <w:rPr>
          <w:rFonts w:ascii="Times New Roman" w:hAnsi="Times New Roman"/>
          <w:b/>
          <w:sz w:val="26"/>
        </w:rPr>
        <w:t>5. Выходной слой: Softmax и функция потерь Cross-Entropy</w:t>
      </w:r>
    </w:p>
    <w:p>
      <w:pPr>
        <w:spacing w:line="276" w:lineRule="auto" w:after="60"/>
        <w:ind w:firstLine="706"/>
      </w:pPr>
      <w:r>
        <w:rPr>
          <w:rFonts w:ascii="Times New Roman" w:hAnsi="Times New Roman"/>
          <w:b w:val="0"/>
          <w:i w:val="0"/>
          <w:sz w:val="22"/>
        </w:rPr>
        <w:t>В задаче варианта 6.1 сеть решает задачу многоклассовой классификации: объект (ИВКЭ) относится к одному из четырех классов надежности (0, 1, 2, 3).</w:t>
      </w:r>
    </w:p>
    <w:p>
      <w:pPr>
        <w:spacing w:line="276" w:lineRule="auto" w:after="60"/>
        <w:ind w:firstLine="706"/>
      </w:pPr>
      <w:r>
        <w:rPr>
          <w:rFonts w:ascii="Times New Roman" w:hAnsi="Times New Roman"/>
          <w:b w:val="0"/>
          <w:i w:val="0"/>
          <w:sz w:val="22"/>
        </w:rPr>
        <w:t>В лекции №3 (слайды 4–5 и 11) сформулирована математическая постановка задачи обучения и алгоритм обратного распространения ошибки (рис. 6).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bottom w:val="none"/>
          <w:left w:val="none"/>
          <w:right w:val="none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dxa" w:w="8064"/>
          </w:tcPr>
          <w:p>
            <w:pPr>
              <w:keepNext/>
              <w:spacing w:before="6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572000" cy="257175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ec3_slide11_backprop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0" cy="25717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type="dxa" w:w="8064"/>
          </w:tcPr>
          <w:p>
            <w:pPr>
              <w:spacing w:before="20" w:after="80"/>
              <w:jc w:val="center"/>
            </w:pPr>
            <w:r>
              <w:rPr>
                <w:rFonts w:ascii="Times New Roman" w:hAnsi="Times New Roman"/>
                <w:i/>
                <w:sz w:val="19"/>
              </w:rPr>
              <w:t>Рис. 6. Слайд 11 лекции №3 «Алгоритм обратного распространения ошибки»</w:t>
            </w:r>
          </w:p>
        </w:tc>
      </w:tr>
    </w:tbl>
    <w:p>
      <w:pPr>
        <w:spacing w:after="40"/>
      </w:pPr>
    </w:p>
    <w:p>
      <w:pPr>
        <w:spacing w:line="276" w:lineRule="auto" w:after="60"/>
        <w:ind w:firstLine="706"/>
      </w:pPr>
      <w:r>
        <w:rPr>
          <w:rFonts w:ascii="Times New Roman" w:hAnsi="Times New Roman"/>
          <w:b w:val="0"/>
          <w:i w:val="0"/>
          <w:sz w:val="22"/>
        </w:rPr>
        <w:t>Для многоклассовой классификации на выходе сети вычисляются вероятности принадлежности объекта к каждому из 4 классов с помощью функции Softmax:</w:t>
      </w:r>
    </w:p>
    <w:p>
      <w:pPr>
        <w:spacing w:line="276" w:lineRule="auto" w:after="60"/>
        <w:ind w:firstLine="706"/>
      </w:pPr>
      <w:r>
        <w:rPr>
          <w:rFonts w:ascii="Times New Roman" w:hAnsi="Times New Roman"/>
          <w:b w:val="0"/>
          <w:i/>
          <w:sz w:val="22"/>
        </w:rPr>
        <w:t>pᵢ = exp(zᵢ) / Σ exp(zⱼ),  где i = 1..4,  Σ pᵢ = 1.</w:t>
      </w:r>
    </w:p>
    <w:p>
      <w:pPr>
        <w:spacing w:line="276" w:lineRule="auto" w:after="60"/>
        <w:ind w:firstLine="706"/>
      </w:pPr>
      <w:r>
        <w:rPr>
          <w:rFonts w:ascii="Times New Roman" w:hAnsi="Times New Roman"/>
          <w:b w:val="0"/>
          <w:i w:val="0"/>
          <w:sz w:val="22"/>
        </w:rPr>
        <w:t>В качестве критерия качества обучения минимизируется функция категориальной перекрестной энтропии (Cross-Entropy Loss):</w:t>
      </w:r>
    </w:p>
    <w:p>
      <w:pPr>
        <w:spacing w:line="276" w:lineRule="auto" w:after="60"/>
        <w:ind w:firstLine="706"/>
      </w:pPr>
      <w:r>
        <w:rPr>
          <w:rFonts w:ascii="Times New Roman" w:hAnsi="Times New Roman"/>
          <w:b w:val="0"/>
          <w:i/>
          <w:sz w:val="22"/>
        </w:rPr>
        <w:t>E = – Σ yᵢ · ln(pᵢ),</w:t>
      </w:r>
    </w:p>
    <w:p>
      <w:pPr>
        <w:spacing w:line="276" w:lineRule="auto" w:after="60"/>
        <w:ind w:firstLine="706"/>
      </w:pPr>
      <w:r>
        <w:rPr>
          <w:rFonts w:ascii="Times New Roman" w:hAnsi="Times New Roman"/>
          <w:b w:val="0"/>
          <w:i w:val="0"/>
          <w:sz w:val="22"/>
        </w:rPr>
        <w:t>где yᵢ — истинная метка класса из файла target61.txt (равна 1 для истинного класса и 0 для остальных). В SimInTech блок расчета ошибки выполняет операцию softMaxToCrossEntropy.</w:t>
      </w:r>
    </w:p>
    <w:p>
      <w:pPr>
        <w:keepNext/>
        <w:spacing w:before="240" w:after="80"/>
      </w:pPr>
      <w:r>
        <w:rPr>
          <w:rFonts w:ascii="Times New Roman" w:hAnsi="Times New Roman"/>
          <w:b/>
          <w:sz w:val="26"/>
        </w:rPr>
        <w:t>6. Шаг расчета 1 с = 1 эпоха обучения (Методичка, стр. 36)</w:t>
      </w:r>
    </w:p>
    <w:p>
      <w:pPr>
        <w:spacing w:line="276" w:lineRule="auto" w:after="60"/>
        <w:ind w:firstLine="706"/>
      </w:pPr>
      <w:r>
        <w:rPr>
          <w:rFonts w:ascii="Times New Roman" w:hAnsi="Times New Roman"/>
          <w:b w:val="0"/>
          <w:i w:val="0"/>
          <w:sz w:val="22"/>
        </w:rPr>
        <w:t>В методическом пособии «Лабораторный практикум ННТвЗУ» на стр. 36 приведен порядок выполнения работы (рис. 7):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bottom w:val="none"/>
          <w:left w:val="none"/>
          <w:right w:val="none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dxa" w:w="8064"/>
          </w:tcPr>
          <w:p>
            <w:pPr>
              <w:keepNext/>
              <w:spacing w:before="6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754880" cy="3129471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b_manual_p36_crop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4880" cy="312947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type="dxa" w:w="8064"/>
          </w:tcPr>
          <w:p>
            <w:pPr>
              <w:spacing w:before="20" w:after="80"/>
              <w:jc w:val="center"/>
            </w:pPr>
            <w:r>
              <w:rPr>
                <w:rFonts w:ascii="Times New Roman" w:hAnsi="Times New Roman"/>
                <w:i/>
                <w:sz w:val="19"/>
              </w:rPr>
              <w:t>Рис. 7. Фрагмент страницы 36 методички с порядком выполнения работы</w:t>
            </w:r>
          </w:p>
        </w:tc>
      </w:tr>
    </w:tbl>
    <w:p>
      <w:pPr>
        <w:spacing w:after="40"/>
      </w:pPr>
    </w:p>
    <w:p>
      <w:pPr>
        <w:spacing w:line="276" w:lineRule="auto" w:after="60"/>
        <w:ind w:firstLine="706"/>
      </w:pPr>
      <w:r>
        <w:rPr>
          <w:rFonts w:ascii="Times New Roman" w:hAnsi="Times New Roman"/>
          <w:b w:val="0"/>
          <w:i w:val="0"/>
          <w:sz w:val="22"/>
        </w:rPr>
        <w:t>В пункте 2 указано: «Изучите состав схемы, назначение блоков и их свойства. Изучите пункт меню «Параметры расчёта». Проведите обучение данной сети...».</w:t>
      </w:r>
    </w:p>
    <w:p>
      <w:pPr>
        <w:spacing w:line="276" w:lineRule="auto" w:after="60"/>
        <w:ind w:firstLine="706"/>
      </w:pPr>
      <w:r>
        <w:rPr>
          <w:rFonts w:ascii="Times New Roman" w:hAnsi="Times New Roman"/>
          <w:b w:val="0"/>
          <w:i w:val="0"/>
          <w:sz w:val="22"/>
        </w:rPr>
        <w:t>В SimInTech при моделировании непрерывно-дискретных систем синхронизация блоков привязана к тактам модельного времени. Разработчики библиотеки нейросетей задали шаг интегрирования равным 1 с, при этом один шаг интегрирования соответствует ровно одной эпохе обучения (одному полному проходу по всей обучающей выборке). Именно поэтому:</w:t>
      </w:r>
    </w:p>
    <w:p>
      <w:pPr>
        <w:spacing w:line="276" w:lineRule="auto" w:after="60"/>
        <w:ind w:firstLine="706"/>
      </w:pPr>
      <w:r>
        <w:rPr>
          <w:rFonts w:ascii="Times New Roman" w:hAnsi="Times New Roman"/>
          <w:b w:val="0"/>
          <w:i w:val="0"/>
          <w:sz w:val="22"/>
        </w:rPr>
        <w:t>• Время расчета 10 с в базовой схеме ирисов = 10 эпох обучения;</w:t>
      </w:r>
    </w:p>
    <w:p>
      <w:pPr>
        <w:spacing w:line="276" w:lineRule="auto" w:after="60"/>
        <w:ind w:firstLine="706"/>
      </w:pPr>
      <w:r>
        <w:rPr>
          <w:rFonts w:ascii="Times New Roman" w:hAnsi="Times New Roman"/>
          <w:b w:val="0"/>
          <w:i w:val="0"/>
          <w:sz w:val="22"/>
        </w:rPr>
        <w:t>• Время расчета 100 с в модификации №1 = 100 эпох обучения;</w:t>
      </w:r>
    </w:p>
    <w:p>
      <w:pPr>
        <w:spacing w:line="276" w:lineRule="auto" w:after="60"/>
        <w:ind w:firstLine="706"/>
      </w:pPr>
      <w:r>
        <w:rPr>
          <w:rFonts w:ascii="Times New Roman" w:hAnsi="Times New Roman"/>
          <w:b w:val="0"/>
          <w:i w:val="0"/>
          <w:sz w:val="22"/>
        </w:rPr>
        <w:t>• Время расчета 500 с в задаче надежности (вариант 6.1) = 500 эпох обучения.</w:t>
      </w:r>
    </w:p>
    <w:p>
      <w:pPr>
        <w:keepNext/>
        <w:spacing w:before="240" w:after="80"/>
      </w:pPr>
      <w:r>
        <w:rPr>
          <w:rFonts w:ascii="Times New Roman" w:hAnsi="Times New Roman"/>
          <w:b/>
          <w:sz w:val="26"/>
        </w:rPr>
        <w:t>7. Шпаргалка к устной защите у Косинского М.Ю.</w:t>
      </w:r>
    </w:p>
    <w:p>
      <w:pPr>
        <w:spacing w:line="276" w:lineRule="auto" w:after="60"/>
        <w:ind w:firstLine="706"/>
      </w:pPr>
      <w:r>
        <w:rPr>
          <w:rFonts w:ascii="Times New Roman" w:hAnsi="Times New Roman"/>
          <w:b w:val="0"/>
          <w:i w:val="0"/>
          <w:sz w:val="22"/>
        </w:rPr>
        <w:t>Ниже приведены краткие формулировки для ответов на возможные вопросы преподавателя по деталям отчета:</w:t>
      </w:r>
    </w:p>
    <w:p>
      <w:pPr>
        <w:keepNext/>
        <w:spacing w:before="80" w:after="40"/>
      </w:pPr>
      <w:r>
        <w:rPr>
          <w:rFonts w:ascii="Times New Roman" w:hAnsi="Times New Roman"/>
          <w:b/>
          <w:sz w:val="21"/>
        </w:rPr>
        <w:t>Таблица 1. Вопросы преподавателя и краткие академические ответы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bottom w:val="single" w:sz="6" w:space="0" w:color="000000"/>
          <w:left w:val="none"/>
          <w:right w:val="none"/>
          <w:insideH w:val="single" w:sz="4" w:space="0" w:color="CCCCCC"/>
          <w:insideV w:val="none"/>
        </w:tblBorders>
      </w:tblPr>
      <w:tblGrid>
        <w:gridCol w:w="4680"/>
        <w:gridCol w:w="4680"/>
      </w:tblGrid>
      <w:tr>
        <w:tc>
          <w:tcPr>
            <w:tcW w:type="dxa" w:w="3456"/>
            <w:shd w:fill="F0F0F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Вопрос преподавателя на защите</w:t>
            </w:r>
          </w:p>
        </w:tc>
        <w:tc>
          <w:tcPr>
            <w:tcW w:type="dxa" w:w="6192"/>
            <w:shd w:fill="F0F0F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Краткий академический ответ студента</w:t>
            </w:r>
          </w:p>
        </w:tc>
      </w:tr>
      <w:tr>
        <w:tc>
          <w:tcPr>
            <w:tcW w:type="dxa" w:w="345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sz w:val="20"/>
              </w:rPr>
              <w:t>Какой алгоритм оптимизации использовался при обучении?</w:t>
            </w:r>
          </w:p>
        </w:tc>
        <w:tc>
          <w:tcPr>
            <w:tcW w:type="dxa" w:w="619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Использовался алгоритм Adam со скоростью обучения 0.001. Это адаптивный градиентный метод, рассчитывающий моменты 1-го и 2-го порядка, он установлен по умолчанию в блоке TDenseLayer в SimInTech и подробно рассматривался в лекции №4 (слайд 11).</w:t>
            </w:r>
          </w:p>
        </w:tc>
      </w:tr>
      <w:tr>
        <w:tc>
          <w:tcPr>
            <w:tcW w:type="dxa" w:w="345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sz w:val="20"/>
              </w:rPr>
              <w:t>Какая функция активации в скрытых слоях и почему?</w:t>
            </w:r>
          </w:p>
        </w:tc>
        <w:tc>
          <w:tcPr>
            <w:tcW w:type="dxa" w:w="619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В скрытых слоях используется функция ReLU (f(x) = max(0, x)). В отличие от сигмоиды и tanh (лекция №2), у ReLU производная равна 1 при положительных входах, что предотвращает затухание градиента при обратном распространении ошибки (лекция №4, слайд 2).</w:t>
            </w:r>
          </w:p>
        </w:tc>
      </w:tr>
      <w:tr>
        <w:tc>
          <w:tcPr>
            <w:tcW w:type="dxa" w:w="345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sz w:val="20"/>
              </w:rPr>
              <w:t>Как инициализировались весовые коэффициенты?</w:t>
            </w:r>
          </w:p>
        </w:tc>
        <w:tc>
          <w:tcPr>
            <w:tcW w:type="dxa" w:w="619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Инициализация весов выполнена по методу Кайминга Хэ (He initialization). Для сетей с функцией активации ReLU дисперсия начальных весов выбирается равной 2/n_in, чтобы компенсировать обнуление отрицательной полуплоскости и исключить взрыв или затухание градиентов на первых эпохах (лекция №3).</w:t>
            </w:r>
          </w:p>
        </w:tc>
      </w:tr>
      <w:tr>
        <w:tc>
          <w:tcPr>
            <w:tcW w:type="dxa" w:w="345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sz w:val="20"/>
              </w:rPr>
              <w:t>Какая функция потерь и как устроен выходной слой?</w:t>
            </w:r>
          </w:p>
        </w:tc>
        <w:tc>
          <w:tcPr>
            <w:tcW w:type="dxa" w:w="619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Выходной слой содержит 4 нейрона по числу классов надежности ИВКЭ. Выходы преобразуются в вероятности через Softmax, а минимизируется функция категориальной перекрестной энтропии (Cross-Entropy), что соответствует блоку softMaxToCrossEntropy в SimInTech.</w:t>
            </w:r>
          </w:p>
        </w:tc>
      </w:tr>
      <w:tr>
        <w:tc>
          <w:tcPr>
            <w:tcW w:type="dxa" w:w="345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sz w:val="20"/>
              </w:rPr>
              <w:t>Почему время расчета задавалось 10 с, 100 с и 500 с?</w:t>
            </w:r>
          </w:p>
        </w:tc>
        <w:tc>
          <w:tcPr>
            <w:tcW w:type="dxa" w:w="619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В параметрах расчета SimInTech шаг интегрирования синхронизации равен 1 с. Разработчики библиотеки привязали один шаг модельного времени к одной эпохе обучения по всей выборке. Соответственно, 500 с расчета соответствуют 500 эпохам обучения.</w:t>
            </w:r>
          </w:p>
        </w:tc>
      </w:tr>
      <w:tr>
        <w:tc>
          <w:tcPr>
            <w:tcW w:type="dxa" w:w="345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sz w:val="20"/>
              </w:rPr>
              <w:t>Что показывает кумулятивный график на рис. 18 и 22?</w:t>
            </w:r>
          </w:p>
        </w:tc>
        <w:tc>
          <w:tcPr>
            <w:tcW w:type="dxa" w:w="619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По оси X отложен номер системы тестовой выборки (от 1 до 1000), а по оси Y — накопленное количество правильных ответов. Блок сравнивает предсказанный класс с эталоном из target61.txt: при совпадении счетчик прибавляет 1. Итог: 750 из 1000 (75%) в первой схеме и 820 из 1000 (82%) в двухслойной сети.</w:t>
            </w:r>
          </w:p>
        </w:tc>
      </w:tr>
    </w:tbl>
    <w:sectPr w:rsidR="00FC693F" w:rsidRPr="0006063C" w:rsidSect="00034616">
      <w:pgSz w:w="11909" w:h="16834"/>
      <w:pgMar w:top="1138" w:right="850" w:bottom="1138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60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Справка по теоретическим основам и параметрам моделирования ЛР №1</dc:title>
  <dc:subject>Нейро-нечеткие технологии в задачах управления</dc:subject>
  <dc:creator>Егор Грудинин</dc:creator>
  <cp:keywords/>
  <cp:lastModifiedBy>Егор Грудинин</cp:lastModifiedBy>
  <cp:revision>4</cp:revision>
  <dcterms:created xsi:type="dcterms:W3CDTF">2026-10-04T09:15:00Z</dcterms:created>
  <dcterms:modified xsi:type="dcterms:W3CDTF">2026-10-04T10:30:00Z</dcterms:modified>
  <cp:category/>
</cp:coreProperties>
</file>