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bidi w:val="0"/>
        <w:spacing w:before="0" w:after="28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 «Национальный исследовательский университет «МЭИ»</w:t>
      </w:r>
    </w:p>
    <w:p>
      <w:pPr>
        <w:pStyle w:val="NormalWeb"/>
        <w:bidi w:val="0"/>
        <w:spacing w:before="280" w:after="28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</w:rPr>
        <w:t>Институт информационных и вычислительных технологий</w:t>
      </w:r>
    </w:p>
    <w:p>
      <w:pPr>
        <w:pStyle w:val="NormalWeb"/>
        <w:bidi w:val="0"/>
        <w:spacing w:before="280" w:after="28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</w:rPr>
        <w:t>Кафедра Управления и интеллектуальных технологий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Web"/>
        <w:bidi w:val="0"/>
        <w:spacing w:before="280" w:after="28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b/>
          <w:sz w:val="40"/>
          <w:szCs w:val="40"/>
        </w:rPr>
        <w:t>Лабораторная работа №</w:t>
      </w:r>
      <w:r>
        <w:rPr>
          <w:b/>
          <w:sz w:val="40"/>
          <w:szCs w:val="40"/>
          <w:lang w:val="en-US"/>
        </w:rPr>
        <w:t>2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b/>
          <w:sz w:val="40"/>
          <w:szCs w:val="40"/>
          <w:lang w:val="ru-RU"/>
        </w:rPr>
        <w:t>«</w:t>
      </w:r>
      <w:r>
        <w:rPr>
          <w:b/>
          <w:sz w:val="32"/>
          <w:szCs w:val="32"/>
          <w:lang w:val="ru-RU"/>
        </w:rPr>
        <w:t>ИССЛЕДОВАНИЕ ЛИНЕЙНЫХ ИМПУЛЬСНЫХ СИСТЕМ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b/>
          <w:sz w:val="32"/>
          <w:szCs w:val="32"/>
          <w:lang w:val="ru-RU"/>
        </w:rPr>
        <w:t>АВТОМАТИЧЕСКОГО УПРАВЛЕНИЯ</w:t>
      </w:r>
      <w:r>
        <w:rPr>
          <w:b/>
          <w:sz w:val="40"/>
          <w:szCs w:val="40"/>
          <w:lang w:val="ru-RU"/>
        </w:rPr>
        <w:t>»</w:t>
      </w:r>
      <w:r>
        <w:rPr>
          <w:b/>
          <w:sz w:val="28"/>
          <w:szCs w:val="28"/>
          <w:lang w:val="ru-RU"/>
        </w:rPr>
        <w:t xml:space="preserve"> </w:t>
      </w:r>
    </w:p>
    <w:p>
      <w:pPr>
        <w:pStyle w:val="NormalWeb"/>
        <w:bidi w:val="0"/>
        <w:spacing w:before="280" w:after="28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Web"/>
        <w:bidi w:val="0"/>
        <w:spacing w:before="280" w:after="28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Web"/>
        <w:bidi w:val="0"/>
        <w:spacing w:before="280" w:after="28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Web"/>
        <w:bidi w:val="0"/>
        <w:spacing w:before="280" w:after="28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Web"/>
        <w:bidi w:val="0"/>
        <w:spacing w:before="280" w:after="28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Web"/>
        <w:bidi w:val="0"/>
        <w:spacing w:before="280" w:after="28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Web"/>
        <w:bidi w:val="0"/>
        <w:spacing w:before="280" w:after="28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Web"/>
        <w:bidi w:val="0"/>
        <w:spacing w:before="280" w:after="280"/>
        <w:contextualSpacing/>
        <w:jc w:val="left"/>
        <w:rPr>
          <w:rFonts w:ascii="Times New Roman" w:hAnsi="Times New Roman" w:cs="Calibri"/>
          <w:b/>
          <w:b/>
          <w:color w:val="000000"/>
          <w:sz w:val="28"/>
          <w:szCs w:val="28"/>
        </w:rPr>
      </w:pPr>
      <w:r>
        <w:rPr>
          <w:rFonts w:cs="Calibri" w:ascii="Times New Roman" w:hAnsi="Times New Roman"/>
          <w:b/>
          <w:color w:val="000000"/>
          <w:sz w:val="28"/>
          <w:szCs w:val="28"/>
        </w:rPr>
      </w:r>
    </w:p>
    <w:p>
      <w:pPr>
        <w:pStyle w:val="NormalWeb"/>
        <w:bidi w:val="0"/>
        <w:spacing w:beforeAutospacing="0" w:before="0" w:afterAutospacing="0" w:after="0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</w:rPr>
        <w:t>Выполнили студенты группы А-01-20</w:t>
      </w:r>
    </w:p>
    <w:p>
      <w:pPr>
        <w:pStyle w:val="NormalWeb"/>
        <w:bidi w:val="0"/>
        <w:spacing w:beforeAutospacing="0" w:before="0" w:afterAutospacing="0" w:after="0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</w:rPr>
        <w:t>Бригады № 11</w:t>
      </w:r>
    </w:p>
    <w:p>
      <w:pPr>
        <w:pStyle w:val="NormalWeb"/>
        <w:bidi w:val="0"/>
        <w:spacing w:beforeAutospacing="0" w:before="0" w:afterAutospacing="0" w:after="0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</w:rPr>
        <w:t xml:space="preserve">Емелин Алексей </w:t>
      </w:r>
    </w:p>
    <w:p>
      <w:pPr>
        <w:pStyle w:val="NormalWeb"/>
        <w:bidi w:val="0"/>
        <w:spacing w:beforeAutospacing="0" w:before="0" w:afterAutospacing="0" w:after="0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Сыропятов Вячеслав </w:t>
      </w:r>
    </w:p>
    <w:p>
      <w:pPr>
        <w:pStyle w:val="NormalWeb"/>
        <w:bidi w:val="0"/>
        <w:spacing w:beforeAutospacing="0" w:before="0" w:afterAutospacing="0" w:after="0"/>
        <w:contextualSpacing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Кузнецов Степан</w:t>
      </w:r>
    </w:p>
    <w:p>
      <w:pPr>
        <w:pStyle w:val="NormalWeb"/>
        <w:bidi w:val="0"/>
        <w:spacing w:before="280" w:afterAutospacing="0" w:after="0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Проверил:</w:t>
      </w:r>
    </w:p>
    <w:p>
      <w:pPr>
        <w:pStyle w:val="NormalWeb"/>
        <w:bidi w:val="0"/>
        <w:spacing w:beforeAutospacing="0" w:before="0" w:afterAutospacing="0" w:after="0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b w:val="false"/>
          <w:bCs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Дементьев Владимир Юрьевич</w:t>
      </w:r>
      <w:r>
        <w:rPr>
          <w:b w:val="false"/>
          <w:bCs w:val="false"/>
          <w:color w:val="000000"/>
          <w:sz w:val="28"/>
          <w:szCs w:val="28"/>
        </w:rPr>
        <w:t xml:space="preserve"> </w:t>
      </w:r>
    </w:p>
    <w:p>
      <w:pPr>
        <w:pStyle w:val="NormalWeb"/>
        <w:bidi w:val="0"/>
        <w:spacing w:before="280" w:after="28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Web"/>
        <w:bidi w:val="0"/>
        <w:spacing w:before="280" w:after="28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Web"/>
        <w:bidi w:val="0"/>
        <w:spacing w:before="280" w:after="28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Web"/>
        <w:bidi w:val="0"/>
        <w:spacing w:before="280" w:after="28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Web"/>
        <w:bidi w:val="0"/>
        <w:spacing w:before="280" w:after="28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Web"/>
        <w:bidi w:val="0"/>
        <w:spacing w:before="280" w:after="28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Web"/>
        <w:bidi w:val="0"/>
        <w:spacing w:before="280" w:after="28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Web"/>
        <w:bidi w:val="0"/>
        <w:spacing w:before="280" w:after="28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before="280" w:after="28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Москва 2023</w:t>
      </w:r>
      <w:r>
        <w:br w:type="page"/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Цель работы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Целью работы является  исследование  особенностей динамики линейных  импульсных  САУ  с  амплитудной модуляцией, связанных с наличием в них квантования по времени. Изучаются свойства  реального импульсного элемента, условия устойчивости линейных импульсных систем (ИСАУ), переходные процессы при регулярных воздействиях.</w:t>
      </w:r>
    </w:p>
    <w:p>
      <w:pPr>
        <w:pStyle w:val="Normal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</w:t>
      </w:r>
    </w:p>
    <w:p>
      <w:pPr>
        <w:pStyle w:val="Normal"/>
        <w:jc w:val="both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2. Определение условий, когда ИСАУ может рассматриваться как непрерывная</w:t>
      </w:r>
    </w:p>
    <w:p>
      <w:pPr>
        <w:pStyle w:val="Normal"/>
        <w:jc w:val="both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2.1. В соответствии с вариантом работы введём параметры ИСАУ.</w:t>
      </w:r>
    </w:p>
    <w:p>
      <w:pPr>
        <w:pStyle w:val="Normal"/>
        <w:jc w:val="both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Вариант 5</w:t>
      </w:r>
    </w:p>
    <w:p>
      <w:pPr>
        <w:pStyle w:val="Normal"/>
        <w:jc w:val="both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Таблица 1</w:t>
      </w:r>
    </w:p>
    <w:tbl>
      <w:tblPr>
        <w:tblW w:w="317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75"/>
      </w:tblGrid>
      <w:tr>
        <w:trPr>
          <w:trHeight w:val="595" w:hRule="atLeast"/>
        </w:trPr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Параметры звеньев ИСАУ</w:t>
            </w:r>
          </w:p>
        </w:tc>
      </w:tr>
      <w:tr>
        <w:trPr>
          <w:trHeight w:val="595" w:hRule="atLeast"/>
        </w:trPr>
        <w:tc>
          <w:tcPr>
            <w:tcW w:w="3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k1=3.0</w:t>
            </w:r>
          </w:p>
        </w:tc>
      </w:tr>
      <w:tr>
        <w:trPr>
          <w:trHeight w:val="595" w:hRule="atLeast"/>
        </w:trPr>
        <w:tc>
          <w:tcPr>
            <w:tcW w:w="3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k2=4.5</w:t>
            </w:r>
          </w:p>
        </w:tc>
      </w:tr>
      <w:tr>
        <w:trPr>
          <w:trHeight w:val="595" w:hRule="atLeast"/>
        </w:trPr>
        <w:tc>
          <w:tcPr>
            <w:tcW w:w="3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k3=0.5</w:t>
            </w:r>
          </w:p>
        </w:tc>
      </w:tr>
      <w:tr>
        <w:trPr>
          <w:trHeight w:val="595" w:hRule="atLeast"/>
        </w:trPr>
        <w:tc>
          <w:tcPr>
            <w:tcW w:w="3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T1=0.2</w:t>
            </w:r>
          </w:p>
        </w:tc>
      </w:tr>
      <w:tr>
        <w:trPr>
          <w:trHeight w:val="595" w:hRule="atLeast"/>
        </w:trPr>
        <w:tc>
          <w:tcPr>
            <w:tcW w:w="3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b w:val="false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T</w:t>
            </w:r>
            <w:r>
              <w:rPr>
                <w:b w:val="false"/>
                <w:bCs w:val="false"/>
                <w:sz w:val="24"/>
                <w:szCs w:val="24"/>
                <w:vertAlign w:val="subscript"/>
                <w:lang w:val="ru-RU"/>
              </w:rPr>
              <w:t>0</w:t>
            </w:r>
            <w:r>
              <w:rPr>
                <w:b w:val="false"/>
                <w:bCs w:val="false"/>
                <w:sz w:val="24"/>
                <w:szCs w:val="24"/>
                <w:lang w:val="en-US"/>
              </w:rPr>
              <w:t>=0.55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02785" cy="355600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78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 1. Параметры ИСАУ</w:t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1. Определение передаточной функции элемента с заданной формой импульса.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1.1. Введем формулы для коэффициентов импульсной передаточной функции в соответствии с вариантом задания.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954270" cy="3295015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7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 2. Ввод формул для вычисления коэффициентов полинома А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931410" cy="3279775"/>
            <wp:effectExtent l="0" t="0" r="0" b="0"/>
            <wp:docPr id="3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4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 xml:space="preserve">Рис 3. Ввод формул для вычисления коэффициентов полинома </w:t>
      </w:r>
      <w:r>
        <w:rPr>
          <w:lang w:val="en-US"/>
        </w:rPr>
        <w:t>B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756785" cy="3164205"/>
            <wp:effectExtent l="0" t="0" r="0" b="0"/>
            <wp:docPr id="4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78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 xml:space="preserve">Рис 4. Рассчитанная импульсная передаточная функция </w:t>
      </w:r>
    </w:p>
    <w:p>
      <w:pPr>
        <w:pStyle w:val="Normal"/>
        <w:jc w:val="both"/>
        <w:rPr/>
      </w:pPr>
      <w:r>
        <w:rPr>
          <w:sz w:val="24"/>
          <w:szCs w:val="24"/>
        </w:rPr>
        <w:t>2.2. Проанализируем виды спектров входного квантованного и выходного  сигналов, представленные  на экране, и введём  период квантования T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 импульсного элемента, который позволит рассматривать ИСАУ  как непрерывную.</w:t>
      </w:r>
    </w:p>
    <w:p>
      <w:pPr>
        <w:pStyle w:val="Normal"/>
        <w:jc w:val="both"/>
        <w:rPr/>
      </w:pPr>
      <w:r>
        <w:rPr>
          <w:sz w:val="24"/>
          <w:szCs w:val="24"/>
        </w:rPr>
        <w:t xml:space="preserve">Чтобы рассматривать ИСАУ как непрерывную, </w:t>
      </w:r>
      <w:r>
        <w:rPr>
          <w:sz w:val="24"/>
          <w:szCs w:val="24"/>
        </w:rPr>
        <w:t>необходимо, чтобы спектр входного сигнала совпадал со спектром выходного сигнала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Так как на входе синусоидальный сигнал, то его спектр будет отличен от 0 в точке частоты этой синусоиды.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10785" cy="3957320"/>
            <wp:effectExtent l="0" t="0" r="0" b="0"/>
            <wp:docPr id="5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8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 5. Вид входного квантованного и выходного сигналов и переходный процесс при Т</w:t>
      </w:r>
      <w:r>
        <w:rPr>
          <w:vertAlign w:val="subscript"/>
        </w:rPr>
        <w:t>0</w:t>
      </w:r>
      <w:r>
        <w:rPr>
          <w:position w:val="0"/>
          <w:sz w:val="22"/>
          <w:sz w:val="22"/>
          <w:vertAlign w:val="baseline"/>
        </w:rPr>
        <w:t xml:space="preserve"> =0.55</w:t>
      </w:r>
    </w:p>
    <w:p>
      <w:pPr>
        <w:pStyle w:val="Normal"/>
        <w:rPr/>
      </w:pPr>
      <w:r>
        <w:rPr/>
        <w:t>Введём Т</w:t>
      </w:r>
      <w:r>
        <w:rPr>
          <w:vertAlign w:val="subscript"/>
        </w:rPr>
        <w:t>0</w:t>
      </w:r>
      <w:r>
        <w:rPr>
          <w:position w:val="0"/>
          <w:sz w:val="22"/>
          <w:sz w:val="22"/>
          <w:vertAlign w:val="baseline"/>
        </w:rPr>
        <w:t xml:space="preserve"> равное 0.05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462145" cy="3524250"/>
            <wp:effectExtent l="0" t="0" r="0" b="0"/>
            <wp:docPr id="6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14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 6. Вид входного квантованного и выходного сигналов и переходный процесс при Т</w:t>
      </w:r>
      <w:r>
        <w:rPr>
          <w:vertAlign w:val="subscript"/>
        </w:rPr>
        <w:t>0</w:t>
      </w:r>
      <w:r>
        <w:rPr>
          <w:position w:val="0"/>
          <w:sz w:val="22"/>
          <w:sz w:val="22"/>
          <w:vertAlign w:val="baseline"/>
        </w:rPr>
        <w:t xml:space="preserve"> =0.05</w:t>
      </w:r>
    </w:p>
    <w:p>
      <w:pPr>
        <w:pStyle w:val="Normal"/>
        <w:jc w:val="left"/>
        <w:rPr/>
      </w:pPr>
      <w:r>
        <w:rPr/>
        <w:t xml:space="preserve">Вывод: </w:t>
      </w:r>
      <w:r>
        <w:rPr>
          <w:sz w:val="24"/>
          <w:szCs w:val="24"/>
        </w:rPr>
        <w:t>спектр в</w:t>
      </w:r>
      <w:r>
        <w:rPr>
          <w:sz w:val="24"/>
          <w:szCs w:val="24"/>
        </w:rPr>
        <w:t>ы</w:t>
      </w:r>
      <w:r>
        <w:rPr>
          <w:sz w:val="24"/>
          <w:szCs w:val="24"/>
        </w:rPr>
        <w:t xml:space="preserve">ходного сигнала </w:t>
      </w:r>
      <w:r>
        <w:rPr>
          <w:sz w:val="24"/>
          <w:szCs w:val="24"/>
        </w:rPr>
        <w:t>примерно повторяет</w:t>
      </w:r>
      <w:r>
        <w:rPr>
          <w:sz w:val="24"/>
          <w:szCs w:val="24"/>
        </w:rPr>
        <w:t xml:space="preserve"> спектр входного сигнала</w:t>
      </w:r>
      <w:r>
        <w:rPr/>
        <w:t>.</w:t>
      </w:r>
    </w:p>
    <w:p>
      <w:pPr>
        <w:pStyle w:val="Normal"/>
        <w:jc w:val="both"/>
        <w:rPr/>
      </w:pPr>
      <w:r>
        <w:rPr>
          <w:sz w:val="24"/>
          <w:szCs w:val="24"/>
        </w:rPr>
        <w:t>2.3. Сравним переходные процессы в импульсной САУ  и аналогичной непрерывной системе,  для этого введём такие  параметры  непрерывной части  ИСАУ, которые обеспечивали  бы  необходимую степень фильтрации квантованного сигнала  и совпадение  переходных  процессов с ошибкой менее 10%.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849495" cy="2992755"/>
            <wp:effectExtent l="0" t="0" r="0" b="0"/>
            <wp:docPr id="7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49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 7.  Измененные параметры ИСАУ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left"/>
        <w:rPr/>
      </w:pPr>
      <w:r>
        <w:rPr/>
        <w:t>Таблица 2</w:t>
      </w:r>
    </w:p>
    <w:tbl>
      <w:tblPr>
        <w:tblW w:w="317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75"/>
      </w:tblGrid>
      <w:tr>
        <w:trPr>
          <w:trHeight w:val="595" w:hRule="atLeast"/>
        </w:trPr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Изменённые п</w:t>
            </w:r>
            <w:r>
              <w:rPr>
                <w:sz w:val="24"/>
                <w:szCs w:val="24"/>
                <w:lang w:val="en-US"/>
              </w:rPr>
              <w:t>араметры звеньев ИСАУ</w:t>
            </w:r>
          </w:p>
        </w:tc>
      </w:tr>
      <w:tr>
        <w:trPr>
          <w:trHeight w:val="595" w:hRule="atLeast"/>
        </w:trPr>
        <w:tc>
          <w:tcPr>
            <w:tcW w:w="3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k1=</w:t>
            </w:r>
            <w:r>
              <w:rPr>
                <w:sz w:val="24"/>
                <w:szCs w:val="24"/>
                <w:lang w:val="ru-RU"/>
              </w:rPr>
              <w:t>0</w:t>
            </w:r>
            <w:r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  <w:lang w:val="ru-RU"/>
              </w:rPr>
              <w:t>3</w:t>
            </w:r>
          </w:p>
        </w:tc>
      </w:tr>
      <w:tr>
        <w:trPr>
          <w:trHeight w:val="595" w:hRule="atLeast"/>
        </w:trPr>
        <w:tc>
          <w:tcPr>
            <w:tcW w:w="3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k2=4.5</w:t>
            </w:r>
          </w:p>
        </w:tc>
      </w:tr>
      <w:tr>
        <w:trPr>
          <w:trHeight w:val="595" w:hRule="atLeast"/>
        </w:trPr>
        <w:tc>
          <w:tcPr>
            <w:tcW w:w="3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k3=</w:t>
            </w:r>
            <w:r>
              <w:rPr>
                <w:sz w:val="24"/>
                <w:szCs w:val="24"/>
                <w:lang w:val="ru-RU"/>
              </w:rPr>
              <w:t>3</w:t>
            </w:r>
            <w:r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  <w:lang w:val="ru-RU"/>
              </w:rPr>
              <w:t>0</w:t>
            </w:r>
          </w:p>
        </w:tc>
      </w:tr>
      <w:tr>
        <w:trPr>
          <w:trHeight w:val="595" w:hRule="atLeast"/>
        </w:trPr>
        <w:tc>
          <w:tcPr>
            <w:tcW w:w="3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T1=0.2</w:t>
            </w:r>
          </w:p>
        </w:tc>
      </w:tr>
      <w:tr>
        <w:trPr>
          <w:trHeight w:val="595" w:hRule="atLeast"/>
        </w:trPr>
        <w:tc>
          <w:tcPr>
            <w:tcW w:w="3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b w:val="false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T</w:t>
            </w:r>
            <w:r>
              <w:rPr>
                <w:b w:val="false"/>
                <w:bCs w:val="false"/>
                <w:sz w:val="24"/>
                <w:szCs w:val="24"/>
                <w:vertAlign w:val="subscript"/>
                <w:lang w:val="ru-RU"/>
              </w:rPr>
              <w:t>0</w:t>
            </w:r>
            <w:r>
              <w:rPr>
                <w:b w:val="false"/>
                <w:bCs w:val="false"/>
                <w:sz w:val="24"/>
                <w:szCs w:val="24"/>
                <w:lang w:val="en-US"/>
              </w:rPr>
              <w:t>=0.55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78780" cy="4326890"/>
            <wp:effectExtent l="0" t="0" r="0" b="0"/>
            <wp:docPr id="8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 8. Вид входного квантованного и выходного сигналов и переходный процесс при Т</w:t>
      </w:r>
      <w:r>
        <w:rPr>
          <w:vertAlign w:val="subscript"/>
        </w:rPr>
        <w:t>0</w:t>
      </w:r>
      <w:r>
        <w:rPr>
          <w:position w:val="0"/>
          <w:sz w:val="22"/>
          <w:sz w:val="22"/>
          <w:vertAlign w:val="baseline"/>
        </w:rPr>
        <w:t xml:space="preserve"> =0.55 и изменённых параметрах непрерывной части ИСАУ</w:t>
      </w:r>
    </w:p>
    <w:p>
      <w:pPr>
        <w:pStyle w:val="Normal"/>
        <w:jc w:val="left"/>
        <w:rPr/>
      </w:pPr>
      <w:r>
        <w:rPr>
          <w:position w:val="0"/>
          <w:sz w:val="22"/>
          <w:sz w:val="22"/>
          <w:vertAlign w:val="baseline"/>
        </w:rPr>
        <w:t xml:space="preserve">Вывод: полученные переходные процессы совпадают с ошибкой меньше 10%. </w:t>
      </w:r>
      <w:r>
        <w:br w:type="page"/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3. Исследование устойчивости замкнутой импульсной системы.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3.1. Установим параметры ИСАУ, найденные в результате выполнения п.2 работы(см. Таблица 2).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3.2. Последовательно изменяя коэффициент усиления и анализируя годограф и переходный процесс в ИСАУ, определим для заданного периода квантования T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 граничный  коэффициент  усиления k</w:t>
      </w:r>
      <w:r>
        <w:rPr>
          <w:sz w:val="24"/>
          <w:szCs w:val="24"/>
          <w:vertAlign w:val="subscript"/>
        </w:rPr>
        <w:t>гр</w:t>
      </w:r>
      <w:r>
        <w:rPr>
          <w:sz w:val="24"/>
          <w:szCs w:val="24"/>
        </w:rPr>
        <w:t>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313555" cy="3406140"/>
            <wp:effectExtent l="0" t="0" r="0" b="0"/>
            <wp:docPr id="9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55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bookmarkStart w:id="0" w:name="_GoBack"/>
      <w:bookmarkEnd w:id="0"/>
      <w:r>
        <w:rPr/>
        <w:t xml:space="preserve">Рис 9.  Годограф, переходный процесс и график </w:t>
      </w:r>
      <w:r>
        <w:rPr>
          <w:lang w:val="en-US"/>
        </w:rPr>
        <w:t>k</w:t>
      </w:r>
      <w:r>
        <w:rPr>
          <w:vertAlign w:val="subscript"/>
          <w:lang w:val="ru-RU"/>
        </w:rPr>
        <w:t>гр</w:t>
      </w:r>
      <w:r>
        <w:rPr>
          <w:position w:val="0"/>
          <w:sz w:val="22"/>
          <w:sz w:val="22"/>
          <w:vertAlign w:val="baseline"/>
          <w:lang w:val="ru-RU"/>
        </w:rPr>
        <w:t>(</w:t>
      </w:r>
      <w:r>
        <w:rPr>
          <w:position w:val="0"/>
          <w:sz w:val="22"/>
          <w:sz w:val="22"/>
          <w:vertAlign w:val="baseline"/>
          <w:lang w:val="en-US"/>
        </w:rPr>
        <w:t>T</w:t>
      </w:r>
      <w:r>
        <w:rPr>
          <w:vertAlign w:val="subscript"/>
          <w:lang w:val="ru-RU"/>
        </w:rPr>
        <w:t>0</w:t>
      </w:r>
      <w:r>
        <w:rPr>
          <w:position w:val="0"/>
          <w:sz w:val="22"/>
          <w:sz w:val="22"/>
          <w:vertAlign w:val="baseline"/>
          <w:lang w:val="ru-RU"/>
        </w:rPr>
        <w:t xml:space="preserve">)  для случая, когда </w:t>
      </w:r>
      <w:r>
        <w:rPr>
          <w:position w:val="0"/>
          <w:sz w:val="22"/>
          <w:sz w:val="22"/>
          <w:vertAlign w:val="baseline"/>
          <w:lang w:val="en-US"/>
        </w:rPr>
        <w:t>T</w:t>
      </w:r>
      <w:r>
        <w:rPr>
          <w:vertAlign w:val="subscript"/>
          <w:lang w:val="ru-RU"/>
        </w:rPr>
        <w:t>0</w:t>
      </w:r>
      <w:r>
        <w:rPr>
          <w:position w:val="0"/>
          <w:sz w:val="22"/>
          <w:sz w:val="22"/>
          <w:vertAlign w:val="baseline"/>
          <w:lang w:val="ru-RU"/>
        </w:rPr>
        <w:t xml:space="preserve">=0.55 и </w:t>
      </w:r>
      <w:r>
        <w:rPr>
          <w:position w:val="0"/>
          <w:sz w:val="22"/>
          <w:sz w:val="22"/>
          <w:vertAlign w:val="baseline"/>
          <w:lang w:val="en-US"/>
        </w:rPr>
        <w:t>k</w:t>
      </w:r>
      <w:r>
        <w:rPr>
          <w:vertAlign w:val="subscript"/>
          <w:lang w:val="ru-RU"/>
        </w:rPr>
        <w:t>гр</w:t>
      </w:r>
      <w:r>
        <w:rPr>
          <w:position w:val="0"/>
          <w:sz w:val="22"/>
          <w:sz w:val="22"/>
          <w:vertAlign w:val="baseline"/>
          <w:lang w:val="ru-RU"/>
        </w:rPr>
        <w:t>=</w:t>
      </w:r>
      <w:r>
        <w:rPr>
          <w:position w:val="0"/>
          <w:sz w:val="22"/>
          <w:sz w:val="22"/>
          <w:vertAlign w:val="baseline"/>
          <w:lang w:val="ru-RU"/>
        </w:rPr>
        <w:t>26.73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129405" cy="3261360"/>
            <wp:effectExtent l="0" t="0" r="0" b="0"/>
            <wp:docPr id="10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40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bookmarkStart w:id="1" w:name="_GoBack1"/>
      <w:bookmarkEnd w:id="1"/>
      <w:r>
        <w:rPr/>
        <w:t xml:space="preserve">Рис 10.  Годограф, переходный процесс и график </w:t>
      </w:r>
      <w:r>
        <w:rPr>
          <w:lang w:val="en-US"/>
        </w:rPr>
        <w:t>k</w:t>
      </w:r>
      <w:r>
        <w:rPr>
          <w:vertAlign w:val="subscript"/>
          <w:lang w:val="ru-RU"/>
        </w:rPr>
        <w:t>гр</w:t>
      </w:r>
      <w:r>
        <w:rPr>
          <w:position w:val="0"/>
          <w:sz w:val="22"/>
          <w:sz w:val="22"/>
          <w:vertAlign w:val="baseline"/>
          <w:lang w:val="ru-RU"/>
        </w:rPr>
        <w:t>(</w:t>
      </w:r>
      <w:r>
        <w:rPr>
          <w:position w:val="0"/>
          <w:sz w:val="22"/>
          <w:sz w:val="22"/>
          <w:vertAlign w:val="baseline"/>
          <w:lang w:val="en-US"/>
        </w:rPr>
        <w:t>T</w:t>
      </w:r>
      <w:r>
        <w:rPr>
          <w:vertAlign w:val="subscript"/>
          <w:lang w:val="ru-RU"/>
        </w:rPr>
        <w:t>0</w:t>
      </w:r>
      <w:r>
        <w:rPr>
          <w:position w:val="0"/>
          <w:sz w:val="22"/>
          <w:sz w:val="22"/>
          <w:vertAlign w:val="baseline"/>
          <w:lang w:val="ru-RU"/>
        </w:rPr>
        <w:t xml:space="preserve">)  для случая, когда </w:t>
      </w:r>
      <w:r>
        <w:rPr>
          <w:position w:val="0"/>
          <w:sz w:val="22"/>
          <w:sz w:val="22"/>
          <w:vertAlign w:val="baseline"/>
          <w:lang w:val="en-US"/>
        </w:rPr>
        <w:t>T</w:t>
      </w:r>
      <w:r>
        <w:rPr>
          <w:vertAlign w:val="subscript"/>
          <w:lang w:val="ru-RU"/>
        </w:rPr>
        <w:t>0</w:t>
      </w:r>
      <w:r>
        <w:rPr>
          <w:position w:val="0"/>
          <w:sz w:val="22"/>
          <w:sz w:val="22"/>
          <w:vertAlign w:val="baseline"/>
          <w:lang w:val="ru-RU"/>
        </w:rPr>
        <w:t xml:space="preserve">=0.475 и </w:t>
      </w:r>
      <w:r>
        <w:rPr>
          <w:position w:val="0"/>
          <w:sz w:val="22"/>
          <w:sz w:val="22"/>
          <w:vertAlign w:val="baseline"/>
          <w:lang w:val="en-US"/>
        </w:rPr>
        <w:t>k</w:t>
      </w:r>
      <w:r>
        <w:rPr>
          <w:vertAlign w:val="subscript"/>
          <w:lang w:val="ru-RU"/>
        </w:rPr>
        <w:t>гр</w:t>
      </w:r>
      <w:r>
        <w:rPr>
          <w:position w:val="0"/>
          <w:sz w:val="22"/>
          <w:sz w:val="22"/>
          <w:vertAlign w:val="baseline"/>
          <w:lang w:val="ru-RU"/>
        </w:rPr>
        <w:t>=</w:t>
      </w:r>
      <w:r>
        <w:rPr>
          <w:position w:val="0"/>
          <w:sz w:val="22"/>
          <w:sz w:val="22"/>
          <w:vertAlign w:val="baseline"/>
          <w:lang w:val="ru-RU"/>
        </w:rPr>
        <w:t>53.325</w:t>
      </w:r>
    </w:p>
    <w:p>
      <w:pPr>
        <w:pStyle w:val="Normal"/>
        <w:jc w:val="center"/>
        <w:rPr>
          <w:position w:val="0"/>
          <w:sz w:val="22"/>
          <w:sz w:val="22"/>
          <w:vertAlign w:val="baseline"/>
          <w:lang w:val="ru-RU"/>
        </w:rPr>
      </w:pPr>
      <w:r>
        <w:rPr>
          <w:position w:val="0"/>
          <w:sz w:val="22"/>
          <w:sz w:val="22"/>
          <w:vertAlign w:val="baseline"/>
          <w:lang w:val="ru-RU"/>
        </w:rPr>
      </w:r>
    </w:p>
    <w:p>
      <w:pPr>
        <w:pStyle w:val="Normal"/>
        <w:jc w:val="left"/>
        <w:rPr/>
      </w:pPr>
      <w:r>
        <w:rPr>
          <w:position w:val="0"/>
          <w:sz w:val="22"/>
          <w:sz w:val="22"/>
          <w:vertAlign w:val="baseline"/>
          <w:lang w:val="ru-RU"/>
        </w:rPr>
        <w:t xml:space="preserve">Построим графики для случаев </w:t>
      </w:r>
      <w:r>
        <w:rPr>
          <w:rFonts w:eastAsia="Courier New"/>
          <w:position w:val="0"/>
          <w:sz w:val="24"/>
          <w:sz w:val="24"/>
          <w:szCs w:val="24"/>
          <w:vertAlign w:val="baseline"/>
          <w:lang w:val="ru-RU"/>
        </w:rPr>
        <w:t xml:space="preserve"> </w:t>
      </w:r>
      <w:r>
        <w:rPr>
          <w:position w:val="0"/>
          <w:sz w:val="24"/>
          <w:sz w:val="24"/>
          <w:szCs w:val="24"/>
          <w:vertAlign w:val="baseline"/>
          <w:lang w:val="ru-RU"/>
        </w:rPr>
        <w:t>k &gt; k</w:t>
      </w:r>
      <w:r>
        <w:rPr>
          <w:sz w:val="24"/>
          <w:szCs w:val="24"/>
          <w:vertAlign w:val="subscript"/>
          <w:lang w:val="ru-RU"/>
        </w:rPr>
        <w:t xml:space="preserve">гр </w:t>
      </w:r>
      <w:r>
        <w:rPr>
          <w:position w:val="0"/>
          <w:sz w:val="24"/>
          <w:sz w:val="24"/>
          <w:szCs w:val="24"/>
          <w:vertAlign w:val="baseline"/>
          <w:lang w:val="ru-RU"/>
        </w:rPr>
        <w:t>, k &lt; k</w:t>
      </w:r>
      <w:r>
        <w:rPr>
          <w:sz w:val="24"/>
          <w:szCs w:val="24"/>
          <w:vertAlign w:val="subscript"/>
          <w:lang w:val="ru-RU"/>
        </w:rPr>
        <w:t>гр</w:t>
      </w:r>
      <w:r>
        <w:rPr>
          <w:position w:val="0"/>
          <w:sz w:val="24"/>
          <w:sz w:val="24"/>
          <w:szCs w:val="24"/>
          <w:vertAlign w:val="baseline"/>
          <w:lang w:val="ru-RU"/>
        </w:rPr>
        <w:t xml:space="preserve"> (для случая k = k</w:t>
      </w:r>
      <w:r>
        <w:rPr>
          <w:sz w:val="24"/>
          <w:szCs w:val="24"/>
          <w:vertAlign w:val="subscript"/>
          <w:lang w:val="ru-RU"/>
        </w:rPr>
        <w:t>гр</w:t>
      </w:r>
      <w:r>
        <w:rPr>
          <w:position w:val="0"/>
          <w:sz w:val="24"/>
          <w:sz w:val="24"/>
          <w:szCs w:val="24"/>
          <w:vertAlign w:val="baseline"/>
          <w:lang w:val="ru-RU"/>
        </w:rPr>
        <w:t xml:space="preserve"> см. рис. </w:t>
      </w:r>
      <w:r>
        <w:rPr>
          <w:position w:val="0"/>
          <w:sz w:val="24"/>
          <w:sz w:val="24"/>
          <w:szCs w:val="24"/>
          <w:vertAlign w:val="baseline"/>
          <w:lang w:val="ru-RU"/>
        </w:rPr>
        <w:t>9</w:t>
      </w:r>
      <w:r>
        <w:rPr>
          <w:position w:val="0"/>
          <w:sz w:val="24"/>
          <w:sz w:val="24"/>
          <w:szCs w:val="24"/>
          <w:vertAlign w:val="baseline"/>
          <w:lang w:val="ru-RU"/>
        </w:rPr>
        <w:t>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725545" cy="2941955"/>
            <wp:effectExtent l="0" t="0" r="0" b="0"/>
            <wp:docPr id="11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4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bookmarkStart w:id="2" w:name="_GoBack11"/>
      <w:bookmarkEnd w:id="2"/>
      <w:r>
        <w:rPr/>
        <w:t xml:space="preserve">Рис 11. Годограф, переходный процесс и график </w:t>
      </w:r>
      <w:r>
        <w:rPr>
          <w:lang w:val="en-US"/>
        </w:rPr>
        <w:t>k</w:t>
      </w:r>
      <w:r>
        <w:rPr>
          <w:vertAlign w:val="subscript"/>
          <w:lang w:val="ru-RU"/>
        </w:rPr>
        <w:t>гр</w:t>
      </w:r>
      <w:r>
        <w:rPr>
          <w:position w:val="0"/>
          <w:sz w:val="22"/>
          <w:sz w:val="22"/>
          <w:vertAlign w:val="baseline"/>
          <w:lang w:val="ru-RU"/>
        </w:rPr>
        <w:t>(</w:t>
      </w:r>
      <w:r>
        <w:rPr>
          <w:position w:val="0"/>
          <w:sz w:val="22"/>
          <w:sz w:val="22"/>
          <w:vertAlign w:val="baseline"/>
          <w:lang w:val="en-US"/>
        </w:rPr>
        <w:t>T</w:t>
      </w:r>
      <w:r>
        <w:rPr>
          <w:vertAlign w:val="subscript"/>
          <w:lang w:val="ru-RU"/>
        </w:rPr>
        <w:t>0</w:t>
      </w:r>
      <w:r>
        <w:rPr>
          <w:position w:val="0"/>
          <w:sz w:val="22"/>
          <w:sz w:val="22"/>
          <w:vertAlign w:val="baseline"/>
          <w:lang w:val="ru-RU"/>
        </w:rPr>
        <w:t xml:space="preserve">)  для случая, когда </w:t>
      </w:r>
      <w:r>
        <w:rPr>
          <w:position w:val="0"/>
          <w:sz w:val="22"/>
          <w:sz w:val="22"/>
          <w:vertAlign w:val="baseline"/>
          <w:lang w:val="en-US"/>
        </w:rPr>
        <w:t>T</w:t>
      </w:r>
      <w:r>
        <w:rPr>
          <w:vertAlign w:val="subscript"/>
          <w:lang w:val="ru-RU"/>
        </w:rPr>
        <w:t>0</w:t>
      </w:r>
      <w:r>
        <w:rPr>
          <w:position w:val="0"/>
          <w:sz w:val="22"/>
          <w:sz w:val="22"/>
          <w:vertAlign w:val="baseline"/>
          <w:lang w:val="ru-RU"/>
        </w:rPr>
        <w:t xml:space="preserve">=0.55, </w:t>
      </w:r>
      <w:r>
        <w:rPr>
          <w:position w:val="0"/>
          <w:sz w:val="22"/>
          <w:sz w:val="22"/>
          <w:vertAlign w:val="baseline"/>
          <w:lang w:val="en-US"/>
        </w:rPr>
        <w:t>k</w:t>
      </w:r>
      <w:r>
        <w:rPr>
          <w:position w:val="0"/>
          <w:sz w:val="22"/>
          <w:sz w:val="22"/>
          <w:vertAlign w:val="baseline"/>
          <w:lang w:val="ru-RU"/>
        </w:rPr>
        <w:t>=</w:t>
      </w:r>
      <w:r>
        <w:rPr>
          <w:position w:val="0"/>
          <w:sz w:val="22"/>
          <w:sz w:val="22"/>
          <w:vertAlign w:val="baseline"/>
          <w:lang w:val="ru-RU"/>
        </w:rPr>
        <w:t>53.325</w:t>
      </w:r>
      <w:r>
        <w:rPr>
          <w:position w:val="0"/>
          <w:sz w:val="22"/>
          <w:sz w:val="22"/>
          <w:vertAlign w:val="baseline"/>
          <w:lang w:val="ru-RU"/>
        </w:rPr>
        <w:t>,</w:t>
        <w:br/>
        <w:t xml:space="preserve"> </w:t>
      </w:r>
      <w:r>
        <w:rPr>
          <w:position w:val="0"/>
          <w:sz w:val="22"/>
          <w:sz w:val="22"/>
          <w:szCs w:val="22"/>
          <w:vertAlign w:val="baseline"/>
          <w:lang w:val="ru-RU"/>
        </w:rPr>
        <w:t>k &gt; k</w:t>
      </w:r>
      <w:r>
        <w:rPr>
          <w:sz w:val="22"/>
          <w:szCs w:val="22"/>
          <w:vertAlign w:val="subscript"/>
          <w:lang w:val="ru-RU"/>
        </w:rPr>
        <w:t>гр</w:t>
      </w:r>
      <w:r>
        <w:rPr>
          <w:position w:val="0"/>
          <w:sz w:val="22"/>
          <w:sz w:val="22"/>
          <w:szCs w:val="22"/>
          <w:vertAlign w:val="baseline"/>
          <w:lang w:val="ru-RU"/>
        </w:rPr>
        <w:t>(</w:t>
      </w:r>
      <w:r>
        <w:rPr>
          <w:position w:val="0"/>
          <w:sz w:val="22"/>
          <w:sz w:val="22"/>
          <w:szCs w:val="22"/>
          <w:vertAlign w:val="baseline"/>
          <w:lang w:val="en-US"/>
        </w:rPr>
        <w:t>T</w:t>
      </w:r>
      <w:r>
        <w:rPr>
          <w:sz w:val="22"/>
          <w:szCs w:val="22"/>
          <w:vertAlign w:val="subscript"/>
          <w:lang w:val="ru-RU"/>
        </w:rPr>
        <w:t>0</w:t>
      </w:r>
      <w:r>
        <w:rPr>
          <w:position w:val="0"/>
          <w:sz w:val="22"/>
          <w:sz w:val="22"/>
          <w:szCs w:val="22"/>
          <w:vertAlign w:val="baseline"/>
          <w:lang w:val="ru-RU"/>
        </w:rPr>
        <w:t>)</w:t>
      </w:r>
    </w:p>
    <w:p>
      <w:pPr>
        <w:pStyle w:val="Normal"/>
        <w:jc w:val="left"/>
        <w:rPr/>
      </w:pPr>
      <w:r>
        <w:rPr/>
        <w:t xml:space="preserve">Вывод: ИСАУ неустойчива при коэффициенте усиления </w:t>
      </w:r>
      <w:r>
        <w:rPr>
          <w:position w:val="0"/>
          <w:sz w:val="22"/>
          <w:sz w:val="22"/>
          <w:szCs w:val="22"/>
          <w:vertAlign w:val="baseline"/>
          <w:lang w:val="ru-RU"/>
        </w:rPr>
        <w:t>k &gt; k</w:t>
      </w:r>
      <w:r>
        <w:rPr>
          <w:sz w:val="22"/>
          <w:szCs w:val="22"/>
          <w:vertAlign w:val="subscript"/>
          <w:lang w:val="ru-RU"/>
        </w:rPr>
        <w:t>гр.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961765" cy="3128645"/>
            <wp:effectExtent l="0" t="0" r="0" b="0"/>
            <wp:docPr id="12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76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bookmarkStart w:id="3" w:name="_GoBack111"/>
      <w:bookmarkEnd w:id="3"/>
      <w:r>
        <w:rPr/>
        <w:t xml:space="preserve">Рис 12.  Годограф, переходный процесс и график </w:t>
      </w:r>
      <w:r>
        <w:rPr>
          <w:lang w:val="en-US"/>
        </w:rPr>
        <w:t>k</w:t>
      </w:r>
      <w:r>
        <w:rPr>
          <w:vertAlign w:val="subscript"/>
          <w:lang w:val="ru-RU"/>
        </w:rPr>
        <w:t>гр</w:t>
      </w:r>
      <w:r>
        <w:rPr>
          <w:position w:val="0"/>
          <w:sz w:val="22"/>
          <w:sz w:val="22"/>
          <w:vertAlign w:val="baseline"/>
          <w:lang w:val="ru-RU"/>
        </w:rPr>
        <w:t>(</w:t>
      </w:r>
      <w:r>
        <w:rPr>
          <w:position w:val="0"/>
          <w:sz w:val="22"/>
          <w:sz w:val="22"/>
          <w:vertAlign w:val="baseline"/>
          <w:lang w:val="en-US"/>
        </w:rPr>
        <w:t>T</w:t>
      </w:r>
      <w:r>
        <w:rPr>
          <w:vertAlign w:val="subscript"/>
          <w:lang w:val="ru-RU"/>
        </w:rPr>
        <w:t>0</w:t>
      </w:r>
      <w:r>
        <w:rPr>
          <w:position w:val="0"/>
          <w:sz w:val="22"/>
          <w:sz w:val="22"/>
          <w:vertAlign w:val="baseline"/>
          <w:lang w:val="ru-RU"/>
        </w:rPr>
        <w:t xml:space="preserve">)  для случая, когда </w:t>
      </w:r>
      <w:r>
        <w:rPr>
          <w:position w:val="0"/>
          <w:sz w:val="22"/>
          <w:sz w:val="22"/>
          <w:vertAlign w:val="baseline"/>
          <w:lang w:val="en-US"/>
        </w:rPr>
        <w:t>T</w:t>
      </w:r>
      <w:r>
        <w:rPr>
          <w:vertAlign w:val="subscript"/>
          <w:lang w:val="ru-RU"/>
        </w:rPr>
        <w:t>0</w:t>
      </w:r>
      <w:r>
        <w:rPr>
          <w:position w:val="0"/>
          <w:sz w:val="22"/>
          <w:sz w:val="22"/>
          <w:vertAlign w:val="baseline"/>
          <w:lang w:val="ru-RU"/>
        </w:rPr>
        <w:t xml:space="preserve">=0.55, </w:t>
      </w:r>
      <w:r>
        <w:rPr>
          <w:position w:val="0"/>
          <w:sz w:val="22"/>
          <w:sz w:val="22"/>
          <w:vertAlign w:val="baseline"/>
          <w:lang w:val="en-US"/>
        </w:rPr>
        <w:t>k</w:t>
      </w:r>
      <w:r>
        <w:rPr>
          <w:position w:val="0"/>
          <w:sz w:val="22"/>
          <w:sz w:val="22"/>
          <w:vertAlign w:val="baseline"/>
          <w:lang w:val="ru-RU"/>
        </w:rPr>
        <w:t>=1</w:t>
      </w:r>
      <w:r>
        <w:rPr>
          <w:position w:val="0"/>
          <w:sz w:val="22"/>
          <w:sz w:val="22"/>
          <w:vertAlign w:val="baseline"/>
          <w:lang w:val="ru-RU"/>
        </w:rPr>
        <w:t>3.5</w:t>
      </w:r>
      <w:r>
        <w:rPr>
          <w:position w:val="0"/>
          <w:sz w:val="22"/>
          <w:sz w:val="22"/>
          <w:vertAlign w:val="baseline"/>
          <w:lang w:val="ru-RU"/>
        </w:rPr>
        <w:t xml:space="preserve">, </w:t>
      </w:r>
      <w:r>
        <w:rPr>
          <w:position w:val="0"/>
          <w:sz w:val="24"/>
          <w:sz w:val="24"/>
          <w:szCs w:val="24"/>
          <w:vertAlign w:val="baseline"/>
          <w:lang w:val="ru-RU"/>
        </w:rPr>
        <w:t>k &lt; k</w:t>
      </w:r>
      <w:r>
        <w:rPr>
          <w:sz w:val="24"/>
          <w:szCs w:val="24"/>
          <w:vertAlign w:val="subscript"/>
          <w:lang w:val="ru-RU"/>
        </w:rPr>
        <w:t>гр</w:t>
      </w:r>
      <w:r>
        <w:rPr>
          <w:position w:val="0"/>
          <w:sz w:val="22"/>
          <w:sz w:val="22"/>
          <w:szCs w:val="24"/>
          <w:vertAlign w:val="baseline"/>
          <w:lang w:val="ru-RU"/>
        </w:rPr>
        <w:t>(</w:t>
      </w:r>
      <w:r>
        <w:rPr>
          <w:position w:val="0"/>
          <w:sz w:val="22"/>
          <w:sz w:val="22"/>
          <w:szCs w:val="24"/>
          <w:vertAlign w:val="baseline"/>
          <w:lang w:val="en-US"/>
        </w:rPr>
        <w:t>T</w:t>
      </w:r>
      <w:r>
        <w:rPr>
          <w:sz w:val="24"/>
          <w:szCs w:val="24"/>
          <w:vertAlign w:val="subscript"/>
          <w:lang w:val="ru-RU"/>
        </w:rPr>
        <w:t>0</w:t>
      </w:r>
      <w:r>
        <w:rPr>
          <w:position w:val="0"/>
          <w:sz w:val="22"/>
          <w:sz w:val="22"/>
          <w:szCs w:val="24"/>
          <w:vertAlign w:val="baseline"/>
          <w:lang w:val="ru-RU"/>
        </w:rPr>
        <w:t>)</w:t>
      </w:r>
    </w:p>
    <w:p>
      <w:pPr>
        <w:pStyle w:val="Normal"/>
        <w:jc w:val="left"/>
        <w:rPr>
          <w:position w:val="0"/>
          <w:sz w:val="22"/>
          <w:sz w:val="22"/>
          <w:vertAlign w:val="baseline"/>
        </w:rPr>
      </w:pPr>
      <w:r>
        <w:rPr>
          <w:position w:val="0"/>
          <w:sz w:val="24"/>
          <w:sz w:val="24"/>
          <w:szCs w:val="24"/>
          <w:vertAlign w:val="baseline"/>
          <w:lang w:val="ru-RU"/>
        </w:rPr>
        <w:t xml:space="preserve">Вывод: ИСАУ устойчива при коэффициенте усиления </w:t>
      </w:r>
      <w:r>
        <w:rPr>
          <w:position w:val="0"/>
          <w:sz w:val="22"/>
          <w:sz w:val="22"/>
          <w:szCs w:val="22"/>
          <w:vertAlign w:val="baseline"/>
          <w:lang w:val="ru-RU"/>
        </w:rPr>
        <w:t>k &lt; kгр.</w:t>
      </w:r>
    </w:p>
    <w:p>
      <w:pPr>
        <w:pStyle w:val="Normal"/>
        <w:spacing w:before="0" w:after="160"/>
        <w:jc w:val="left"/>
        <w:rPr>
          <w:position w:val="0"/>
          <w:sz w:val="24"/>
          <w:sz w:val="24"/>
          <w:szCs w:val="24"/>
          <w:vertAlign w:val="baseline"/>
          <w:lang w:val="ru-RU"/>
        </w:rPr>
      </w:pPr>
      <w:r>
        <w:rPr>
          <w:position w:val="0"/>
          <w:sz w:val="24"/>
          <w:sz w:val="24"/>
          <w:szCs w:val="24"/>
          <w:vertAlign w:val="baseline"/>
          <w:lang w:val="ru-RU"/>
        </w:rPr>
        <w:t>Вывод: были изучены свойства  реального импульсного элемента, условия устойчивости линейных импульсных систем (ИСАУ), переходные процессы при регулярных воздействиях.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Times New Roman" w:hAnsi="Times New Roman" w:eastAsia="Microsoft YaHei" w:cs="Arial"/>
      <w:sz w:val="32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ascii="Times New Roman" w:hAnsi="Times New Roman" w:cs="Arial"/>
      <w:sz w:val="24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8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ascii="Times New Roman" w:hAnsi="Times New Roman" w:cs="Arial"/>
      <w:sz w:val="24"/>
      <w:lang w:val="zxx" w:eastAsia="zxx" w:bidi="zxx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  <w:contextualSpacing/>
    </w:pPr>
    <w:rPr>
      <w:rFonts w:eastAsia="Times New Roman"/>
      <w:sz w:val="24"/>
      <w:szCs w:val="24"/>
      <w:lang w:eastAsia="ru-RU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LibreOffice/7.3.7.2$Windows_X86_64 LibreOffice_project/e114eadc50a9ff8d8c8a0567d6da8f454beeb84f</Application>
  <AppVersion>15.0000</AppVersion>
  <Pages>8</Pages>
  <Words>504</Words>
  <Characters>3287</Characters>
  <CharactersWithSpaces>3770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2023-10-24T06:33:00Z</dcterms:created>
  <dc:creator>Stud</dc:creator>
  <dc:description/>
  <dc:language>ru-RU</dc:language>
  <cp:lastModifiedBy/>
  <dcterms:modified xsi:type="dcterms:W3CDTF">2023-11-20T23:36:26Z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