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sz w:val="24"/>
        </w:rPr>
        <w:t>Лабораторная работа № 3</w:t>
        <w:br/>
        <w:t>«Исследование динамической модели энергоблока ТЭС»</w:t>
        <w:br/>
        <w:t>Протокол выполнения работы (Вариант № 4)</w:t>
      </w:r>
    </w:p>
    <w:p>
      <w:pPr>
        <w:keepNext/>
        <w:spacing w:before="40" w:after="40"/>
      </w:pPr>
      <w:r>
        <w:rPr>
          <w:rFonts w:ascii="Times New Roman" w:hAnsi="Times New Roman"/>
          <w:b/>
          <w:sz w:val="22"/>
        </w:rPr>
        <w:t>Исходные данные для проведения исследований (Вариант № 4)</w:t>
      </w:r>
    </w:p>
    <w:p>
      <w:pPr>
        <w:spacing w:after="40"/>
      </w:pPr>
      <w:r>
        <w:t>Параметры Варианта № 4 (Таблица 3.1 методических указаний):</w:t>
        <w:br/>
        <w:t>• Контрольный момент времени линеаризации t_k = 0.45 с;</w:t>
        <w:br/>
        <w:t>• Контрольный момент времени линеаризации t_m = 1.15 с.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1.1. Модель энергоблока в соответствии с его математическим описанием, приведенным в Методических указаниях, при наличии входных воздействий и нулевых начальных условиях. Входные воздействия взять равными единице. Занести в протокол графики переменных состояния энергоблока. Определить установившееся значение каждой переменной состояния.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Схема модели энергоблока при наличии входных воздействий в SimInTech: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1324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324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Схема моделирования с блоком «Ступенька» [1, 1], блоком «Язык программирования» и индикатором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Код модели в редакторе блока «Язык программирования» (PL):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3677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7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Окно редактора PL блока «Язык программирования» (12 дифференциальных уравнений энергоблока)</w:t>
      </w:r>
    </w:p>
    <w:p>
      <w:pPr>
        <w:keepNext/>
        <w:spacing w:before="20" w:after="30"/>
      </w:pPr>
      <w:r>
        <w:rPr>
          <w:rFonts w:ascii="Times New Roman" w:hAnsi="Times New Roman"/>
          <w:b/>
          <w:sz w:val="20"/>
        </w:rPr>
        <w:t>Графики переходных процессов всех переменных состояния (общий масштаб):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18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forced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Реакция переменных состояния на ступенчатые воздействия u₁ = 1, u₂ = 1 (RK45, t = 0..15 с)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Графики переходных процессов в увеличенном масштабе (быстрые переменные x₁, x₂, x₃, y₁, y₂, s):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18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forced_zoom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Электромагнитные переменные и скольжение в увеличенном масштабе (t = 0..4 с)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Таблица установившихся значений переменных состояния: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552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steady_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5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Установившиеся значения переменных состояния при u₁ = 1, u₂ = 1 (t = 15 с)</w:t>
      </w:r>
    </w:p>
    <w:p>
      <w:pPr>
        <w:keepNext/>
        <w:spacing w:before="20" w:after="40"/>
      </w:pPr>
      <w:r>
        <w:rPr>
          <w:rFonts w:ascii="Times New Roman" w:hAnsi="Times New Roman"/>
          <w:b/>
          <w:sz w:val="22"/>
        </w:rPr>
        <w:t>1.2. Модель свободного движения энергоблока (без входных воздействий; в качестве начального значения для i-ой переменной состояния взять ее установившееся значение, найденное в предыдущем пункте программы исследований). Занести в протокол графики переменных состояния свободного движения энергоблока.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Схема модели свободного движения энергоблока в SimInTech: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1608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5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0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Схема свободного движения (входы u₁ = 0, u₂ = 0, начальные условия init xᵢ = xᵢ,уст)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Графики переменных состояния свободного движения на интервале 0..5 с: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18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free_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Свободное движение переменных состояния с отметками контрольных моментов t_k = 0.45 с и t_m = 1.15 с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Графики свободного движения в окрестности точек линеаризации (увеличенный масштаб 0..2 с):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18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ot_free_zoom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Затухание быстрых составляющих свободного движения в интервале 0..2 с</w:t>
      </w:r>
    </w:p>
    <w:p>
      <w:pPr>
        <w:keepNext/>
        <w:spacing w:before="20" w:after="40"/>
      </w:pPr>
      <w:r>
        <w:rPr>
          <w:rFonts w:ascii="Times New Roman" w:hAnsi="Times New Roman"/>
          <w:b/>
          <w:sz w:val="22"/>
        </w:rPr>
        <w:t>2. Проверить принадлежность модели к классу сингулярно возмущенных с представлением возмущения в неявном виде.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2.1. Разбить интервал наблюдения реализаций процессов на малые отрезки Δt₁, Δt₂, ... и линеаризовать исходную нелинейную модель на двух заданных по вариантам отрезках Δtᵢ и Δtⱼ (для Варианта № 4: t_k = 0.45 с и t_m = 1.15 с).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Схема SimInTech с блоком вычисления собственных чисел матрицы: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937760" cy="20031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6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003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Подключение системной матрицы A_k к блоку «Матричные – вычисление собственных чисел матрицы»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Отрезок 1: линеаризация в точке t_k = 0.45 с</w:t>
      </w:r>
    </w:p>
    <w:p>
      <w:pPr>
        <w:spacing w:after="40"/>
      </w:pPr>
      <w:r>
        <w:t>Значения вектора состояния в точке t_k = 0.45 с:</w:t>
        <w:br/>
        <w:t>x₁ = 0.072925; x₂ = 0.177345; x₃ = 0.125816; y₁ = -0.250266; y₂ = -0.240088;</w:t>
        <w:br/>
        <w:t>z₁ = -3.359818; z₂ = 2.046737; z₃ = 4.036054; u₁ = -0.770361; u₂ = 3.586070; u₃ = -16.350498; s = 0.995987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022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2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Системная матрица линеаризованной модели A(0.45 с) в SimInTech</w:t>
      </w:r>
    </w:p>
    <w:p>
      <w:pPr>
        <w:keepNext/>
        <w:spacing w:before="20" w:after="30"/>
      </w:pPr>
      <w:r>
        <w:rPr>
          <w:rFonts w:ascii="Times New Roman" w:hAnsi="Times New Roman"/>
          <w:b/>
          <w:sz w:val="20"/>
        </w:rPr>
        <w:t>Отрезок 2: линеаризация в точке t_m = 1.15 с</w:t>
      </w:r>
    </w:p>
    <w:p>
      <w:pPr>
        <w:spacing w:after="40"/>
      </w:pPr>
      <w:r>
        <w:t>Значения вектора состояния в точке t_m = 1.15 с:</w:t>
        <w:br/>
        <w:t>x₁ = 0.008873; x₂ = 0.015270; x₃ = 0.012036; y₁ = -0.020356; y₂ = -0.019302;</w:t>
        <w:br/>
        <w:t>z₁ = -1.757554; z₂ = 1.919415; z₃ = -1.708515; u₁ = -0.042948; u₂ = 0.148014; u₃ = -0.588729; s = 0.463286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852160" cy="26022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11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02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Системная матрица линеаризованной модели A(1.15 с) в SimInTech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2.2. Для каждой линеаризованной модели найти корни характеристического уравнения и сделать вывод о принадлежности исходной модели описания энергоблока к сингулярно возмущенным.</w:t>
      </w:r>
    </w:p>
    <w:p>
      <w:pPr>
        <w:keepNext/>
        <w:spacing w:before="60" w:after="30"/>
      </w:pPr>
      <w:r>
        <w:rPr>
          <w:rFonts w:ascii="Times New Roman" w:hAnsi="Times New Roman"/>
          <w:b/>
          <w:sz w:val="20"/>
        </w:rPr>
        <w:t>Собственные значения характеристического уравнения при t_k = 0.45 с: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92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eigs_04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t_k = 0.45 c: λ₁,₂ = -1898.17 ± 569.39 j, λ₃ = -124.34, λ₁₂ = -1.25</w:t>
      </w:r>
    </w:p>
    <w:p>
      <w:pPr>
        <w:keepNext/>
        <w:spacing w:before="20" w:after="30"/>
      </w:pPr>
      <w:r>
        <w:rPr>
          <w:rFonts w:ascii="Times New Roman" w:hAnsi="Times New Roman"/>
          <w:b/>
          <w:sz w:val="20"/>
        </w:rPr>
        <w:t>Собственные значения характеристического уравнения при t_m = 1.15 с: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92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_eigs_11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9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jc w:val="center"/>
      </w:pPr>
      <w:r>
        <w:rPr>
          <w:rFonts w:ascii="Times New Roman" w:hAnsi="Times New Roman"/>
          <w:i/>
          <w:sz w:val="19"/>
        </w:rPr>
        <w:t>t_m = 1.15 c: λ₁,₂ = -1901.12 ± 391.92 j, λ₃ = -123.99, λ₁₂ = -1.18</w:t>
      </w:r>
    </w:p>
    <w:p>
      <w:pPr>
        <w:keepNext/>
        <w:spacing w:before="80" w:after="40"/>
      </w:pPr>
      <w:r>
        <w:rPr>
          <w:rFonts w:ascii="Times New Roman" w:hAnsi="Times New Roman"/>
          <w:b/>
          <w:sz w:val="22"/>
        </w:rPr>
        <w:t>Вывод по результатам исследований:</w:t>
      </w:r>
    </w:p>
    <w:p>
      <w:r>
        <w:t>1. Проверка условия доминантности корней (формула 3.6 методических указаний):</w:t>
        <w:br/>
        <w:t xml:space="preserve">   • При t_k = 0.45 с: |Re(λ₁,₂)| / |Re(λ₃)| = 1898.17 / 124.34 = 15.26 ≥ 10;</w:t>
        <w:br/>
        <w:t xml:space="preserve">   • При t_m = 1.15 с: |Re(λ₁,₂)| / |Re(λ₃)| = 1901.12 / 123.99 = 15.33 ≥ 10.</w:t>
        <w:br/>
        <w:t>2. Условие доминантности строго выполняется на обоих заданных интервалах времени.</w:t>
        <w:br/>
        <w:t>3. Математическая модель энергоблока ТЭС принадлежит к классу сингулярно возмущенных систем с представлением возмущения в неявном виде.</w:t>
        <w:br/>
        <w:t>4. Порядок исходной модели (12) может быть понижен на 2 (до 10-го порядка) за счет пренебрежения быстрыми электромагнитными переходными процессами статора.</w:t>
      </w:r>
    </w:p>
    <w:sectPr w:rsidR="00FC693F" w:rsidRPr="0006063C" w:rsidSect="00034616">
      <w:pgSz w:w="11909" w:h="16834"/>
      <w:pgMar w:top="720" w:right="792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40"/>
    </w:pPr>
    <w:rPr>
      <w:rFonts w:ascii="Times New Roman" w:hAnsi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