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color w:val="000000"/>
          <w:sz w:val="20"/>
        </w:rPr>
        <w:t>МИНИСТЕРСТВО НАУКИ И ВЫСШЕГО ОБРАЗОВАНИЯ РОССИЙСКОЙ ФЕДЕРАЦИИ</w:t>
        <w:br/>
        <w:t>ФЕДЕРАЛЬНОЕ ГОСУДАРСТВЕННОЕ БЮДЖЕТНОЕ ОБРАЗОВАТЕЛЬНОЕ УЧРЕЖДЕНИЕ ВЫСШЕГО ОБРАЗОВАНИЯ</w:t>
        <w:br/>
        <w:t>«НАЦИОНАЛЬНЫЙ ИССЛЕДОВАТЕЛЬСКИЙ УНИВЕРСИТЕТ «МЭИ»»</w:t>
      </w:r>
    </w:p>
    <w:p>
      <w:pPr>
        <w:spacing w:after="2100"/>
        <w:jc w:val="center"/>
      </w:pPr>
      <w:r>
        <w:rPr>
          <w:rFonts w:ascii="Times New Roman" w:hAnsi="Times New Roman"/>
          <w:color w:val="000000"/>
          <w:sz w:val="22"/>
        </w:rPr>
        <w:t>Институт информационных и вычислительных технологий (ИВТИ)</w:t>
        <w:br/>
        <w:t>Кафедра управления и интеллектуальных технологий (УИТ)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000000"/>
          <w:sz w:val="34"/>
        </w:rPr>
        <w:t>ОТЧЕТ</w:t>
        <w:br/>
        <w:t>ПО ЛАБОРАТОРНОЙ РАБОТЕ № 2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26"/>
        </w:rPr>
        <w:t>по курсу «Моделирование систем управления»</w:t>
      </w:r>
    </w:p>
    <w:p>
      <w:pPr>
        <w:spacing w:after="160"/>
        <w:jc w:val="center"/>
      </w:pPr>
      <w:r>
        <w:rPr>
          <w:rFonts w:ascii="Times New Roman" w:hAnsi="Times New Roman"/>
          <w:b/>
          <w:color w:val="000000"/>
          <w:sz w:val="26"/>
        </w:rPr>
        <w:t>Тема: «Моделирование многосвязных систем и исследование</w:t>
        <w:br/>
        <w:t>устойчивости линейных систем»</w:t>
      </w:r>
    </w:p>
    <w:p>
      <w:pPr>
        <w:spacing w:after="1700"/>
        <w:jc w:val="center"/>
      </w:pPr>
      <w:r>
        <w:rPr>
          <w:rFonts w:ascii="Times New Roman" w:hAnsi="Times New Roman"/>
          <w:b/>
          <w:color w:val="000000"/>
          <w:sz w:val="26"/>
        </w:rPr>
        <w:t>Вариант № 4</w:t>
      </w:r>
    </w:p>
    <w:p>
      <w:pPr>
        <w:spacing w:after="2300"/>
        <w:jc w:val="right"/>
      </w:pPr>
      <w:r>
        <w:rPr>
          <w:rFonts w:ascii="Times New Roman" w:hAnsi="Times New Roman"/>
          <w:color w:val="000000"/>
          <w:sz w:val="24"/>
        </w:rPr>
        <w:t>Выполнили:</w:t>
        <w:br/>
        <w:t>студенты группы А-03-23</w:t>
        <w:br/>
        <w:t>Грудинин Е.К.</w:t>
        <w:br/>
        <w:t>Огарков И.А.</w:t>
        <w:br/>
        <w:br/>
        <w:t>Проверил:</w:t>
        <w:br/>
        <w:t>доцент кафедры УИТ, к.т.н.</w:t>
        <w:br/>
        <w:t>Васильев А.А.</w:t>
      </w:r>
    </w:p>
    <w:p>
      <w:pPr>
        <w:spacing w:after="0"/>
        <w:jc w:val="center"/>
      </w:pPr>
      <w:r>
        <w:rPr>
          <w:rFonts w:ascii="Times New Roman" w:hAnsi="Times New Roman"/>
          <w:color w:val="000000"/>
          <w:sz w:val="23"/>
        </w:rPr>
        <w:t>Москва, 2026 г.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0000"/>
          <w:sz w:val="28"/>
        </w:rPr>
        <w:t>1. Цель работы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Освоение практических навыков исследования многосвязных динамических систем на основе их имитационных моделей в среде SimInTech, получение математических моделей в форме Коши и канонической форме Жордана, а также исследование устойчивости замкнутых систем аналитическими и численными методами.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0000"/>
          <w:sz w:val="28"/>
        </w:rPr>
        <w:t>2. Исходные данные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Параметры многосвязной динамической системы и неминимально-фазового объекта приняты согласно Варианту № 4 (Таблицы 2.1 и 2.2 методических указаний):</w:t>
      </w:r>
    </w:p>
    <w:p>
      <w:pPr>
        <w:spacing w:line="276" w:lineRule="auto" w:after="80"/>
      </w:pPr>
      <w:r>
        <w:rPr>
          <w:rFonts w:ascii="Times New Roman" w:hAnsi="Times New Roman"/>
          <w:color w:val="000000"/>
          <w:sz w:val="24"/>
        </w:rPr>
        <w:t>Таблица 1 — Параметры звеньев многосвязной системы (Вариант 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T₁, с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T₂, с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k₁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k₂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k₃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k₄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a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b</w:t>
            </w:r>
          </w:p>
        </w:tc>
      </w:tr>
      <w:tr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0.10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0.25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3.5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0.6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1.2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3.0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5.0</w:t>
            </w:r>
          </w:p>
        </w:tc>
        <w:tc>
          <w:tcPr>
            <w:tcW w:type="dxa" w:w="117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1.8</w:t>
            </w:r>
          </w:p>
        </w:tc>
      </w:tr>
    </w:tbl>
    <w:p>
      <w:pPr>
        <w:spacing w:after="40"/>
      </w:pPr>
    </w:p>
    <w:p>
      <w:pPr>
        <w:spacing w:line="276" w:lineRule="auto" w:after="80"/>
      </w:pPr>
      <w:r>
        <w:rPr>
          <w:rFonts w:ascii="Times New Roman" w:hAnsi="Times New Roman"/>
          <w:color w:val="000000"/>
          <w:sz w:val="24"/>
        </w:rPr>
        <w:t>Таблица 2 — Параметры неминимально-фазового звена (Вариант 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Постоянная времени T₁, с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2"/>
              </w:rPr>
              <w:t>Постоянная времени T₂, с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0.16</w:t>
            </w:r>
          </w:p>
        </w:tc>
        <w:tc>
          <w:tcPr>
            <w:tcW w:type="dxa" w:w="4680"/>
            <w:vAlign w:val="center"/>
          </w:tcPr>
          <w:p>
            <w:pPr>
              <w:spacing w:after="40" w:before="40" w:line="252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2"/>
              </w:rPr>
              <w:t>2.50</w:t>
            </w:r>
          </w:p>
        </w:tc>
      </w:tr>
    </w:tbl>
    <w:p>
      <w:pPr>
        <w:keepNext/>
        <w:spacing w:before="280" w:after="120"/>
      </w:pPr>
      <w:r>
        <w:rPr>
          <w:rFonts w:ascii="Times New Roman" w:hAnsi="Times New Roman"/>
          <w:b/>
          <w:color w:val="000000"/>
          <w:sz w:val="28"/>
        </w:rPr>
        <w:t>3. Теоретический расчет и математическое описание объекта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3.1. Уравнения состояния многосвязной системы и метод уравнения замыкания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Исследуемый объект представляет собой многосвязную систему пятого порядка с двумя входами u₁, u₂ и двумя выходами y₁, y₂. Передаточные функции отдельных звеньев системы имеют вид:</w:t>
      </w:r>
    </w:p>
    <w:p>
      <w:pPr>
        <w:spacing w:before="60" w:after="80"/>
        <w:jc w:val="center"/>
      </w:pPr>
      <m:oMathPara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3.5</m:t>
              </m:r>
            </m:num>
            <m:den>
              <m:r>
                <m:t>0.1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0.6</m:t>
              </m:r>
            </m:num>
            <m:den>
              <m:r>
                <m:t>p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3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1.2 p</m:t>
              </m:r>
            </m:num>
            <m:den>
              <m:r>
                <m:t>0.25 p + 1</m:t>
              </m:r>
            </m:den>
          </m:f>
          <m:r>
            <m:t>,   </m:t>
          </m:r>
          <m:sSub>
            <m:e>
              <m:r>
                <m:t>W</m:t>
              </m:r>
            </m:e>
            <m:sub>
              <m:r>
                <m:t>4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r>
                <m:t>3.0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 + 5.0 p + 1.8</m:t>
              </m:r>
            </m:den>
          </m:f>
        </m:oMath>
      </m:oMathPara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Вывод дифференциальных уравнений по звеньям и исключение идеального дифференцирования: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Звено 1 (апериодическое): дифференциальное уравнение имеет вид 0.1 ẏ_W1 + y_W1 = 3.5 u₁. Выбирая переменную состояния x₁ = y_W1, получаем уравнение в форме Коши: ẋ₁ = -10 x₁ + 35 u₁.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Звено 2 (интегратор): выход интегратора обозначаем x₂ = y_W2. На его вход поступает сумма x₁ + u₂, откуда получаем: ẋ₂ = 0.6 x₁ + 0.6 u₂.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Звено 3 (дифференцирующее): дифференциальное уравнение 0.25 ẏ₂ + y₂ = 1.2 u̇₁ содержит производную входного сигнала u̇₁, что недопустимо при формировании переменных состояния. Применяем метод уравнения замыкания Державина–Васильева: собираем производные под общий знак дифференцирования d/dt [y₂ - 4.8 u₁] = -4 y₂. Вводя переменную состояния x₃ = y₂ - 4.8 u₁, получаем уравнение состояния без производных входа: ẋ₃ = -4 x₃ - 19.2 u₁, а выходной сигнал y₂ выражается безынерционно: y₂ = x₃ + 4.8 u₁.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Звено 4 (колебательное): дифференциальное уравнение ÿ_W4 + 5 ẏ_W4 + 1.8 y_W4 = 3 y₂ сводится к двум уравнениям первого порядка вводом переменных x₅ = y_W4 и x₄ = ẋ₅. С учетом соотношения для y₂ получаем: ẋ₄ = 3 x₃ - 5 x₄ - 1.8 x₅ + 14.4 u₁,   ẋ₅ = x₄.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Скалярная система дифференциальных уравнений состояния и уравнений выходов системы:</w:t>
      </w:r>
    </w:p>
    <w:p>
      <w:pPr>
        <w:spacing w:before="60" w:after="8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-10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+ 35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0.6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+ 0.6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acc>
                  <m:r>
                    <m:t> = -4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- 19.2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e>
                  </m:acc>
                  <m:r>
                    <m:t> = 3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- 5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t> - 1.8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t> + 14.4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e>
                  </m:acc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eqArr>
            </m:e>
          </m:d>
          <m:r>
            <m:t>       </m:t>
          </m:r>
          <m:d>
            <m:dPr>
              <m:begChr m:val="{"/>
              <m:endChr m:val=""/>
            </m:dPr>
            <m:e>
              <m:eqAr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5</m:t>
                      </m:r>
                    </m:sub>
                  </m:sSub>
                </m:e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= 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 + 4.8 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eqArr>
            </m:e>
          </m:d>
        </m:oMath>
      </m:oMathPara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3.2. Матричная форма уравнений состояния многосвязной системы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Записываем систему в матричной форме Коши ẋ(t) = A x(t) + B u(t),  y(t) = C x(t) + D u(t), где x ∈ ℝ⁵, u ∈ ℝ², y ∈ ℝ²:</w:t>
      </w:r>
    </w:p>
    <w:p>
      <w:pPr>
        <w:spacing w:before="60" w:after="80"/>
        <w:jc w:val="center"/>
      </w:pPr>
      <m:oMathPara>
        <m:oMath>
          <m:r>
            <m:rPr>
              <m:b/>
            </m:rPr>
            <m:t>A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0.6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-4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-5</m:t>
                    </m:r>
                  </m:e>
                  <m:e>
                    <m:r>
                      <m:t>-1.8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    </m:t>
          </m:r>
          <m:r>
            <m:rPr>
              <m:b/>
            </m:rPr>
            <m:t>B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35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-19.2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14.4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spacing w:before="60" w:after="80"/>
        <w:jc w:val="center"/>
      </w:pPr>
      <m:oMathPara>
        <m:oMath>
          <m:r>
            <m:rPr>
              <m:b/>
            </m:rPr>
            <m:t>C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,          </m:t>
          </m:r>
          <m:r>
            <m:rPr>
              <m:b/>
            </m:rPr>
            <m:t>D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4.8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3.3. Каноническая форма Жордана для неминимально-фазового объекта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Передаточная функция исследуемого неминимально-фазового звена при постоянных времени T₁ = 0.16 с, T₂ = 2.50 с имеет вид:</w:t>
      </w:r>
    </w:p>
    <w:p>
      <w:pPr>
        <w:spacing w:before="60" w:after="80"/>
        <w:jc w:val="center"/>
      </w:pPr>
      <m:oMathPara>
        <m:oMath>
          <m:sSub>
            <m:e>
              <m:r>
                <m:t>W</m:t>
              </m:r>
            </m:e>
            <m:sub>
              <m:r>
                <m:t>раз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+ 0.5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1 - 0.16 p</m:t>
                  </m:r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m:t>1 + 0.08 p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m:t>1 + 2.5 p</m:t>
                  </m:r>
                </m:e>
              </m:d>
            </m:den>
          </m:f>
        </m:oMath>
      </m:oMathPara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Полюса системы соответствуют корням знаменателя: λ₁ = -1/0.08 = -12.5 с⁻¹, λ₂ = -1/2.5 = -0.4 с⁻¹. Разложение передаточной функции на сумму простых дробей выполняется методом вычетов Хевисайда:</w:t>
      </w:r>
    </w:p>
    <w:p>
      <w:pPr>
        <w:spacing w:before="60" w:after="80"/>
        <w:jc w:val="center"/>
      </w:pPr>
      <m:oMathPara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(-12.5) + 5</m:t>
                  </m:r>
                </m:e>
              </m:d>
            </m:num>
            <m:den>
              <m:r>
                <m:t>-12.5 + 0.4</m:t>
              </m:r>
            </m:den>
          </m:f>
          <m:r>
            <m:t> = -</m:t>
          </m:r>
          <m:f>
            <m:num>
              <m:r>
                <m:t>150</m:t>
              </m:r>
            </m:num>
            <m:den>
              <m:r>
                <m:t>121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-1.23967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,     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-0.8 · (-0.4) + 5</m:t>
                  </m:r>
                </m:e>
              </m:d>
            </m:num>
            <m:den>
              <m:r>
                <m:t>-0.4 + 12.5</m:t>
              </m:r>
            </m:den>
          </m:f>
          <m:r>
            <m:t> = </m:t>
          </m:r>
          <m:f>
            <m:num>
              <m:r>
                <m:t>266</m:t>
              </m:r>
            </m:num>
            <m:den>
              <m:r>
                <m:t>605</m:t>
              </m:r>
            </m:den>
          </m:f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≈ 0.43967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Проверка сходимости разложения:</w:t>
      </w:r>
    </w:p>
    <w:p>
      <w:pPr>
        <w:spacing w:before="60" w:after="80"/>
        <w:jc w:val="center"/>
      </w:pPr>
      <m:oMathPara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 = -0.8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,       -</m:t>
          </m:r>
          <m:f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 - </m:t>
          </m:r>
          <m:f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 = 1.0 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t> = W(0)</m:t>
          </m:r>
        </m:oMath>
      </m:oMathPara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Канонические уравнения состояния в форме Жордана и матрицы канонического представления:</w:t>
      </w:r>
    </w:p>
    <w:p>
      <w:pPr>
        <w:spacing w:before="60" w:after="80"/>
        <w:jc w:val="center"/>
      </w:pPr>
      <m:oMathPara>
        <m:oMath>
          <m:d>
            <m:dPr>
              <m:begChr m:val="{"/>
              <m:endChr m:val=""/>
            </m:dPr>
            <m:e>
              <m:eqArr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  <m:r>
                    <m:t> = -12.5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 - 1.23967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  <m:e>
                  <m:acc>
                    <m:accPr>
                      <m:chr m:val="˙"/>
                    </m:acc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  <m:r>
                    <m:t> = -0.4 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 + 0.43967 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t> u</m:t>
                  </m:r>
                </m:e>
              </m:eqArr>
            </m:e>
          </m:d>
          <m:r>
            <m:t>       y = </m:t>
          </m:r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t> + </m:t>
          </m:r>
          <m:sSub>
            <m:e>
              <m:r>
                <m:t>z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60" w:after="80"/>
        <w:jc w:val="center"/>
      </w:pPr>
      <m:oMathPara>
        <m:oMath>
          <m:r>
            <m:rPr>
              <m:b/>
            </m:rPr>
            <m:t>Λ</m:t>
          </m:r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-12.5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-0.4</m:t>
                    </m:r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B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-1.23967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t>0.43967 · 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t>,   </m:t>
          </m:r>
          <m:sSub>
            <m:e>
              <m:r>
                <m:rPr>
                  <m:b/>
                </m:rPr>
                <m:t>C</m:t>
              </m:r>
            </m:e>
            <m:sub>
              <m:r>
                <m:t>кан</m:t>
              </m:r>
            </m:sub>
          </m:sSub>
          <m:r>
            <m:t> = 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1.0</m:t>
                    </m:r>
                  </m:e>
                  <m:e>
                    <m:r>
                      <m:t>1.0</m:t>
                    </m:r>
                  </m:e>
                </m:mr>
              </m:m>
            </m:e>
          </m:d>
          <m:r>
            <m:t>,   D = 0</m:t>
          </m:r>
        </m:oMath>
      </m:oMathPara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3.4. Определение предельного коэффициента усиления k_пред по критерию Гурвица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Передаточная функция замкнутой системы с единичной отрицательной обратной связью:</w:t>
      </w:r>
    </w:p>
    <w:p>
      <w:pPr>
        <w:spacing w:before="60" w:after="80"/>
        <w:jc w:val="center"/>
      </w:pPr>
      <m:oMathPara>
        <m:oMath>
          <m:sSub>
            <m:e>
              <m:r>
                <m:t>W</m:t>
              </m:r>
            </m:e>
            <m:sub>
              <m:r>
                <m:t>зам</m:t>
              </m:r>
            </m:sub>
          </m:sSub>
          <m:d>
            <m:dPr>
              <m:begChr m:val="("/>
              <m:endChr m:val=")"/>
            </m:dPr>
            <m:e>
              <m:r>
                <m:t>p</m:t>
              </m:r>
            </m:e>
          </m:d>
          <m:r>
            <m:t> = </m:t>
          </m:r>
          <m:f>
            <m:num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num>
            <m:den>
              <m:r>
                <m:t>1 + </m:t>
              </m:r>
              <m:sSub>
                <m:e>
                  <m:r>
                    <m:t>W</m:t>
                  </m:r>
                </m:e>
                <m:sub>
                  <m:r>
                    <m:t>раз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p</m:t>
                  </m:r>
                </m:e>
              </m:d>
            </m:den>
          </m:f>
          <m:r>
            <m:t> = </m:t>
          </m:r>
          <m:f>
            <m:num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>1 - 0.16 p</m:t>
                  </m:r>
                </m:e>
              </m:d>
            </m:num>
            <m:den>
              <m:r>
                <m:t>0.2 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 + (2.58 - 0.16 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r>
                <m:t>) p + (1 + </m:t>
              </m:r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r>
                <m:t>)</m:t>
              </m:r>
            </m:den>
          </m:f>
        </m:oMath>
      </m:oMathPara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По критерию Стодолы–Гурвица для характеристического полинома 2-го порядка условие границы устойчивости заключается в равенстве нулю коэффициента при первой степени p:</w:t>
      </w:r>
    </w:p>
    <w:p>
      <w:pPr>
        <w:spacing w:before="60" w:after="80"/>
        <w:jc w:val="center"/>
      </w:pPr>
      <m:oMathPara>
        <m:oMath>
          <m:r>
            <m:t>2.58 - 0.16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0   ⇒   </m:t>
          </m:r>
          <m:sSub>
            <m:e>
              <m:r>
                <m:t>k</m:t>
              </m:r>
            </m:e>
            <m:sub>
              <m:r>
                <m:t>пред</m:t>
              </m:r>
            </m:sub>
          </m:sSub>
          <m:r>
            <m:t> = </m:t>
          </m:r>
          <m:f>
            <m:num>
              <m:r>
                <m:t>2.58</m:t>
              </m:r>
            </m:num>
            <m:den>
              <m:r>
                <m:t>0.16</m:t>
              </m:r>
            </m:den>
          </m:f>
          <m:r>
            <m:t> = 16.125</m:t>
          </m:r>
        </m:oMath>
      </m:oMathPara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Параметры незатухающих гармонических автоколебаний замкнутой системы на границе устойчивости (k_p = 16.125):</w:t>
      </w:r>
    </w:p>
    <w:p>
      <w:pPr>
        <w:spacing w:before="60" w:after="80"/>
        <w:jc w:val="center"/>
      </w:pPr>
      <m:oMathPara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t> = </m:t>
          </m:r>
          <m:rad>
            <m:radPr>
              <m:degHide/>
            </m:radPr>
            <m:deg/>
            <m:e>
              <m:f>
                <m:num>
                  <m:r>
                    <m:t>17.125</m:t>
                  </m:r>
                </m:num>
                <m:den>
                  <m:r>
                    <m:t>0.2</m:t>
                  </m:r>
                </m:den>
              </m:f>
            </m:e>
          </m:rad>
          <m:r>
            <m:t> ≈ 9.2534 рад/с,     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 = </m:t>
          </m:r>
          <m:f>
            <m:num>
              <m:r>
                <m:t>2π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 ≈ 0.6789 с</m:t>
          </m:r>
        </m:oMath>
      </m:oMathPara>
    </w:p>
    <w:p>
      <w:pPr>
        <w:keepNext/>
        <w:spacing w:before="280" w:after="120"/>
      </w:pPr>
      <w:r>
        <w:rPr>
          <w:rFonts w:ascii="Times New Roman" w:hAnsi="Times New Roman"/>
          <w:b/>
          <w:color w:val="000000"/>
          <w:sz w:val="28"/>
        </w:rPr>
        <w:t>4. Экспериментальные исследования в среде SimInTech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4.1. Моделирование многосвязной системы на базе передаточных функций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На основе полученных аналитических соотношений в среде SimInTech была собрана имитационная модель многосвязной системы с использованием стандартных динамических блоков «передаточная функция» (Рис. 1).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766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66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1. Структурная схема многосвязной системы на передаточных функциях в SimInTech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На вход системы подавалось единичное ступенчатое воздействие. Результаты моделирования переходных процессов по обоим выходам представлены на Рис. 2 и Рис. 3.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3493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93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2. Переходная характеристика многосвязной системы по выходу y₁(t)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0480" cy="35621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562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3. Переходная характеристика многосвязной системы по выходу y₂(t)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Анализ полученных кривых показывает, что выход y₁(t) демонстрирует затухающий колебательный характер с выходом на установившееся значение, обусловленный наличием колебательного звена W₄(p). По выходу y₂(t) наблюдается безынерционный скачок величиной 4.8 за счет действия дифференцирующего звена W₃(p) с последующим экспоненциальным спадом до нуля.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4.2. Моделирование многосвязной системы в пространстве состояний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Для верификации аналитически полученных уравнений в нормальной форме Коши была реализована модель с использованием блока «переменные состояния», в который были занесены матрицы A, B, C, D (Рис. 4).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964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64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4. Модель многосвязной системы на базе блока переменных состояния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Для проверки адекватности было выполнено совместное моделирование обеих схем. Графики переходных процессов выходов модели на передаточных функциях и модели в пространстве состояний приведены на Рис. 5 и Рис. 6.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80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80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5. Сопоставление выходов y₁(t) и y₂(t) для двух форм реализации модели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6745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7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6. Результаты совместного моделирования моделей на ПФ и в переменных состояния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Сравнение переходных характеристик показывает их абсолютную идентичность во всех точках времени: расхождение между графиками составляет 0, что экспериментально подтверждает правильность вывода уравнений замыкания и матричной формы Коши.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4.3. Исследование канонической модели неминимально-фазового объекта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В соответствии с п. 3 программы исследований в SimInTech была собрана схема, сравнивающая неминимально-фазовое звено в виде передаточной функции и в канонической форме Жордана с матрицей Λ (Рис. 7).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7760" cy="15495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549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7. Схема параллельного моделирования неминимально-фазового звена в двух формах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Переходные характеристики объекта приведены на Рис. 8.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2614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14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8. Переходные характеристики неминимально-фазового звена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На графике четко зафиксирован начальный отрицательный провал выходной величины («подныривание» в диапазоне времени 0...0.2 с). Это свойство вызвано наличием положительного нуля в числителе передаточной функции (z₁ = +6.25 с⁻¹), что характерно для неминимально-фазовых систем. Выходы схемы на ПФ и схемы в канонической форме Жордана полностью совпали.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4.4. Исследование устойчивости замкнутой системы при различных коэффициентах усиления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Для исследования устойчивости замкнутой системы была реализована схема с единичной отрицательной обратной связью (Рис. 9). Коэффициент усиления разомкнутого контура K варьировался в окрестности критического значения k_пред = 16.125.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4880" cy="19668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66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9. Структурная схема замкнутой системы с единичной отрицательной обратной связью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При критическом значении коэффициента усиления K = 16.125 в системе установились незатухающие синусоидальные автоколебания постоянной амплитуды (Рис. 10).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2743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10. Гармонические автоколебания на границе устойчивости при K = 16.125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Измеренный по графику период автоколебаний составил T_эксп ≈ 0.68 с (частота ω_эксп ≈ 9.24 рад/с), что с высокой точностью совпадает с аналитическим расчетом по критерию Гурвица (T₀ = 0.679 с, ω₀ = 9.253 рад/с).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Далее было проведено моделирование при отклонении коэффициента усиления в обе стороны от границы устойчивости (Рис. 11):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При K = 14 &lt; k_пред: колебательный процесс затухает во времени, замкнутая система асимптотически устойчива.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При K = 18 &gt; k_пред: амплитуда колебаний экспоненциально нарастает, замкнутая система неустойчива.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89120" cy="27939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79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11. Сравнение переходных процессов замкнутой системы: устойчивый (K = 14) и неустойчивый (K = 18)</w:t>
      </w:r>
    </w:p>
    <w:p>
      <w:pPr>
        <w:keepNext/>
        <w:spacing w:before="200" w:after="80"/>
      </w:pPr>
      <w:r>
        <w:rPr>
          <w:rFonts w:ascii="Times New Roman" w:hAnsi="Times New Roman"/>
          <w:b/>
          <w:color w:val="000000"/>
          <w:sz w:val="26"/>
        </w:rPr>
        <w:t>4.5. Анализ частотных характеристик по критерию Найквиста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С использованием блока построения частотных характеристик был получен годограф Найквиста (АФХ) разомкнутой системы (Рис. 12, Рис. 13).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63285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63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12. Схема формирования частотных характеристик в SimInTech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343476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434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Times New Roman" w:hAnsi="Times New Roman"/>
          <w:i/>
          <w:color w:val="000000"/>
          <w:sz w:val="21"/>
        </w:rPr>
        <w:t>Рис. 13. Годограф Найквиста исследуемой системы</w:t>
      </w:r>
    </w:p>
    <w:p>
      <w:pPr>
        <w:spacing w:line="276" w:lineRule="auto" w:after="80"/>
        <w:ind w:firstLine="706"/>
      </w:pPr>
      <w:r>
        <w:rPr>
          <w:rFonts w:ascii="Times New Roman" w:hAnsi="Times New Roman"/>
          <w:color w:val="000000"/>
          <w:sz w:val="24"/>
        </w:rPr>
        <w:t>Анализ по критерию устойчивости Найквиста подтверждает результаты аналитического расчета: при K = 16.125 годограф АФХ проходит в точности через критическую точку (-1, j0). При K &lt; 16.125 годограф пересекает отрицательную вещественную ось правее точки (-1, j0), обеспечивая запас устойчивости по амплитуде. При K &gt; 16.125 критическая точка охватывается годографом, что соответствует неустойчивости.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000000"/>
          <w:sz w:val="28"/>
        </w:rPr>
        <w:t>5. Выводы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1. В среде имитационного моделирования SimInTech успешно разработаны и исследованы модели многосвязной динамической системы пятого порядка в виде соединенных передаточных функций и в пространстве состояний.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2. Метод уравнения замыкания Державина–Васильева позволил корректно исключить операцию дифференцирования входного сигнала u₁ в звене W₃(p), сформировав безынерционный коэффициент прямой передачи D₂₁ = 4.8.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3. Экспериментально подтверждена полная эквивалентность описания системы в форме Коши и схемы на передаточных функциях: выходы обеих моделей совпадают во всем временном диапазоне с машинной точностью (погрешность 0%).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4. Разложение неминимально-фазового звена на простые дроби методом Хевисайда позволило построить каноническую модель Жордана с диагональной матрицей состояния Λ. Зафиксирован начальный отрицательный провал переходной характеристики, обусловленный правым нулем передаточной функции.</w:t>
      </w:r>
    </w:p>
    <w:p>
      <w:pPr>
        <w:pStyle w:val="ListBullet"/>
        <w:spacing w:line="276" w:lineRule="auto" w:after="60"/>
        <w:ind w:left="706"/>
      </w:pPr>
      <w:r>
        <w:rPr>
          <w:rFonts w:ascii="Times New Roman" w:hAnsi="Times New Roman"/>
          <w:color w:val="000000"/>
          <w:sz w:val="24"/>
        </w:rPr>
        <w:t>5. Численным экспериментом строго верифицирован аналитический расчет предельного коэффициента усиления по критерию Гурвица (k_пред = 16.125): при K = 14 система устойчива, при K = 16.125 наблюдаются незатухающие гармонические колебания с расчетным периодом T₀ ≈ 0.68 с, а при K = 18 система теряет устойчивость. Результаты также подтверждены частотным критерием Найквиста.</w:t>
      </w:r>
    </w:p>
    <w:sectPr w:rsidR="00FC693F" w:rsidRPr="0006063C" w:rsidSect="00034616">
      <w:pgSz w:w="11909" w:h="16834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