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0"/>
        <w:jc w:val="center"/>
      </w:pPr>
      <w:r>
        <w:rPr>
          <w:b/>
          <w:color w:val="1F4E79"/>
          <w:sz w:val="32"/>
        </w:rPr>
        <w:t>Подготовка к защите лабораторной работы № 2</w:t>
      </w:r>
    </w:p>
    <w:p>
      <w:pPr>
        <w:spacing w:before="0" w:after="200"/>
        <w:jc w:val="center"/>
      </w:pPr>
      <w:r>
        <w:rPr>
          <w:i/>
          <w:color w:val="555555"/>
          <w:sz w:val="20"/>
        </w:rPr>
        <w:t>Моделирование многосвязных систем и исследование устойчивости линейных систем</w:t>
        <w:br/>
        <w:t>(памятка для быстрого повторения теории и ответов на вопросы)</w:t>
      </w:r>
    </w:p>
    <w:p>
      <w:pPr>
        <w:keepNext/>
        <w:spacing w:before="280" w:after="80"/>
      </w:pPr>
      <w:r>
        <w:rPr>
          <w:b/>
          <w:color w:val="1F4E79"/>
          <w:sz w:val="26"/>
        </w:rPr>
        <w:t>1. Ответы на контрольные вопросы к защите ЛР2</w:t>
      </w:r>
    </w:p>
    <w:p>
      <w:pPr>
        <w:keepNext/>
        <w:spacing w:before="200" w:after="40"/>
      </w:pPr>
      <w:r>
        <w:rPr>
          <w:b/>
          <w:color w:val="2E75B6"/>
          <w:sz w:val="23"/>
        </w:rPr>
        <w:t>Вопрос 1. Аналоговая структурная модель неминимально-фазового звена 1-го порядка</w:t>
      </w:r>
    </w:p>
    <w:p>
      <w:pPr>
        <w:spacing w:before="0" w:after="80" w:line="276" w:lineRule="auto"/>
        <w:ind w:left="288"/>
      </w:pPr>
      <w:r>
        <w:rPr>
          <w:b/>
          <w:color w:val="1F4E79"/>
        </w:rPr>
        <w:t xml:space="preserve">• </w:t>
      </w:r>
      <w:r>
        <w:rPr>
          <w:color w:val="222222"/>
        </w:rPr>
        <w:t>Передаточная функция исследуемого звена:</w:t>
      </w:r>
    </w:p>
    <w:p>
      <w:pPr>
        <w:spacing w:before="60" w:after="80"/>
        <w:jc w:val="center"/>
      </w:pPr>
      <m:oMathPara>
        <m:oMath xmlns:mml="http://www.w3.org/1998/Math/MathML">
          <m:r>
            <m:t>W(s)=</m:t>
          </m:r>
          <m:f>
            <m:fPr>
              <m:type m:val="bar"/>
            </m:fPr>
            <m:num>
              <m:r>
                <m:t>1−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t>s</m:t>
              </m:r>
            </m:num>
            <m:den>
              <m:r>
                <m:t>1+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t>s</m:t>
              </m:r>
            </m:den>
          </m:f>
        </m:oMath>
      </m:oMathPara>
    </w:p>
    <w:p>
      <w:pPr>
        <w:spacing w:before="0" w:after="80" w:line="276" w:lineRule="auto"/>
        <w:ind w:left="288"/>
      </w:pPr>
      <w:r>
        <w:rPr>
          <w:b/>
          <w:color w:val="1F4E79"/>
        </w:rPr>
        <w:t xml:space="preserve">• </w:t>
      </w:r>
      <w:r>
        <w:rPr>
          <w:color w:val="222222"/>
        </w:rPr>
        <w:t>Соответствующее дифференциальное уравнение во временной области:</w:t>
      </w:r>
    </w:p>
    <w:p>
      <w:pPr>
        <w:spacing w:before="60" w:after="80"/>
        <w:jc w:val="center"/>
      </w:pPr>
      <m:oMathPara>
        <m:oMath xmlns:mml="http://www.w3.org/1998/Math/MathML">
          <m:sSub>
            <m:e>
              <m:r>
                <m:t>T</m:t>
              </m:r>
            </m:e>
            <m:sub>
              <m:r>
                <m:t>2</m:t>
              </m:r>
            </m:sub>
          </m:sSub>
          <m:limUpp>
            <m:e>
              <m:r>
                <m:t>y</m:t>
              </m:r>
            </m:e>
            <m:lim>
              <m:r>
                <m:t>˙</m:t>
              </m:r>
            </m:lim>
          </m:limUpp>
          <m:r>
            <m:t>+y=u−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limUpp>
            <m:e>
              <m:r>
                <m:t>u</m:t>
              </m:r>
            </m:e>
            <m:lim>
              <m:r>
                <m:t>˙</m:t>
              </m:r>
            </m:lim>
          </m:limUpp>
        </m:oMath>
      </m:oMathPara>
    </w:p>
    <w:p>
      <w:pPr>
        <w:spacing w:before="0" w:after="80" w:line="276" w:lineRule="auto"/>
      </w:pPr>
      <w:r>
        <w:rPr>
          <w:color w:val="222222"/>
        </w:rPr>
        <w:t>В правой части присутствует производная входного воздействия u. Идеальное дифференцирование в аналоговых структурных схемах физически не реализуется из-за высокого уровня высокочастотных шумов. Для устранения производной входа применяется метод уравнения замыкания. Собираем старшие производные под один общий дифференциальный оператор:</w:t>
      </w:r>
    </w:p>
    <w:p>
      <w:pPr>
        <w:spacing w:before="60" w:after="80"/>
        <w:jc w:val="center"/>
      </w:pPr>
      <m:oMathPara>
        <m:oMath xmlns:mml="http://www.w3.org/1998/Math/MathML">
          <m:f>
            <m:fPr>
              <m:type m:val="bar"/>
            </m:fPr>
            <m:num>
              <m:r>
                <m:t>d</m:t>
              </m:r>
            </m:num>
            <m:den>
              <m:r>
                <m:t>dt</m:t>
              </m:r>
            </m:den>
          </m:f>
          <m:r>
            <m:t>(y+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u)</m:t>
          </m:r>
          <m: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u−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y</m:t>
          </m:r>
        </m:oMath>
      </m:oMathPara>
    </w:p>
    <w:p>
      <w:pPr>
        <w:spacing w:before="0" w:after="80" w:line="276" w:lineRule="auto"/>
      </w:pPr>
      <w:r>
        <w:rPr>
          <w:color w:val="222222"/>
        </w:rPr>
        <w:t>Вводим переменную состояния x, равную выражению под производной:</w:t>
      </w:r>
    </w:p>
    <w:p>
      <w:pPr>
        <w:spacing w:before="60" w:after="80"/>
        <w:jc w:val="center"/>
      </w:pPr>
      <m:oMathPara>
        <m:oMath xmlns:mml="http://www.w3.org/1998/Math/MathML">
          <m:r>
            <m:t>x=y+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u⟹y=x−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u</m:t>
          </m:r>
        </m:oMath>
      </m:oMathPara>
    </w:p>
    <w:p>
      <w:pPr>
        <w:spacing w:before="0" w:after="80" w:line="276" w:lineRule="auto"/>
      </w:pPr>
      <w:r>
        <w:rPr>
          <w:color w:val="222222"/>
        </w:rPr>
        <w:t>Подставляя y в уравнение производной, получаем канонические уравнения Коши:</w:t>
      </w:r>
    </w:p>
    <w:p>
      <w:pPr>
        <w:spacing w:before="60" w:after="80"/>
        <w:jc w:val="center"/>
      </w:pPr>
      <m:oMathPara>
        <m:oMath xmlns:mml="http://www.w3.org/1998/Math/MathML">
          <m:limUpp>
            <m:e>
              <m:r>
                <m:t>x</m:t>
              </m:r>
            </m:e>
            <m:lim>
              <m:r>
                <m:t>˙</m:t>
              </m:r>
            </m:lim>
          </m:limUpp>
          <m:r>
            <m:t>=−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x+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t>+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Sup>
                <m:e>
                  <m:r>
                    <m:t>T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t>u</m:t>
          </m:r>
        </m:oMath>
      </m:oMathPara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tcBorders>
              <w:top w:val="none"/>
              <w:left w:val="single" w:sz="36" w:space="0" w:color="1F4E79"/>
              <w:bottom w:val="none"/>
              <w:right w:val="none"/>
            </w:tcBorders>
            <w:shd w:fill="F2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 w:line="276" w:lineRule="auto"/>
            </w:pPr>
            <w:r>
              <w:rPr>
                <w:b/>
                <w:color w:val="1F4E79"/>
              </w:rPr>
              <w:t xml:space="preserve">Структура схемы: </w:t>
            </w:r>
            <w:r>
              <w:rPr>
                <w:color w:val="222222"/>
              </w:rPr>
              <w:t>Аналоговая схема строится из одного интегратора с обратной связью -1/T2, входного сумматора с весом (T1 + T2)/T2^2 и прямого безынерционного масштабирующего звена с коэффициентом передачи D = -T1/T2.</w:t>
            </w:r>
          </w:p>
        </w:tc>
      </w:tr>
    </w:tbl>
    <w:p>
      <w:pPr>
        <w:spacing w:before="0" w:after="60"/>
      </w:pPr>
    </w:p>
    <w:p>
      <w:pPr>
        <w:keepNext/>
        <w:spacing w:before="200" w:after="40"/>
      </w:pPr>
      <w:r>
        <w:rPr>
          <w:b/>
          <w:color w:val="2E75B6"/>
          <w:sz w:val="23"/>
        </w:rPr>
        <w:t>Вопрос 2. Комплексная частотная характеристика, АЧХ и ФЧХ динамического звена</w:t>
      </w:r>
    </w:p>
    <w:p>
      <w:pPr>
        <w:spacing w:before="0" w:after="80" w:line="276" w:lineRule="auto"/>
      </w:pPr>
      <w:r>
        <w:rPr>
          <w:color w:val="222222"/>
        </w:rPr>
        <w:t>При подаче на вход линейного стационарного звена гармонического сигнала u(t) = Um*sin(ωt) на выходе в установившемся режиме устанавливаются колебания той же частоты с измененной амплитудой Ym и сдвигом по фазе φ:</w:t>
      </w:r>
    </w:p>
    <w:p>
      <w:pPr>
        <w:spacing w:before="60" w:after="80"/>
        <w:jc w:val="center"/>
      </w:pPr>
      <m:oMathPara>
        <m:oMath xmlns:mml="http://www.w3.org/1998/Math/MathML">
          <m:r>
            <m:t>u(t)=</m:t>
          </m:r>
          <m:sSub>
            <m:e>
              <m:r>
                <m:t>U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sin</m:t>
          </m:r>
          <m:r>
            <m:t>(ωt),</m:t>
          </m:r>
          <m:r>
            <m:t>y(t)=</m:t>
          </m:r>
          <m:sSub>
            <m:e>
              <m:r>
                <m:t>Y</m:t>
              </m:r>
            </m:e>
            <m:sub>
              <m:r>
                <m:t>m</m:t>
              </m:r>
            </m:sub>
          </m:sSub>
          <m:r>
            <m:t>(ω)</m:t>
          </m:r>
          <m:r>
            <m:rPr>
              <m:sty m:val="p"/>
            </m:rPr>
            <m:t>sin</m:t>
          </m:r>
          <m:r>
            <m:t>(ωt+φ(ω))</m:t>
          </m:r>
        </m:oMath>
      </m:oMathPara>
    </w:p>
    <w:p>
      <w:pPr>
        <w:spacing w:before="0" w:after="80" w:line="276" w:lineRule="auto"/>
      </w:pPr>
      <w:r>
        <w:rPr>
          <w:color w:val="222222"/>
        </w:rPr>
        <w:t>Комплексная частотная характеристика (КЧХ) получается подстановкой s = jω в передаточную функцию W(s):</w:t>
      </w:r>
    </w:p>
    <w:p>
      <w:pPr>
        <w:spacing w:before="60" w:after="80"/>
        <w:jc w:val="center"/>
      </w:pPr>
      <m:oMathPara>
        <m:oMath xmlns:mml="http://www.w3.org/1998/Math/MathML">
          <m:r>
            <m:t>W(jω)=P(ω)+jQ(ω)=A(ω)</m:t>
          </m:r>
          <m:sSup>
            <m:e>
              <m:r>
                <m:t>e</m:t>
              </m:r>
            </m:e>
            <m:sup>
              <m:r>
                <m:t>jφ(ω)</m:t>
              </m:r>
            </m:sup>
          </m:sSup>
        </m:oMath>
      </m:oMathPara>
    </w:p>
    <w:p>
      <w:pPr>
        <w:spacing w:before="0" w:after="80" w:line="276" w:lineRule="auto"/>
        <w:ind w:left="288"/>
      </w:pPr>
      <w:r>
        <w:rPr>
          <w:b/>
          <w:color w:val="1F4E79"/>
        </w:rPr>
        <w:t xml:space="preserve">• </w:t>
      </w:r>
      <w:r>
        <w:rPr>
          <w:color w:val="222222"/>
        </w:rPr>
        <w:t>Амплитудно-частотная характеристика (АЧХ) равна модулю КЧХ и показывает отношение амплитуды выхода к амплитуде входа:</w:t>
      </w:r>
    </w:p>
    <w:p>
      <w:pPr>
        <w:spacing w:before="60" w:after="80"/>
        <w:jc w:val="center"/>
      </w:pPr>
      <m:oMathPara>
        <m:oMath xmlns:mml="http://www.w3.org/1998/Math/MathML">
          <m:r>
            <m:t>A(ω)=|W(jω)|=</m:t>
          </m:r>
          <m:rad>
            <m:radPr>
              <m:degHide m:val="on"/>
            </m:radPr>
            <m:deg/>
            <m:e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(ω)+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(ω)</m:t>
              </m:r>
            </m:e>
          </m:rad>
          <m:r>
            <m:t>=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m</m:t>
                  </m:r>
                </m:sub>
              </m:sSub>
              <m:r>
                <m:t>(ω)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m</m:t>
                  </m:r>
                </m:sub>
              </m:sSub>
            </m:den>
          </m:f>
        </m:oMath>
      </m:oMathPara>
    </w:p>
    <w:p>
      <w:pPr>
        <w:spacing w:before="0" w:after="80" w:line="276" w:lineRule="auto"/>
        <w:ind w:left="288"/>
      </w:pPr>
      <w:r>
        <w:rPr>
          <w:b/>
          <w:color w:val="1F4E79"/>
        </w:rPr>
        <w:t xml:space="preserve">• </w:t>
      </w:r>
      <w:r>
        <w:rPr>
          <w:color w:val="222222"/>
        </w:rPr>
        <w:t>Фазо-частотная характеристика (ФЧХ) равна аргументу КЧХ и определяет фазовый сдвиг:</w:t>
      </w:r>
    </w:p>
    <w:p>
      <w:pPr>
        <w:spacing w:before="60" w:after="80"/>
        <w:jc w:val="center"/>
      </w:pPr>
      <m:oMathPara>
        <m:oMath xmlns:mml="http://www.w3.org/1998/Math/MathML">
          <m:r>
            <m:t>φ(ω)=</m:t>
          </m:r>
          <m:r>
            <m:rPr>
              <m:sty m:val="p"/>
            </m:rPr>
            <m:t>\arg</m:t>
          </m:r>
          <m:r>
            <m:t>W(jω)=</m:t>
          </m:r>
          <m:r>
            <m:rPr>
              <m:sty m:val="p"/>
            </m:rPr>
            <m:t>arctan</m:t>
          </m:r>
          <m:r>
            <m:t>(</m:t>
          </m:r>
          <m:f>
            <m:fPr>
              <m:type m:val="bar"/>
            </m:fPr>
            <m:num>
              <m:r>
                <m:t>Q(ω)</m:t>
              </m:r>
            </m:num>
            <m:den>
              <m:r>
                <m:t>P(ω)</m:t>
              </m:r>
            </m:den>
          </m:f>
          <m:r>
            <m:t>)</m:t>
          </m:r>
        </m:oMath>
      </m:oMathPara>
    </w:p>
    <w:p>
      <w:pPr>
        <w:keepNext/>
        <w:spacing w:before="200" w:after="40"/>
      </w:pPr>
      <w:r>
        <w:rPr>
          <w:b/>
          <w:color w:val="2E75B6"/>
          <w:sz w:val="23"/>
        </w:rPr>
        <w:t>Вопрос 3. АЧХ, ЛАЧХ и ФЧХ неминимально-фазового звена 1-го порядка</w:t>
      </w:r>
    </w:p>
    <w:p>
      <w:pPr>
        <w:spacing w:before="0" w:after="80" w:line="276" w:lineRule="auto"/>
      </w:pPr>
      <w:r>
        <w:rPr>
          <w:color w:val="222222"/>
        </w:rPr>
        <w:t>Для передаточной функции W(s) = (1 - T1*s)/(1 + T2*s) подставляем s = jω:</w:t>
      </w:r>
    </w:p>
    <w:p>
      <w:pPr>
        <w:spacing w:before="60" w:after="80"/>
        <w:jc w:val="center"/>
      </w:pPr>
      <m:oMathPara>
        <m:oMath xmlns:mml="http://www.w3.org/1998/Math/MathML">
          <m:r>
            <m:t>W(jω)=</m:t>
          </m:r>
          <m:f>
            <m:fPr>
              <m:type m:val="bar"/>
            </m:fPr>
            <m:num>
              <m:r>
                <m:t>1−jω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1+jω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spacing w:before="0" w:after="80" w:line="276" w:lineRule="auto"/>
        <w:ind w:left="288"/>
      </w:pPr>
      <w:r>
        <w:rPr>
          <w:b/>
          <w:color w:val="1F4E79"/>
        </w:rPr>
        <w:t xml:space="preserve">• </w:t>
      </w:r>
      <w:r>
        <w:rPr>
          <w:color w:val="222222"/>
        </w:rPr>
        <w:t>Аналитические выражения характеристик:</w:t>
      </w:r>
    </w:p>
    <w:p>
      <w:pPr>
        <w:spacing w:before="60" w:after="80"/>
        <w:jc w:val="center"/>
      </w:pPr>
      <m:oMathPara>
        <m:oMath xmlns:mml="http://www.w3.org/1998/Math/MathML">
          <m:r>
            <m:t>A(ω)=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1+</m:t>
                  </m:r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1+</m:t>
                  </m:r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den>
          </m:f>
        </m:oMath>
      </m:oMathPara>
    </w:p>
    <w:p>
      <w:pPr>
        <w:spacing w:before="60" w:after="80"/>
        <w:jc w:val="center"/>
      </w:pPr>
      <m:oMathPara>
        <m:oMath xmlns:mml="http://www.w3.org/1998/Math/MathML">
          <m:r>
            <m:t>L(ω)=20</m:t>
          </m:r>
          <m:r>
            <m:rPr>
              <m:sty m:val="p"/>
            </m:rPr>
            <m:t>lg</m:t>
          </m:r>
          <m:r>
            <m:t>A(ω)=10</m:t>
          </m:r>
          <m:r>
            <m:rPr>
              <m:sty m:val="p"/>
            </m:rPr>
            <m:t>lg</m:t>
          </m:r>
          <m:r>
            <m:t>(1+</m:t>
          </m:r>
          <m:sSup>
            <m:e>
              <m:r>
                <m:t>ω</m:t>
              </m:r>
            </m:e>
            <m:sup>
              <m:r>
                <m:t>2</m:t>
              </m:r>
            </m:sup>
          </m:sSup>
          <m:sSubSup>
            <m:e>
              <m:r>
                <m:t>T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t>)−10</m:t>
          </m:r>
          <m:r>
            <m:rPr>
              <m:sty m:val="p"/>
            </m:rPr>
            <m:t>lg</m:t>
          </m:r>
          <m:r>
            <m:t>(1+</m:t>
          </m:r>
          <m:sSup>
            <m:e>
              <m:r>
                <m:t>ω</m:t>
              </m:r>
            </m:e>
            <m:sup>
              <m:r>
                <m:t>2</m:t>
              </m:r>
            </m:sup>
          </m:sSup>
          <m:sSubSup>
            <m:e>
              <m:r>
                <m:t>T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t>)</m:t>
          </m:r>
        </m:oMath>
      </m:oMathPara>
    </w:p>
    <w:p>
      <w:pPr>
        <w:spacing w:before="60" w:after="80"/>
        <w:jc w:val="center"/>
      </w:pPr>
      <m:oMathPara>
        <m:oMath xmlns:mml="http://www.w3.org/1998/Math/MathML">
          <m:r>
            <m:t>φ(ω)=−</m:t>
          </m:r>
          <m:r>
            <m:rPr>
              <m:sty m:val="p"/>
            </m:rPr>
            <m:t>arctan</m:t>
          </m:r>
          <m:r>
            <m:t>(ω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t>)−</m:t>
          </m:r>
          <m:r>
            <m:rPr>
              <m:sty m:val="p"/>
            </m:rPr>
            <m:t>arctan</m:t>
          </m:r>
          <m:r>
            <m:t>(ω</m:t>
          </m:r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t>)</m:t>
          </m:r>
        </m:oMath>
      </m:oMathPara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tcBorders>
              <w:top w:val="none"/>
              <w:left w:val="single" w:sz="36" w:space="0" w:color="1F4E79"/>
              <w:bottom w:val="none"/>
              <w:right w:val="none"/>
            </w:tcBorders>
            <w:shd w:fill="F2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 w:line="276" w:lineRule="auto"/>
            </w:pPr>
            <w:r>
              <w:rPr>
                <w:b/>
                <w:color w:val="1F4E79"/>
              </w:rPr>
              <w:t xml:space="preserve">Физический смысл неминимальной фазы: </w:t>
            </w:r>
            <w:r>
              <w:rPr>
                <w:color w:val="222222"/>
              </w:rPr>
              <w:t>Звено называется неминимально-фазовым, так как его нуль лежит в правой комплексной полуплоскости (s = +1/T1 &gt; 0). При точно такой же АЧХ, как у обычного звена (1 + T1*s)/(1 + T2*s), правый нуль дает знак минус перед арктангенсом числителя. Фаза неминимально-фазового звена всегда более отрицательна, то есть запаздывает сильнее любого минимально-фазового звена с той же АЧХ. Во временной области это проявляется в начальном отрицательном выбросе выходного сигнала в отрицательную область при положительном скачке входа.</w:t>
            </w:r>
          </w:p>
        </w:tc>
      </w:tr>
    </w:tbl>
    <w:p>
      <w:pPr>
        <w:spacing w:before="0" w:after="60"/>
      </w:pPr>
    </w:p>
    <w:p>
      <w:pPr>
        <w:keepNext/>
        <w:spacing w:before="200" w:after="40"/>
      </w:pPr>
      <w:r>
        <w:rPr>
          <w:b/>
          <w:color w:val="2E75B6"/>
          <w:sz w:val="23"/>
        </w:rPr>
        <w:t>Вопрос 4. Каноническая форма уравнений состояния односвязной системы</w:t>
      </w:r>
    </w:p>
    <w:p>
      <w:pPr>
        <w:spacing w:before="0" w:after="80" w:line="276" w:lineRule="auto"/>
      </w:pPr>
      <w:r>
        <w:rPr>
          <w:color w:val="222222"/>
        </w:rPr>
        <w:t>Каноническая форма Жордана соответствует представлению системы в базисе собственных векторов, при котором матрица состояния диагональна:</w:t>
      </w:r>
    </w:p>
    <w:p>
      <w:pPr>
        <w:spacing w:before="60" w:after="80"/>
        <w:jc w:val="center"/>
      </w:pPr>
      <m:oMathPara>
        <m:oMath xmlns:mml="http://www.w3.org/1998/Math/MathML">
          <m:limUpp>
            <m:e>
              <m:r>
                <m:t>z</m:t>
              </m:r>
            </m:e>
            <m:lim>
              <m:r>
                <m:t>˙</m:t>
              </m:r>
            </m:lim>
          </m:limUpp>
          <m:r>
            <m:t>(t)=Λz(t)+</m:t>
          </m:r>
          <m:sSub>
            <m:e>
              <m:r>
                <m:t>B</m:t>
              </m:r>
            </m:e>
            <m:sub>
              <m:r>
                <m:t>кан</m:t>
              </m:r>
            </m:sub>
          </m:sSub>
          <m:r>
            <m:t>u(t),</m:t>
          </m:r>
          <m:r>
            <m:t>y(t)=</m:t>
          </m:r>
          <m:sSub>
            <m:e>
              <m:r>
                <m:t>C</m:t>
              </m:r>
            </m:e>
            <m:sub>
              <m:r>
                <m:t>кан</m:t>
              </m:r>
            </m:sub>
          </m:sSub>
          <m:r>
            <m:t>z(t)+Du(t)</m:t>
          </m:r>
        </m:oMath>
      </m:oMathPara>
    </w:p>
    <w:p>
      <w:pPr>
        <w:spacing w:before="0" w:after="80" w:line="276" w:lineRule="auto"/>
      </w:pPr>
      <w:r>
        <w:rPr>
          <w:color w:val="222222"/>
        </w:rPr>
        <w:t>Структура матриц для случая простых вещественных полюсов λ1, ..., λn:</w:t>
      </w:r>
    </w:p>
    <w:p>
      <w:pPr>
        <w:spacing w:before="60" w:after="80"/>
        <w:jc w:val="center"/>
      </w:pPr>
      <m:oMathPara>
        <m:oMath xmlns:mml="http://www.w3.org/1998/Math/MathML">
          <m:r>
            <m:t>Λ=(</m:t>
          </m:r>
          <m:m>
            <m:mPr>
              <m:baseJc m:val="center"/>
              <m:plcHide m:val="on"/>
              <m:mcs>
                <m:mc>
                  <m:mcPr>
                    <m:count m:val="4"/>
                    <m:mcJc m:val="center"/>
                  </m:mcPr>
                </m:mc>
              </m:mcs>
            </m:mPr>
            <m:mr>
              <m:e>
                <m:sSub>
                  <m:e>
                    <m:r>
                      <m:t>λ</m:t>
                    </m:r>
                  </m:e>
                  <m:sub>
                    <m:r>
                      <m:t>1</m:t>
                    </m:r>
                  </m:sub>
                </m:sSub>
              </m:e>
              <m:e>
                <m:r>
                  <m:t>0</m:t>
                </m:r>
              </m:e>
              <m:e>
                <m:r>
                  <m:t>…</m:t>
                </m:r>
              </m:e>
              <m:e>
                <m:r>
                  <m:t>0</m:t>
                </m:r>
              </m:e>
            </m:mr>
            <m:mr>
              <m:e>
                <m:r>
                  <m:t>0</m:t>
                </m:r>
              </m:e>
              <m:e>
                <m:sSub>
                  <m:e>
                    <m:r>
                      <m:t>λ</m:t>
                    </m:r>
                  </m:e>
                  <m:sub>
                    <m:r>
                      <m:t>2</m:t>
                    </m:r>
                  </m:sub>
                </m:sSub>
              </m:e>
              <m:e>
                <m:r>
                  <m:t>…</m:t>
                </m:r>
              </m:e>
              <m:e>
                <m:r>
                  <m:t>0</m:t>
                </m:r>
              </m:e>
            </m:mr>
            <m:mr>
              <m:e>
                <m:r>
                  <m:t>⋮</m:t>
                </m:r>
              </m:e>
              <m:e>
                <m:r>
                  <m:t>⋮</m:t>
                </m:r>
              </m:e>
              <m:e>
                <m:r>
                  <m:t>⋱</m:t>
                </m:r>
              </m:e>
              <m:e>
                <m:r>
                  <m:t>⋮</m:t>
                </m:r>
              </m:e>
            </m:mr>
            <m:mr>
              <m:e>
                <m:r>
                  <m:t>0</m:t>
                </m:r>
              </m:e>
              <m:e>
                <m:r>
                  <m:t>0</m:t>
                </m:r>
              </m:e>
              <m:e>
                <m:r>
                  <m:t>…</m:t>
                </m:r>
              </m:e>
              <m:e>
                <m:sSub>
                  <m:e>
                    <m:r>
                      <m:t>λ</m:t>
                    </m:r>
                  </m:e>
                  <m:sub>
                    <m:r>
                      <m:t>n</m:t>
                    </m:r>
                  </m:sub>
                </m:sSub>
              </m:e>
            </m:mr>
          </m:m>
          <m:r>
            <m:t>),</m:t>
          </m:r>
          <m:sSub>
            <m:e>
              <m:r>
                <m:t>B</m:t>
              </m:r>
            </m:e>
            <m:sub>
              <m:r>
                <m:t>кан</m:t>
              </m:r>
            </m:sub>
          </m:sSub>
          <m:r>
            <m:t>=(</m:t>
          </m:r>
          <m:eqArr>
            <m:e>
              <m:r>
                <m:t>1</m:t>
              </m:r>
            </m:e>
            <m:e>
              <m:r>
                <m:t>1</m:t>
              </m:r>
            </m:e>
            <m:e>
              <m:r>
                <m:t>⋮</m:t>
              </m:r>
            </m:e>
            <m:e>
              <m:r>
                <m:t>1</m:t>
              </m:r>
            </m:e>
          </m:eqArr>
          <m:r>
            <m:t>),</m:t>
          </m:r>
          <m:sSub>
            <m:e>
              <m:r>
                <m:t>C</m:t>
              </m:r>
            </m:e>
            <m:sub>
              <m:r>
                <m:t>кан</m:t>
              </m:r>
            </m:sub>
          </m:sSub>
          <m:r>
            <m:t>=(</m:t>
          </m:r>
          <m:m>
            <m:mPr>
              <m:baseJc m:val="center"/>
              <m:plcHide m:val="on"/>
              <m:mcs>
                <m:mc>
                  <m:mcPr>
                    <m:count m:val="4"/>
                    <m:mcJc m:val="center"/>
                  </m:mcPr>
                </m:mc>
              </m:mcs>
            </m:mPr>
            <m:mr>
              <m:e>
                <m:sSub>
                  <m:e>
                    <m:r>
                      <m:t>c</m:t>
                    </m:r>
                  </m:e>
                  <m:sub>
                    <m:r>
                      <m:t>1</m:t>
                    </m:r>
                  </m:sub>
                </m:sSub>
              </m:e>
              <m:e>
                <m:sSub>
                  <m:e>
                    <m:r>
                      <m:t>c</m:t>
                    </m:r>
                  </m:e>
                  <m:sub>
                    <m:r>
                      <m:t>2</m:t>
                    </m:r>
                  </m:sub>
                </m:sSub>
              </m:e>
              <m:e>
                <m:r>
                  <m:t>…</m:t>
                </m:r>
              </m:e>
              <m:e>
                <m:sSub>
                  <m:e>
                    <m:r>
                      <m:t>c</m:t>
                    </m:r>
                  </m:e>
                  <m:sub>
                    <m:r>
                      <m:t>n</m:t>
                    </m:r>
                  </m:sub>
                </m:sSub>
              </m:e>
            </m:mr>
          </m:m>
          <m:r>
            <m:t>)</m:t>
          </m:r>
        </m:oMath>
      </m:oMathPara>
    </w:p>
    <w:p>
      <w:pPr>
        <w:spacing w:before="0" w:after="80" w:line="276" w:lineRule="auto"/>
      </w:pPr>
      <w:r>
        <w:rPr>
          <w:color w:val="222222"/>
        </w:rPr>
        <w:t>Главное достоинство: дифференциальные уравнения для каждой координаты z_i(t) полностью независимы друг от друга и могут интегрироваться параллельно без взаимного влияния.</w:t>
      </w:r>
    </w:p>
    <w:p>
      <w:pPr>
        <w:keepNext/>
        <w:spacing w:before="200" w:after="40"/>
      </w:pPr>
      <w:r>
        <w:rPr>
          <w:b/>
          <w:color w:val="2E75B6"/>
          <w:sz w:val="23"/>
        </w:rPr>
        <w:t>Вопрос 5. Разложение передаточной функции на простые дроби (метод вычетов)</w:t>
      </w:r>
    </w:p>
    <w:p>
      <w:pPr>
        <w:spacing w:before="0" w:after="80" w:line="276" w:lineRule="auto"/>
      </w:pPr>
      <w:r>
        <w:rPr>
          <w:color w:val="222222"/>
        </w:rPr>
        <w:t>Если передаточная функция W(s) = M(s)/L(s) имеет простые вещественные полюса λ1, ..., λn, она представляется в виде суммы элементарных слагаемых первого порядка:</w:t>
      </w:r>
    </w:p>
    <w:p>
      <w:pPr>
        <w:spacing w:before="60" w:after="80"/>
        <w:jc w:val="center"/>
      </w:pPr>
      <m:oMathPara>
        <m:oMath xmlns:mml="http://www.w3.org/1998/Math/MathML">
          <m:r>
            <m:t>W(s)=</m:t>
          </m:r>
          <m:nary>
            <m:naryPr>
              <m:chr m:val="∑"/>
              <m:limLoc m:val="subSup"/>
              <m:grow m:val="1"/>
              <m:subHide m:val="off"/>
              <m:supHide m:val="off"/>
            </m:naryPr>
            <m:sub>
              <m:r>
                <m:t>i=1</m:t>
              </m:r>
            </m:sub>
            <m:sup>
              <m:r>
                <m:t>n</m:t>
              </m:r>
            </m:sup>
            <m:e/>
          </m:nary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s−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+d</m:t>
          </m:r>
        </m:oMath>
      </m:oMathPara>
    </w:p>
    <w:p>
      <w:pPr>
        <w:spacing w:before="0" w:after="80" w:line="276" w:lineRule="auto"/>
      </w:pPr>
      <w:r>
        <w:rPr>
          <w:color w:val="222222"/>
        </w:rPr>
        <w:t>Коэффициенты c_i (вычеты) находятся по правилу Хевисайда:</w:t>
      </w:r>
    </w:p>
    <w:p>
      <w:pPr>
        <w:spacing w:before="60" w:after="80"/>
        <w:jc w:val="center"/>
      </w:pPr>
      <m:oMathPara>
        <m:oMath xmlns:mml="http://www.w3.org/1998/Math/MathML">
          <m:sSub>
            <m:e>
              <m:r>
                <m:t>c</m:t>
              </m:r>
            </m:e>
            <m:sub>
              <m:r>
                <m:t>i</m:t>
              </m:r>
            </m:sub>
          </m:sSub>
          <m:r>
            <m:t>=</m:t>
          </m:r>
          <m:sSub>
            <m:e>
              <m:r>
                <m:t>lim</m:t>
              </m:r>
            </m:e>
            <m:sub>
              <m:r>
                <m:t>s→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t>[(s−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t>)W(s)]=</m:t>
          </m:r>
          <m:f>
            <m:fPr>
              <m:type m:val="bar"/>
            </m:fPr>
            <m:num>
              <m:r>
                <m:t>M(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)</m:t>
              </m:r>
            </m:num>
            <m:den>
              <m:sSup>
                <m:e>
                  <m:r>
                    <m:t>L</m:t>
                  </m:r>
                </m:e>
                <m:sup>
                  <m:r>
                    <m:t>′</m:t>
                  </m:r>
                </m:sup>
              </m:sSup>
              <m: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)</m:t>
              </m:r>
            </m:den>
          </m:f>
        </m:oMath>
      </m:oMathPara>
    </w:p>
    <w:p>
      <w:pPr>
        <w:spacing w:before="0" w:after="80" w:line="276" w:lineRule="auto"/>
      </w:pPr>
      <w:r>
        <w:rPr>
          <w:color w:val="222222"/>
        </w:rPr>
        <w:t>Коэффициент d отличен от нуля только при равенстве порядков числителя и знаменателя: d = lim(s-&gt;∞) W(s). Каждое слагаемое дает скалярное дифференциальное уравнение состояния:</w:t>
      </w:r>
    </w:p>
    <w:p>
      <w:pPr>
        <w:spacing w:before="60" w:after="80"/>
        <w:jc w:val="center"/>
      </w:pPr>
      <m:oMathPara>
        <m:oMath xmlns:mml="http://www.w3.org/1998/Math/MathML">
          <m:sSub>
            <m:e>
              <m:limUpp>
                <m:e>
                  <m:r>
                    <m:t>z</m:t>
                  </m:r>
                </m:e>
                <m:lim>
                  <m:r>
                    <m:t>˙</m:t>
                  </m:r>
                </m:lim>
              </m:limUpp>
            </m:e>
            <m:sub>
              <m:r>
                <m:t>i</m:t>
              </m:r>
            </m:sub>
          </m:sSub>
          <m:r>
            <m:t>=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t>+u,</m:t>
          </m:r>
          <m:r>
            <m:t>y=</m:t>
          </m:r>
          <m:nary>
            <m:naryPr>
              <m:chr m:val="∑"/>
              <m:limLoc m:val="subSup"/>
              <m:grow m:val="1"/>
              <m:subHide m:val="off"/>
              <m:supHide m:val="off"/>
            </m:naryPr>
            <m:sub>
              <m:r>
                <m:t>i=1</m:t>
              </m:r>
            </m:sub>
            <m:sup>
              <m:r>
                <m:t>n</m:t>
              </m:r>
            </m:sup>
            <m:e/>
          </m:nary>
          <m:sSub>
            <m:e>
              <m:r>
                <m:t>c</m:t>
              </m:r>
            </m:e>
            <m:sub>
              <m:r>
                <m:t>i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t>+du</m:t>
          </m:r>
        </m:oMath>
      </m:oMathPara>
    </w:p>
    <w:p>
      <w:pPr>
        <w:keepNext/>
        <w:spacing w:before="200" w:after="40"/>
      </w:pPr>
      <w:r>
        <w:rPr>
          <w:b/>
          <w:color w:val="2E75B6"/>
          <w:sz w:val="23"/>
        </w:rPr>
        <w:t>Вопрос 6. Построение частотных характеристик по вычислительным экспериментам</w:t>
      </w:r>
    </w:p>
    <w:p>
      <w:pPr>
        <w:spacing w:before="0" w:after="80" w:line="276" w:lineRule="auto"/>
      </w:pPr>
      <w:r>
        <w:rPr>
          <w:color w:val="222222"/>
        </w:rPr>
        <w:t>Построение АЧХ и ФЧХ на модели осуществляется следующим образом:</w:t>
      </w:r>
    </w:p>
    <w:p>
      <w:pPr>
        <w:spacing w:before="0" w:after="80" w:line="276" w:lineRule="auto"/>
        <w:ind w:left="288"/>
      </w:pPr>
      <w:r>
        <w:rPr>
          <w:b/>
          <w:color w:val="1F4E79"/>
        </w:rPr>
        <w:t xml:space="preserve">• </w:t>
      </w:r>
      <w:r>
        <w:rPr>
          <w:color w:val="222222"/>
        </w:rPr>
        <w:t>На вход исследуемого звена подается гармонический сигнал u(t) = Um*sin(ω_k*t).</w:t>
      </w:r>
    </w:p>
    <w:p>
      <w:pPr>
        <w:spacing w:before="0" w:after="80" w:line="276" w:lineRule="auto"/>
        <w:ind w:left="288"/>
      </w:pPr>
      <w:r>
        <w:rPr>
          <w:b/>
          <w:color w:val="1F4E79"/>
        </w:rPr>
        <w:t xml:space="preserve">• </w:t>
      </w:r>
      <w:r>
        <w:rPr>
          <w:color w:val="222222"/>
        </w:rPr>
        <w:t>После затухания переходного процесса (на установившемся синусоидальном режиме) измеряются пиковая амплитуда выхода Ym(ω_k) и сдвиг по времени Δt_k между точками перехода через ноль входной и выходной кривых.</w:t>
      </w:r>
    </w:p>
    <w:p>
      <w:pPr>
        <w:spacing w:before="0" w:after="80" w:line="276" w:lineRule="auto"/>
        <w:ind w:left="288"/>
      </w:pPr>
      <w:r>
        <w:rPr>
          <w:b/>
          <w:color w:val="1F4E79"/>
        </w:rPr>
        <w:t xml:space="preserve">• </w:t>
      </w:r>
      <w:r>
        <w:rPr>
          <w:color w:val="222222"/>
        </w:rPr>
        <w:t>Вычисляются точка АЧХ A(ω_k) = Ym(ω_k)/Um и фазовый сдвиг φ(ω_k) = -ω_k*Δt_k.</w:t>
      </w:r>
    </w:p>
    <w:p>
      <w:pPr>
        <w:spacing w:before="0" w:after="80" w:line="276" w:lineRule="auto"/>
        <w:ind w:left="288"/>
      </w:pPr>
      <w:r>
        <w:rPr>
          <w:b/>
          <w:color w:val="1F4E79"/>
        </w:rPr>
        <w:t xml:space="preserve">• </w:t>
      </w:r>
      <w:r>
        <w:rPr>
          <w:color w:val="222222"/>
        </w:rPr>
        <w:t>Опыт повторяется для сетки частот диапазона исследования. В среде SimInTech также применяется автоматизированный расчет с использованием блоков анализа амплитуды и фазы.</w:t>
      </w:r>
    </w:p>
    <w:p>
      <w:pPr>
        <w:keepNext/>
        <w:spacing w:before="200" w:after="40"/>
      </w:pPr>
      <w:r>
        <w:rPr>
          <w:b/>
          <w:color w:val="2E75B6"/>
          <w:sz w:val="23"/>
        </w:rPr>
        <w:t>Вопрос 7. Суждение об устойчивости по частотному критерию Найквиста</w:t>
      </w:r>
    </w:p>
    <w:p>
      <w:pPr>
        <w:spacing w:before="0" w:after="80" w:line="276" w:lineRule="auto"/>
      </w:pPr>
      <w:r>
        <w:rPr>
          <w:color w:val="222222"/>
        </w:rPr>
        <w:t>Формулировка критерия: если разомкнутая система устойчива, то для устойчивости замкнутой системы отрицательной обратной связью необходимо и достаточно, чтобы годограф Найквиста Wраз(jω) при изменении ω от 0 до +∞ не охватывал критическую точку (-1, j0).</w:t>
      </w:r>
    </w:p>
    <w:p>
      <w:pPr>
        <w:spacing w:before="0" w:after="80" w:line="276" w:lineRule="auto"/>
      </w:pPr>
      <w:r>
        <w:rPr>
          <w:color w:val="222222"/>
        </w:rPr>
        <w:t>В исследуемой системе с неминимально-фазовым звеном фазовый сдвиг опускается ниже -180 градусов, поэтому годограф пересекает отрицательную действительную полуось:</w:t>
      </w:r>
    </w:p>
    <w:p>
      <w:pPr>
        <w:spacing w:before="0" w:after="80" w:line="276" w:lineRule="auto"/>
        <w:ind w:left="288"/>
      </w:pPr>
      <w:r>
        <w:rPr>
          <w:b/>
          <w:color w:val="1F4E79"/>
        </w:rPr>
        <w:t xml:space="preserve">• </w:t>
      </w:r>
      <w:r>
        <w:rPr>
          <w:color w:val="222222"/>
        </w:rPr>
        <w:t>При K &lt; Kпред точка пересечения вещественной оси лежит правее точки -1 (точка не охватывается), замкнутая система устойчива.</w:t>
      </w:r>
    </w:p>
    <w:p>
      <w:pPr>
        <w:spacing w:before="0" w:after="80" w:line="276" w:lineRule="auto"/>
        <w:ind w:left="288"/>
      </w:pPr>
      <w:r>
        <w:rPr>
          <w:b/>
          <w:color w:val="1F4E79"/>
        </w:rPr>
        <w:t xml:space="preserve">• </w:t>
      </w:r>
      <w:r>
        <w:rPr>
          <w:color w:val="222222"/>
        </w:rPr>
        <w:t>При K = Kпред годограф проходит строго через точку (-1, j0), система находится на границе устойчивости, возникают незатухающие автоколебания постоянной амплитуды.</w:t>
      </w:r>
    </w:p>
    <w:p>
      <w:pPr>
        <w:spacing w:before="0" w:after="80" w:line="276" w:lineRule="auto"/>
        <w:ind w:left="288"/>
      </w:pPr>
      <w:r>
        <w:rPr>
          <w:b/>
          <w:color w:val="1F4E79"/>
        </w:rPr>
        <w:t xml:space="preserve">• </w:t>
      </w:r>
      <w:r>
        <w:rPr>
          <w:color w:val="222222"/>
        </w:rPr>
        <w:t>При K &gt; Kпред годограф охватывает точку (-1, j0), замкнутая система неустойчива, колебания экспоненциально нарастают по амплитуде.</w:t>
      </w:r>
    </w:p>
    <w:p>
      <w:pPr>
        <w:keepNext/>
        <w:spacing w:before="280" w:after="80"/>
      </w:pPr>
      <w:r>
        <w:rPr>
          <w:b/>
          <w:color w:val="1F4E79"/>
          <w:sz w:val="26"/>
        </w:rPr>
        <w:t>2. Аналитический расчет границы устойчивости и автоколебаний</w:t>
      </w:r>
    </w:p>
    <w:p>
      <w:pPr>
        <w:spacing w:before="0" w:after="80" w:line="276" w:lineRule="auto"/>
      </w:pPr>
      <w:r>
        <w:rPr>
          <w:color w:val="222222"/>
        </w:rPr>
        <w:t>Передаточная функция разомкнутой системы:</w:t>
      </w:r>
    </w:p>
    <w:p>
      <w:pPr>
        <w:spacing w:before="60" w:after="80"/>
        <w:jc w:val="center"/>
      </w:pPr>
      <m:oMathPara>
        <m:oMath xmlns:mml="http://www.w3.org/1998/Math/MathML">
          <m:sSub>
            <m:e>
              <m:r>
                <m:t>W</m:t>
              </m:r>
            </m:e>
            <m:sub>
              <m:r>
                <m:t>раз</m:t>
              </m:r>
            </m:sub>
          </m:sSub>
          <m:r>
            <m:t>(s)=K</m:t>
          </m:r>
          <m:f>
            <m:fPr>
              <m:type m:val="bar"/>
            </m:fPr>
            <m:num>
              <m:r>
                <m:t>1−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t>s</m:t>
              </m:r>
            </m:num>
            <m:den>
              <m:r>
                <m:t>(1+0.5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t>s)(1+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t>s)</m:t>
              </m:r>
            </m:den>
          </m:f>
        </m:oMath>
      </m:oMathPara>
    </w:p>
    <w:p>
      <w:pPr>
        <w:spacing w:before="0" w:after="80" w:line="276" w:lineRule="auto"/>
      </w:pPr>
      <w:r>
        <w:rPr>
          <w:color w:val="222222"/>
        </w:rPr>
        <w:t>Характеристическое уравнение замкнутой системы с единичной отрицательной обратной связью:</w:t>
      </w:r>
    </w:p>
    <w:p>
      <w:pPr>
        <w:spacing w:before="60" w:after="80"/>
        <w:jc w:val="center"/>
      </w:pPr>
      <m:oMathPara>
        <m:oMath xmlns:mml="http://www.w3.org/1998/Math/MathML">
          <m:r>
            <m:t>1+</m:t>
          </m:r>
          <m:sSub>
            <m:e>
              <m:r>
                <m:t>W</m:t>
              </m:r>
            </m:e>
            <m:sub>
              <m:r>
                <m:t>раз</m:t>
              </m:r>
            </m:sub>
          </m:sSub>
          <m:r>
            <m:t>(s)=0⟹(1+0.5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t>s)(1+</m:t>
          </m:r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t>s)+K(1−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t>s)=0</m:t>
          </m:r>
        </m:oMath>
      </m:oMathPara>
    </w:p>
    <w:p>
      <w:pPr>
        <w:spacing w:before="0" w:after="80" w:line="276" w:lineRule="auto"/>
      </w:pPr>
      <w:r>
        <w:rPr>
          <w:color w:val="222222"/>
        </w:rPr>
        <w:t>Раскрываем скобки и группируем слагаемые:</w:t>
      </w:r>
    </w:p>
    <w:p>
      <w:pPr>
        <w:spacing w:before="60" w:after="80"/>
        <w:jc w:val="center"/>
      </w:pPr>
      <m:oMathPara>
        <m:oMath xmlns:mml="http://www.w3.org/1998/Math/MathML">
          <m:r>
            <m:t>0.5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sSub>
            <m:e>
              <m:r>
                <m:t>T</m:t>
              </m:r>
            </m:e>
            <m:sub>
              <m:r>
                <m:t>2</m:t>
              </m:r>
            </m:sub>
          </m:sSub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t>+(</m:t>
          </m:r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t>+0.5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t>−K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t>)s+(1+K)=0</m:t>
          </m:r>
        </m:oMath>
      </m:oMathPara>
    </w:p>
    <w:p>
      <w:pPr>
        <w:spacing w:before="0" w:after="80" w:line="276" w:lineRule="auto"/>
      </w:pPr>
      <w:r>
        <w:t>По критерию Гурвица для полинома второго порядка условием границы устойчивости является равенство нулю коэффициента при первой степени s:</w:t>
      </w:r>
    </w:p>
    <w:p>
      <w:pPr>
        <w:spacing w:before="60" w:after="80"/>
        <w:jc w:val="center"/>
      </w:pPr>
      <m:oMathPara>
        <m:oMath xmlns:mml="http://www.w3.org/1998/Math/MathML"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=0⟹</m:t>
          </m:r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t>+0.5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t>−</m:t>
          </m:r>
          <m:sSub>
            <m:e>
              <m:r>
                <m:t>K</m:t>
              </m:r>
            </m:e>
            <m:sub>
              <m:r>
                <m:t>пред</m:t>
              </m:r>
            </m:sub>
          </m:sSub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t>=0</m:t>
          </m:r>
        </m:oMath>
      </m:oMathPara>
    </w:p>
    <w:p>
      <w:pPr>
        <w:spacing w:before="0" w:after="80" w:line="276" w:lineRule="auto"/>
      </w:pPr>
      <w:r>
        <w:rPr>
          <w:color w:val="222222"/>
        </w:rPr>
        <w:t>Отсюда получаем точную аналитическую формулу предельного коэффициента усиления:</w:t>
      </w:r>
    </w:p>
    <w:p>
      <w:pPr>
        <w:spacing w:before="60" w:after="80"/>
        <w:jc w:val="center"/>
      </w:pPr>
      <m:oMathPara>
        <m:oMath xmlns:mml="http://www.w3.org/1998/Math/MathML">
          <m:sSub>
            <m:e>
              <m:r>
                <m:t>K</m:t>
              </m:r>
            </m:e>
            <m:sub>
              <m:r>
                <m:t>пред</m:t>
              </m:r>
            </m:sub>
          </m:sSub>
          <m: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+0.5</m:t>
          </m:r>
        </m:oMath>
      </m:oMathPara>
    </w:p>
    <w:p>
      <w:pPr>
        <w:spacing w:before="0" w:after="80" w:line="276" w:lineRule="auto"/>
      </w:pPr>
      <w:r>
        <w:rPr>
          <w:color w:val="222222"/>
        </w:rPr>
        <w:t>На границе устойчивости (a1 = 0) характеристическое уравнение сводится к виду a2*s^2 + a0 = 0. Собственная частота и период гармонических автоколебаний определяются соотношениями:</w:t>
      </w:r>
    </w:p>
    <w:p>
      <w:pPr>
        <w:spacing w:before="60" w:after="80"/>
        <w:jc w:val="center"/>
      </w:pPr>
      <m:oMathPara>
        <m:oMath xmlns:mml="http://www.w3.org/1998/Math/MathML">
          <m:sSub>
            <m:e>
              <m:r>
                <m:t>ω</m:t>
              </m:r>
            </m:e>
            <m:sub>
              <m:r>
                <m:t>0</m:t>
              </m:r>
            </m:sub>
          </m:sSub>
          <m: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пред</m:t>
                      </m:r>
                    </m:sub>
                  </m:sSub>
                </m:num>
                <m:den>
                  <m:r>
                    <m:t>0.5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t>,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t>=</m:t>
          </m:r>
          <m:f>
            <m:fPr>
              <m:type m:val="bar"/>
            </m:fPr>
            <m:num>
              <m:r>
                <m:t>2π</m:t>
              </m:r>
            </m:num>
            <m:den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tcBorders>
              <w:top w:val="none"/>
              <w:left w:val="single" w:sz="36" w:space="0" w:color="1F4E79"/>
              <w:bottom w:val="none"/>
              <w:right w:val="none"/>
            </w:tcBorders>
            <w:shd w:fill="F2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 w:line="276" w:lineRule="auto"/>
            </w:pPr>
            <w:r>
              <w:rPr>
                <w:b/>
                <w:color w:val="1F4E79"/>
              </w:rPr>
              <w:t xml:space="preserve">Числовой расчет для Варианта 4: </w:t>
            </w:r>
            <w:r>
              <w:rPr>
                <w:color w:val="222222"/>
              </w:rPr>
              <w:t>Для Варианта 4 (T1 = 0.16 с, T2 = 2.50 с):</w:t>
              <w:br/>
              <w:t>1. Kпред = 2.50 / 0.16 + 0.5 = 15.625 + 0.5 = 16.125</w:t>
              <w:br/>
              <w:t>2. a2 = 0.5 * 0.16 * 2.50 = 0.20 с^2,  a0 = 1 + 16.125 = 17.125</w:t>
              <w:br/>
              <w:t>3. Частота колебаний: ω0 = sqrt(17.125 / 0.20) = sqrt(85.625) ≈ 9.2534 рад/с</w:t>
              <w:br/>
              <w:t>4. Период колебаний: T0 = 2π / 9.2534 ≈ 0.6790 с</w:t>
            </w:r>
          </w:p>
        </w:tc>
      </w:tr>
    </w:tbl>
    <w:p>
      <w:pPr>
        <w:spacing w:before="0" w:after="60"/>
      </w:pPr>
    </w:p>
    <w:p>
      <w:pPr>
        <w:keepNext/>
        <w:spacing w:before="280" w:after="80"/>
      </w:pPr>
      <w:r>
        <w:rPr>
          <w:b/>
          <w:color w:val="1F4E79"/>
          <w:sz w:val="26"/>
        </w:rPr>
        <w:t>3. Шпаргалка по вопросам Теста №1 и базовой теории</w:t>
      </w:r>
    </w:p>
    <w:p>
      <w:pPr>
        <w:keepNext/>
        <w:spacing w:before="200" w:after="40"/>
      </w:pPr>
      <w:r>
        <w:rPr>
          <w:b/>
          <w:color w:val="2E75B6"/>
          <w:sz w:val="23"/>
        </w:rPr>
        <w:t>3.1. Уравнения пространства состояний и смысл матриц</w:t>
      </w:r>
    </w:p>
    <w:p>
      <w:pPr>
        <w:spacing w:before="0" w:after="80" w:line="276" w:lineRule="auto"/>
      </w:pPr>
      <w:r>
        <w:rPr>
          <w:color w:val="222222"/>
        </w:rPr>
        <w:t>Математическая модель линейной стационарной системы:</w:t>
      </w:r>
    </w:p>
    <w:p>
      <w:pPr>
        <w:spacing w:before="60" w:after="80"/>
        <w:jc w:val="center"/>
      </w:pPr>
      <m:oMathPara>
        <m:oMath xmlns:mml="http://www.w3.org/1998/Math/MathML">
          <m:limUpp>
            <m:e>
              <m:r>
                <m:t>x</m:t>
              </m:r>
            </m:e>
            <m:lim>
              <m:r>
                <m:t>˙</m:t>
              </m:r>
            </m:lim>
          </m:limUpp>
          <m:r>
            <m:t>=Ax+Bu+Hξ,</m:t>
          </m:r>
          <m:r>
            <m:t>y=Cx+Du+Pη</m:t>
          </m:r>
        </m:oMath>
      </m:oMathPara>
    </w:p>
    <w:p>
      <w:pPr>
        <w:spacing w:before="0" w:after="80" w:line="276" w:lineRule="auto"/>
        <w:ind w:left="288"/>
      </w:pPr>
      <w:r>
        <w:rPr>
          <w:b/>
          <w:color w:val="1F4E79"/>
        </w:rPr>
        <w:t xml:space="preserve">• </w:t>
      </w:r>
      <w:r>
        <w:rPr>
          <w:color w:val="222222"/>
        </w:rPr>
        <w:t>Векторы системы:</w:t>
      </w:r>
    </w:p>
    <w:p>
      <w:pPr>
        <w:spacing w:before="0" w:after="80" w:line="276" w:lineRule="auto"/>
        <w:ind w:left="288"/>
      </w:pPr>
      <w:r>
        <w:rPr>
          <w:b/>
          <w:color w:val="1F4E79"/>
        </w:rPr>
        <w:t xml:space="preserve">• </w:t>
      </w:r>
      <w:r>
        <w:rPr>
          <w:color w:val="222222"/>
        </w:rPr>
        <w:t>x : вектор состояния (характеризует внутреннее энергетическое состояние системы).</w:t>
      </w:r>
    </w:p>
    <w:p>
      <w:pPr>
        <w:spacing w:before="0" w:after="80" w:line="276" w:lineRule="auto"/>
        <w:ind w:left="288"/>
      </w:pPr>
      <w:r>
        <w:rPr>
          <w:b/>
          <w:color w:val="1F4E79"/>
        </w:rPr>
        <w:t xml:space="preserve">• </w:t>
      </w:r>
      <w:r>
        <w:rPr>
          <w:color w:val="222222"/>
        </w:rPr>
        <w:t>u : вектор управления (входные управляющие воздействия).</w:t>
      </w:r>
    </w:p>
    <w:p>
      <w:pPr>
        <w:spacing w:before="0" w:after="80" w:line="276" w:lineRule="auto"/>
        <w:ind w:left="288"/>
      </w:pPr>
      <w:r>
        <w:rPr>
          <w:b/>
          <w:color w:val="1F4E79"/>
        </w:rPr>
        <w:t xml:space="preserve">• </w:t>
      </w:r>
      <w:r>
        <w:rPr>
          <w:color w:val="222222"/>
        </w:rPr>
        <w:t>y : вектор наблюдения (измеряемые выходные величины).</w:t>
      </w:r>
    </w:p>
    <w:p>
      <w:pPr>
        <w:spacing w:before="0" w:after="80" w:line="276" w:lineRule="auto"/>
        <w:ind w:left="288"/>
      </w:pPr>
      <w:r>
        <w:rPr>
          <w:b/>
          <w:color w:val="1F4E79"/>
        </w:rPr>
        <w:t xml:space="preserve">• </w:t>
      </w:r>
      <w:r>
        <w:rPr>
          <w:color w:val="222222"/>
        </w:rPr>
        <w:t>ξ : помеха возмущения (случайные внешние силы, действующие на сам объект).</w:t>
      </w:r>
    </w:p>
    <w:p>
      <w:pPr>
        <w:spacing w:before="0" w:after="80" w:line="276" w:lineRule="auto"/>
        <w:ind w:left="288"/>
      </w:pPr>
      <w:r>
        <w:rPr>
          <w:b/>
          <w:color w:val="1F4E79"/>
        </w:rPr>
        <w:t xml:space="preserve">• </w:t>
      </w:r>
      <w:r>
        <w:rPr>
          <w:color w:val="222222"/>
        </w:rPr>
        <w:t>η : помеха измерения (шумы датчиков и приборов в канале наблюдения).</w:t>
      </w:r>
    </w:p>
    <w:p>
      <w:pPr>
        <w:spacing w:before="0" w:after="80" w:line="276" w:lineRule="auto"/>
        <w:ind w:left="288"/>
      </w:pPr>
      <w:r>
        <w:rPr>
          <w:b/>
          <w:color w:val="1F4E79"/>
        </w:rPr>
        <w:t xml:space="preserve">• </w:t>
      </w:r>
      <w:r>
        <w:rPr>
          <w:color w:val="222222"/>
        </w:rPr>
        <w:t>Матрицы системы:</w:t>
      </w:r>
    </w:p>
    <w:p>
      <w:pPr>
        <w:spacing w:before="0" w:after="80" w:line="276" w:lineRule="auto"/>
        <w:ind w:left="288"/>
      </w:pPr>
      <w:r>
        <w:rPr>
          <w:b/>
          <w:color w:val="1F4E79"/>
        </w:rPr>
        <w:t xml:space="preserve">• </w:t>
      </w:r>
      <w:r>
        <w:rPr>
          <w:color w:val="222222"/>
        </w:rPr>
        <w:t>A (n x n) : матрица состояния (определяет собственные частоты и устойчивость объекта).</w:t>
      </w:r>
    </w:p>
    <w:p>
      <w:pPr>
        <w:spacing w:before="0" w:after="80" w:line="276" w:lineRule="auto"/>
        <w:ind w:left="288"/>
      </w:pPr>
      <w:r>
        <w:rPr>
          <w:b/>
          <w:color w:val="1F4E79"/>
        </w:rPr>
        <w:t xml:space="preserve">• </w:t>
      </w:r>
      <w:r>
        <w:rPr>
          <w:color w:val="222222"/>
        </w:rPr>
        <w:t>B (n x m) : матрица управления (распределяет входы по каналам состояния).</w:t>
      </w:r>
    </w:p>
    <w:p>
      <w:pPr>
        <w:spacing w:before="0" w:after="80" w:line="276" w:lineRule="auto"/>
        <w:ind w:left="288"/>
      </w:pPr>
      <w:r>
        <w:rPr>
          <w:b/>
          <w:color w:val="1F4E79"/>
        </w:rPr>
        <w:t xml:space="preserve">• </w:t>
      </w:r>
      <w:r>
        <w:rPr>
          <w:color w:val="222222"/>
        </w:rPr>
        <w:t>C (p x n) : матрица наблюдения (связывает переменные состояния с выходами).</w:t>
      </w:r>
    </w:p>
    <w:p>
      <w:pPr>
        <w:spacing w:before="0" w:after="80" w:line="276" w:lineRule="auto"/>
        <w:ind w:left="288"/>
      </w:pPr>
      <w:r>
        <w:rPr>
          <w:b/>
          <w:color w:val="1F4E79"/>
        </w:rPr>
        <w:t xml:space="preserve">• </w:t>
      </w:r>
      <w:r>
        <w:rPr>
          <w:color w:val="222222"/>
        </w:rPr>
        <w:t>D (p x m) : матрица прямой связи (определяет мгновенное безынерционное прохождение входа на выход).</w:t>
      </w:r>
    </w:p>
    <w:p>
      <w:pPr>
        <w:spacing w:before="0" w:after="80" w:line="276" w:lineRule="auto"/>
        <w:ind w:left="288"/>
      </w:pPr>
      <w:r>
        <w:rPr>
          <w:b/>
          <w:color w:val="1F4E79"/>
        </w:rPr>
        <w:t xml:space="preserve">• </w:t>
      </w:r>
      <w:r>
        <w:rPr>
          <w:color w:val="222222"/>
        </w:rPr>
        <w:t>H (n x q) : матрица возмущений; P (p x r) : матрица помех измерения.</w:t>
      </w:r>
    </w:p>
    <w:p>
      <w:pPr>
        <w:keepNext/>
        <w:spacing w:before="200" w:after="40"/>
      </w:pPr>
      <w:r>
        <w:rPr>
          <w:b/>
          <w:color w:val="2E75B6"/>
          <w:sz w:val="23"/>
        </w:rPr>
        <w:t>3.2. Базовые элементы аналоговых структурных схем</w:t>
      </w:r>
    </w:p>
    <w:p>
      <w:pPr>
        <w:spacing w:before="0" w:after="80" w:line="276" w:lineRule="auto"/>
      </w:pPr>
      <w:r>
        <w:rPr>
          <w:color w:val="222222"/>
        </w:rPr>
        <w:t>Аналоговая модель формируется строго из трех типов компонентов: интегратор (понижает порядок производной, его выход принимается за координату состояния), сумматор (алгебраическое суммирование сигналов с учетом знака) и масштабирующий усилитель (умножение на постоянный коэффициент). Идеальные дифференциаторы исключаются.</w:t>
      </w:r>
    </w:p>
    <w:p>
      <w:pPr>
        <w:keepNext/>
        <w:spacing w:before="200" w:after="40"/>
      </w:pPr>
      <w:r>
        <w:rPr>
          <w:b/>
          <w:color w:val="2E75B6"/>
          <w:sz w:val="23"/>
        </w:rPr>
        <w:t>3.3. Канонические формы матриц состояния</w:t>
      </w:r>
    </w:p>
    <w:p>
      <w:pPr>
        <w:spacing w:before="0" w:after="80" w:line="276" w:lineRule="auto"/>
        <w:ind w:left="288"/>
      </w:pPr>
      <w:r>
        <w:rPr>
          <w:b/>
          <w:color w:val="1F4E79"/>
        </w:rPr>
        <w:t xml:space="preserve">• </w:t>
      </w:r>
      <w:r>
        <w:rPr>
          <w:color w:val="222222"/>
        </w:rPr>
        <w:t>Диагональная форма Жордана: на главной диагонали стоят собственные значения λi. Все уравнения независимы.</w:t>
      </w:r>
    </w:p>
    <w:p>
      <w:pPr>
        <w:spacing w:before="0" w:after="80" w:line="276" w:lineRule="auto"/>
        <w:ind w:left="288"/>
      </w:pPr>
      <w:r>
        <w:rPr>
          <w:b/>
          <w:color w:val="1F4E79"/>
        </w:rPr>
        <w:t xml:space="preserve">• </w:t>
      </w:r>
      <w:r>
        <w:rPr>
          <w:color w:val="222222"/>
        </w:rPr>
        <w:t>Сопровождающая матрица Фробениуса: над главной диагональю расположены единицы, в последней строке находятся коэффициенты характеристического полинома с обратным знаком:</w:t>
      </w:r>
    </w:p>
    <w:p>
      <w:pPr>
        <w:spacing w:before="60" w:after="80"/>
        <w:jc w:val="center"/>
      </w:pPr>
      <m:oMathPara>
        <m:oMath xmlns:mml="http://www.w3.org/1998/Math/MathML">
          <m:r>
            <m:t>A=(</m:t>
          </m:r>
          <m:m>
            <m:mPr>
              <m:baseJc m:val="center"/>
              <m:plcHide m:val="on"/>
              <m:mcs>
                <m:mc>
                  <m:mcPr>
                    <m:count m:val="5"/>
                    <m:mcJc m:val="center"/>
                  </m:mcPr>
                </m:mc>
              </m:mcs>
            </m:mPr>
            <m:mr>
              <m:e>
                <m:r>
                  <m:t>0</m:t>
                </m:r>
              </m:e>
              <m:e>
                <m:r>
                  <m:t>1</m:t>
                </m:r>
              </m:e>
              <m:e>
                <m:r>
                  <m:t>0</m:t>
                </m:r>
              </m:e>
              <m:e>
                <m:r>
                  <m:t>…</m:t>
                </m:r>
              </m:e>
              <m:e>
                <m:r>
                  <m:t>0</m:t>
                </m:r>
              </m:e>
            </m:mr>
            <m:mr>
              <m:e>
                <m:r>
                  <m:t>0</m:t>
                </m:r>
              </m:e>
              <m:e>
                <m:r>
                  <m:t>0</m:t>
                </m:r>
              </m:e>
              <m:e>
                <m:r>
                  <m:t>1</m:t>
                </m:r>
              </m:e>
              <m:e>
                <m:r>
                  <m:t>…</m:t>
                </m:r>
              </m:e>
              <m:e>
                <m:r>
                  <m:t>0</m:t>
                </m:r>
              </m:e>
            </m:mr>
            <m:mr>
              <m:e>
                <m:r>
                  <m:t>⋮</m:t>
                </m:r>
              </m:e>
              <m:e>
                <m:r>
                  <m:t>⋮</m:t>
                </m:r>
              </m:e>
              <m:e>
                <m:r>
                  <m:t>⋮</m:t>
                </m:r>
              </m:e>
              <m:e>
                <m:r>
                  <m:t>⋱</m:t>
                </m:r>
              </m:e>
              <m:e>
                <m:r>
                  <m:t>⋮</m:t>
                </m:r>
              </m:e>
            </m:mr>
            <m:mr>
              <m:e>
                <m: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e>
              <m:e>
                <m: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e>
              <m:e>
                <m: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2</m:t>
                    </m:r>
                  </m:sub>
                </m:sSub>
              </m:e>
              <m:e>
                <m:r>
                  <m:t>…</m:t>
                </m:r>
              </m:e>
              <m:e>
                <m: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n−1</m:t>
                    </m:r>
                  </m:sub>
                </m:sSub>
              </m:e>
            </m:mr>
          </m:m>
          <m:r>
            <m:t>)</m:t>
          </m:r>
        </m:oMath>
      </m:oMathPara>
    </w:p>
    <w:p>
      <w:pPr>
        <w:keepNext/>
        <w:spacing w:before="200" w:after="40"/>
      </w:pPr>
      <w:r>
        <w:rPr>
          <w:b/>
          <w:color w:val="2E75B6"/>
          <w:sz w:val="23"/>
        </w:rPr>
        <w:t>3.4. Переходная матрица состояния (матричная экспонента)</w:t>
      </w:r>
    </w:p>
    <w:p>
      <w:pPr>
        <w:spacing w:before="0" w:after="80" w:line="276" w:lineRule="auto"/>
      </w:pPr>
      <w:r>
        <w:rPr>
          <w:color w:val="222222"/>
        </w:rPr>
        <w:t>Переходная матрица состояния Φ(t) = exp(At) описывает свободное движение системы из начального состояния x(0) при отсутствии входа:</w:t>
      </w:r>
    </w:p>
    <w:p>
      <w:pPr>
        <w:spacing w:before="60" w:after="80"/>
        <w:jc w:val="center"/>
      </w:pPr>
      <m:oMathPara>
        <m:oMath xmlns:mml="http://www.w3.org/1998/Math/MathML">
          <m:sSub>
            <m:e>
              <m:r>
                <m:t>x</m:t>
              </m:r>
            </m:e>
            <m:sub>
              <m:r>
                <m:t>св</m:t>
              </m:r>
            </m:sub>
          </m:sSub>
          <m:r>
            <m:t>(t)=Φ(t)x(0)=</m:t>
          </m:r>
          <m:sSup>
            <m:e>
              <m:r>
                <m:t>e</m:t>
              </m:r>
            </m:e>
            <m:sup>
              <m:r>
                <m:t>At</m:t>
              </m:r>
            </m:sup>
          </m:sSup>
          <m:r>
            <m:t>x(0)</m:t>
          </m:r>
        </m:oMath>
      </m:oMathPara>
    </w:p>
    <w:p>
      <w:pPr>
        <w:spacing w:before="0" w:after="80" w:line="276" w:lineRule="auto"/>
      </w:pPr>
      <w:r>
        <w:rPr>
          <w:color w:val="222222"/>
        </w:rPr>
        <w:t>Нахождение через операторную резольвенту (обратное преобразование Лапласа):</w:t>
      </w:r>
    </w:p>
    <w:p>
      <w:pPr>
        <w:spacing w:before="60" w:after="80"/>
        <w:jc w:val="center"/>
      </w:pPr>
      <m:oMathPara>
        <m:oMath xmlns:mml="http://www.w3.org/1998/Math/MathML">
          <m:r>
            <m:t>Φ(t)=</m:t>
          </m:r>
          <m:sSup>
            <m:e>
              <m:r>
                <m:t>ℒ</m:t>
              </m:r>
            </m:e>
            <m:sup>
              <m:r>
                <m:t>−1</m:t>
              </m:r>
            </m:sup>
          </m:sSup>
          <m:r>
            <m:t>{(sI−A</m:t>
          </m:r>
          <m:sSup>
            <m:e>
              <m:r>
                <m:t>)</m:t>
              </m:r>
            </m:e>
            <m:sup>
              <m:r>
                <m:t>−1</m:t>
              </m:r>
            </m:sup>
          </m:sSup>
          <m:r>
            <m:t>}</m:t>
          </m:r>
        </m:oMath>
      </m:oMathPara>
    </w:p>
    <w:p>
      <w:pPr>
        <w:spacing w:before="0" w:after="80" w:line="276" w:lineRule="auto"/>
      </w:pPr>
      <w:r>
        <w:rPr>
          <w:color w:val="222222"/>
        </w:rPr>
        <w:t>Базовые свойства: Φ(0) = I (единичная матрица); dΦ(t)/dt = A*Φ(t) = Φ(t)*A; Φ(t1 + t2) = Φ(t1)*Φ(t2); Φ(-t) = inv(Φ(t)).</w:t>
      </w:r>
    </w:p>
    <w:p>
      <w:pPr>
        <w:keepNext/>
        <w:spacing w:before="200" w:after="40"/>
      </w:pPr>
      <w:r>
        <w:rPr>
          <w:b/>
          <w:color w:val="2E75B6"/>
          <w:sz w:val="23"/>
        </w:rPr>
        <w:t>3.5. Управляемость и наблюдаемость по Калману</w:t>
      </w:r>
    </w:p>
    <w:p>
      <w:pPr>
        <w:spacing w:before="0" w:after="80" w:line="276" w:lineRule="auto"/>
      </w:pPr>
      <w:r>
        <w:rPr>
          <w:color w:val="222222"/>
        </w:rPr>
        <w:t>Управляемость: возможность перевести систему из любого начального состояния в любое конечное за конечное время. Критерий Калмана: матрица управляемости U должна иметь полный ранг n:</w:t>
      </w:r>
    </w:p>
    <w:p>
      <w:pPr>
        <w:spacing w:before="60" w:after="80"/>
        <w:jc w:val="center"/>
      </w:pPr>
      <m:oMathPara>
        <m:oMath xmlns:mml="http://www.w3.org/1998/Math/MathML">
          <m:r>
            <m:t>U=(</m:t>
          </m:r>
          <m:m>
            <m:mPr>
              <m:baseJc m:val="center"/>
              <m:plcHide m:val="on"/>
              <m:mcs>
                <m:mc>
                  <m:mcPr>
                    <m:count m:val="5"/>
                    <m:mcJc m:val="center"/>
                  </m:mcPr>
                </m:mc>
              </m:mcs>
            </m:mPr>
            <m:mr>
              <m:e>
                <m:r>
                  <m:t>B</m:t>
                </m:r>
              </m:e>
              <m:e>
                <m:r>
                  <m:t>AB</m:t>
                </m:r>
              </m:e>
              <m:e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t>B</m:t>
                </m:r>
              </m:e>
              <m:e>
                <m:r>
                  <m:t>…</m:t>
                </m:r>
              </m:e>
              <m:e>
                <m:sSup>
                  <m:e>
                    <m:r>
                      <m:t>A</m:t>
                    </m:r>
                  </m:e>
                  <m:sup>
                    <m:r>
                      <m:t>n−1</m:t>
                    </m:r>
                  </m:sup>
                </m:sSup>
                <m:r>
                  <m:t>B</m:t>
                </m:r>
              </m:e>
            </m:mr>
          </m:m>
          <m:r>
            <m:t>),</m:t>
          </m:r>
          <m:r>
            <m:t>rank(U)=n</m:t>
          </m:r>
        </m:oMath>
      </m:oMathPara>
    </w:p>
    <w:p>
      <w:pPr>
        <w:spacing w:before="0" w:after="80" w:line="276" w:lineRule="auto"/>
      </w:pPr>
      <w:r>
        <w:rPr>
          <w:color w:val="222222"/>
        </w:rPr>
        <w:t>Наблюдаемость: возможность однозначно восстановить начальное состояние x(0) по измерениям выхода y(t). Критерий Калмана: матрица наблюдаемости V должна иметь полный ранг n:</w:t>
      </w:r>
    </w:p>
    <w:p>
      <w:pPr>
        <w:spacing w:before="60" w:after="80"/>
        <w:jc w:val="center"/>
      </w:pPr>
      <m:oMathPara>
        <m:oMath xmlns:mml="http://www.w3.org/1998/Math/MathML">
          <m:r>
            <m:t>V=(</m:t>
          </m:r>
          <m:eqArr>
            <m:e>
              <m:r>
                <m:t>C</m:t>
              </m:r>
            </m:e>
            <m:e>
              <m:r>
                <m:t>CA</m:t>
              </m:r>
            </m:e>
            <m:e>
              <m:r>
                <m:t>C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⋮</m:t>
              </m:r>
            </m:e>
            <m:e>
              <m:r>
                <m:t>C</m:t>
              </m:r>
              <m:sSup>
                <m:e>
                  <m:r>
                    <m:t>A</m:t>
                  </m:r>
                </m:e>
                <m:sup>
                  <m:r>
                    <m:t>n−1</m:t>
                  </m:r>
                </m:sup>
              </m:sSup>
            </m:e>
          </m:eqArr>
          <m:r>
            <m:t>),</m:t>
          </m:r>
          <m:r>
            <m:t>rank(V)=n</m:t>
          </m:r>
        </m:oMath>
      </m:oMathPara>
    </w:p>
    <w:p>
      <w:pPr>
        <w:keepNext/>
        <w:spacing w:before="200" w:after="40"/>
      </w:pPr>
      <w:r>
        <w:rPr>
          <w:b/>
          <w:color w:val="2E75B6"/>
          <w:sz w:val="23"/>
        </w:rPr>
        <w:t>3.6. Выбор шага дискретизации по времени</w:t>
      </w:r>
    </w:p>
    <w:p>
      <w:pPr>
        <w:spacing w:before="0" w:after="80" w:line="276" w:lineRule="auto"/>
      </w:pPr>
      <w:r>
        <w:rPr>
          <w:color w:val="222222"/>
        </w:rPr>
        <w:t>Теорема Котельникова-Шеннона: непрерывный сигнал с граничной частотой fmax может быть точно восстановлен по дискретным отсчетам, если частота дискретизации удовлетворяет условию fs &gt;= 2*fmax (частота Найквиста fN = 1 / (2*T0)):</w:t>
      </w:r>
    </w:p>
    <w:p>
      <w:pPr>
        <w:spacing w:before="60" w:after="80"/>
        <w:jc w:val="center"/>
      </w:pPr>
      <m:oMathPara>
        <m:oMath xmlns:mml="http://www.w3.org/1998/Math/MathML">
          <m:sSub>
            <m:e>
              <m:r>
                <m:t>f</m:t>
              </m:r>
            </m:e>
            <m:sub>
              <m:r>
                <m:t>s</m:t>
              </m:r>
            </m:sub>
          </m:sSub>
          <m:r>
            <m:t>≥2</m:t>
          </m:r>
          <m:sSub>
            <m:e>
              <m:r>
                <m:t>f</m:t>
              </m:r>
            </m:e>
            <m:sub>
              <m:r>
                <m:t>max</m:t>
              </m:r>
            </m:sub>
          </m:sSub>
          <m:r>
            <m:t>,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max</m:t>
                  </m:r>
                </m:sub>
              </m:sSub>
            </m:den>
          </m:f>
        </m:oMath>
      </m:oMathPara>
    </w:p>
    <w:p>
      <w:pPr>
        <w:spacing w:before="0" w:after="80" w:line="276" w:lineRule="auto"/>
      </w:pPr>
      <w:r>
        <w:rPr>
          <w:color w:val="222222"/>
        </w:rPr>
        <w:t>Инженерное правило для систем управления: шаг дискретизации выбирается с запасом относительно наименьшей постоянной времени системы Tmin:</w:t>
      </w:r>
    </w:p>
    <w:p>
      <w:pPr>
        <w:spacing w:before="60" w:after="80"/>
        <w:jc w:val="center"/>
      </w:pPr>
      <m:oMathPara>
        <m:oMath xmlns:mml="http://www.w3.org/1998/Math/MathML"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t>≤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min</m:t>
                  </m:r>
                </m:sub>
              </m:sSub>
            </m:num>
            <m:den>
              <m:r>
                <m:t>10…20</m:t>
              </m:r>
            </m:den>
          </m:f>
        </m:oMath>
      </m:oMathPara>
    </w:p>
    <w:p>
      <w:pPr>
        <w:keepNext/>
        <w:spacing w:before="280" w:after="80"/>
      </w:pPr>
      <w:r>
        <w:rPr>
          <w:b/>
          <w:color w:val="1F4E79"/>
          <w:sz w:val="26"/>
        </w:rPr>
        <w:t>4. Приложение. Ключевые слайды из лекционного курса</w:t>
      </w:r>
    </w:p>
    <w:p>
      <w:pPr>
        <w:spacing w:before="0" w:after="80" w:line="276" w:lineRule="auto"/>
      </w:pPr>
      <w:r>
        <w:rPr>
          <w:color w:val="222222"/>
        </w:rPr>
        <w:t>Ниже приведены фрагменты лекций кафедры для закрепления теоретического материала.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4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c4_p6_canonical_sche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4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i/>
          <w:color w:val="555555"/>
          <w:sz w:val="19"/>
        </w:rPr>
        <w:t>Рис. П.1. Структурная схема канонической формы (разложение на простые дроби)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41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c4_p7_canonical_prop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4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i/>
          <w:color w:val="555555"/>
          <w:sz w:val="19"/>
        </w:rPr>
        <w:t>Рис. П.2. Свойства канонической формы представления системы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41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c6_p6_resolv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4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i/>
          <w:color w:val="555555"/>
          <w:sz w:val="19"/>
        </w:rPr>
        <w:t>Рис. П.3. Резольвента матрицы состояния и решение уравнений в операторной форме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41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c6_p7_transition_matrix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4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i/>
          <w:color w:val="555555"/>
          <w:sz w:val="19"/>
        </w:rPr>
        <w:t>Рис. П.4. Определение и структура переходной матрицы состояния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41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c7_p7_controllabil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4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i/>
          <w:color w:val="555555"/>
          <w:sz w:val="19"/>
        </w:rPr>
        <w:t>Рис. П.5. Теорема об управляемости и матрица Калмана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41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c7_p9_observabilit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4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i/>
          <w:color w:val="555555"/>
          <w:sz w:val="19"/>
        </w:rPr>
        <w:t>Рис. П.6. Теорема о наблюдаемости и матрица Калмана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41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c8_p6_nyquist_kotelnikov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4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i/>
          <w:color w:val="555555"/>
          <w:sz w:val="19"/>
        </w:rPr>
        <w:t>Рис. П.7. Частота Найквиста и теорема Котельникова при дискретизации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