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Times New Roman" w:hAnsi="Times New Roman"/>
          <w:b/>
          <w:color w:val="000000"/>
          <w:sz w:val="19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 «МЭИ»</w:t>
      </w:r>
    </w:p>
    <w:p>
      <w:pPr>
        <w:spacing w:before="80" w:after="800" w:line="240" w:lineRule="auto"/>
        <w:jc w:val="center"/>
      </w:pPr>
      <w:r>
        <w:rPr>
          <w:rFonts w:ascii="Times New Roman" w:hAnsi="Times New Roman"/>
          <w:color w:val="000000"/>
          <w:sz w:val="21"/>
        </w:rPr>
        <w:t>Институт автоматики и вычислительной техники (АВТИ)</w:t>
        <w:br/>
        <w:t>Кафедра управления и информатики в технических системах (УИТ)</w:t>
      </w:r>
    </w:p>
    <w:p>
      <w:pPr>
        <w:spacing w:before="500" w:after="160" w:line="276" w:lineRule="auto"/>
        <w:jc w:val="center"/>
      </w:pPr>
      <w:r>
        <w:rPr>
          <w:rFonts w:ascii="Times New Roman" w:hAnsi="Times New Roman"/>
          <w:b/>
          <w:color w:val="000000"/>
          <w:sz w:val="30"/>
        </w:rPr>
        <w:t>ОТЧЕТ ПО ЛАБОРАТОРНОЙ РАБОТЕ № 2</w:t>
      </w:r>
    </w:p>
    <w:p>
      <w:pPr>
        <w:spacing w:before="0" w:after="160" w:line="276" w:lineRule="auto"/>
        <w:jc w:val="center"/>
      </w:pPr>
      <w:r>
        <w:rPr>
          <w:rFonts w:ascii="Times New Roman" w:hAnsi="Times New Roman"/>
          <w:b/>
          <w:color w:val="000000"/>
          <w:sz w:val="26"/>
        </w:rPr>
        <w:t>по курсу «Моделирование систем управления»</w:t>
        <w:br/>
        <w:t>«Моделирование многосвязных систем и исследование устойчивости линейных систем»</w:t>
      </w:r>
    </w:p>
    <w:p>
      <w:pPr>
        <w:spacing w:before="0" w:after="1400" w:line="276" w:lineRule="auto"/>
        <w:jc w:val="center"/>
      </w:pPr>
      <w:r>
        <w:rPr>
          <w:rFonts w:ascii="Times New Roman" w:hAnsi="Times New Roman"/>
          <w:color w:val="000000"/>
          <w:sz w:val="26"/>
        </w:rPr>
        <w:t>Вариант № 4</w:t>
      </w:r>
    </w:p>
    <w:p>
      <w:pPr>
        <w:spacing w:before="400" w:after="1600" w:line="276" w:lineRule="auto"/>
        <w:jc w:val="right"/>
      </w:pPr>
      <w:r>
        <w:rPr>
          <w:rFonts w:ascii="Times New Roman" w:hAnsi="Times New Roman"/>
          <w:color w:val="000000"/>
          <w:sz w:val="23"/>
        </w:rPr>
        <w:t>Выполнили:</w:t>
        <w:br/>
        <w:t>студенты группы И-03-23</w:t>
        <w:br/>
        <w:t>Грудинин К.С.</w:t>
        <w:br/>
        <w:t>Огарков Д.А.</w:t>
        <w:br/>
        <w:br/>
        <w:t>Проверил:</w:t>
        <w:br/>
        <w:t>доцент кафедры УИТ, к.т.н.</w:t>
        <w:br/>
        <w:t>Васильев А.А.</w:t>
      </w:r>
    </w:p>
    <w:p>
      <w:pPr>
        <w:spacing w:after="0"/>
        <w:jc w:val="center"/>
      </w:pPr>
      <w:r>
        <w:rPr>
          <w:rFonts w:ascii="Times New Roman" w:hAnsi="Times New Roman"/>
          <w:color w:val="000000"/>
          <w:sz w:val="23"/>
        </w:rPr>
        <w:t>Москва, 2026 г.</w:t>
      </w:r>
    </w:p>
    <w:p>
      <w:r>
        <w:br w:type="page"/>
      </w:r>
    </w:p>
    <w:p>
      <w:pPr>
        <w:keepNext/>
        <w:spacing w:before="180" w:after="80" w:line="276" w:lineRule="auto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Освоение методов моделирования многосвязных динамических систем в среде SimInTech, построение математических моделей в форме Коши и канонической форме Жордана, а также исследование устойчивости замкнутых контуров аналитическими и частотными методами.</w:t>
      </w:r>
    </w:p>
    <w:p>
      <w:pPr>
        <w:keepNext/>
        <w:spacing w:before="180" w:after="80" w:line="276" w:lineRule="auto"/>
        <w:ind w:firstLine="0"/>
      </w:pPr>
      <w:r>
        <w:rPr>
          <w:rFonts w:ascii="Times New Roman" w:hAnsi="Times New Roman"/>
          <w:b/>
          <w:color w:val="000000"/>
          <w:sz w:val="26"/>
        </w:rPr>
        <w:t>2. Исходные данные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Параметры многосвязной системы и неминимально-фазового звена для Варианта № 4 (Таблицы 2.1 и 2.2 методических указаний):</w:t>
      </w:r>
    </w:p>
    <w:p>
      <w:pPr>
        <w:spacing w:before="0" w:after="60" w:line="276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Таблица 1 — Параметры звеньев многосвязной системы (Вариант 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000000"/>
          <w:insideV w:val="single" w:sz="4" w:space="0" w:color="000000"/>
          <w:left w:val="single" w:sz="6" w:space="0" w:color="000000"/>
          <w:right w:val="single" w:sz="6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T₁, с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T₂, с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k₁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k₂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k₃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k₄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a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</w:t>
            </w:r>
          </w:p>
        </w:tc>
      </w:tr>
      <w:tr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0.10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0.25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3.5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1.2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5.0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1.8</w:t>
            </w:r>
          </w:p>
        </w:tc>
      </w:tr>
    </w:tbl>
    <w:p>
      <w:pPr>
        <w:spacing w:after="40"/>
      </w:pPr>
    </w:p>
    <w:p>
      <w:pPr>
        <w:spacing w:before="0" w:after="60" w:line="276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Таблица 2 — Параметры неминимально-фазового звена (Вариант 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000000"/>
          <w:insideV w:val="single" w:sz="4" w:space="0" w:color="000000"/>
          <w:left w:val="single" w:sz="6" w:space="0" w:color="000000"/>
          <w:right w:val="single" w:sz="6" w:space="0" w:color="000000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 времени T₁, с</w:t>
            </w:r>
          </w:p>
        </w:tc>
        <w:tc>
          <w:tcPr>
            <w:tcW w:type="dxa" w:w="468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 времени T₂, с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0.16</w:t>
            </w:r>
          </w:p>
        </w:tc>
        <w:tc>
          <w:tcPr>
            <w:tcW w:type="dxa" w:w="468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2.50</w:t>
            </w:r>
          </w:p>
        </w:tc>
      </w:tr>
    </w:tbl>
    <w:p>
      <w:pPr>
        <w:keepNext/>
        <w:spacing w:before="180" w:after="80" w:line="276" w:lineRule="auto"/>
        <w:ind w:firstLine="0"/>
      </w:pPr>
      <w:r>
        <w:rPr>
          <w:rFonts w:ascii="Times New Roman" w:hAnsi="Times New Roman"/>
          <w:b/>
          <w:color w:val="000000"/>
          <w:sz w:val="26"/>
        </w:rPr>
        <w:t>3. Теоретический расчет и математическое описание объекта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3.1. Уравнения состояния многосвязной системы и метод уравнения замыкания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Объект представляет собой многосвязную систему пятого порядка с двумя входами u₁, u₂ и двумя выходами y₁, y₂. Передаточные функции отдельных звеньев имеют вид:</w:t>
      </w:r>
    </w:p>
    <w:p>
      <w:pPr>
        <w:spacing w:before="60" w:after="80" w:line="240" w:lineRule="auto"/>
        <w:ind w:firstLine="0"/>
        <w:jc w:val="center"/>
      </w:pPr>
      <m:oMathPara>
        <m:oMath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3.5</m:t>
              </m:r>
            </m:num>
            <m:den>
              <m:r>
                <w:rPr>
                  <w:rFonts w:ascii="Times New Roman" w:hAnsi="Times New Roman"/>
                </w:rPr>
                <m:t>0.1 p + 1</m:t>
              </m:r>
            </m:den>
          </m:f>
          <m:r>
            <w:rPr>
              <w:rFonts w:ascii="Times New Roman" w:hAnsi="Times New Roman"/>
            </w:rPr>
            <m:t>,   </m:t>
          </m:r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0.6</m:t>
              </m:r>
            </m:num>
            <m:den>
              <m:r>
                <w:rPr>
                  <w:rFonts w:ascii="Times New Roman" w:hAnsi="Times New Roman"/>
                </w:rPr>
                <m:t>p</m:t>
              </m:r>
            </m:den>
          </m:f>
          <m:r>
            <w:rPr>
              <w:rFonts w:ascii="Times New Roman" w:hAnsi="Times New Roman"/>
            </w:rPr>
            <m:t>,   </m:t>
          </m:r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3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1.2 p</m:t>
              </m:r>
            </m:num>
            <m:den>
              <m:r>
                <w:rPr>
                  <w:rFonts w:ascii="Times New Roman" w:hAnsi="Times New Roman"/>
                </w:rPr>
                <m:t>0.25 p + 1</m:t>
              </m:r>
            </m:den>
          </m:f>
          <m:r>
            <w:rPr>
              <w:rFonts w:ascii="Times New Roman" w:hAnsi="Times New Roman"/>
            </w:rPr>
            <m:t>,   </m:t>
          </m:r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4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3.0</m:t>
              </m:r>
            </m:num>
            <m:den>
              <m:sSup>
                <m:sSupPr/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> + 5.0 p + 1.8</m:t>
              </m:r>
            </m:den>
          </m:f>
        </m:oMath>
      </m:oMathPara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Вывод дифференциальных уравнений звеньев и исключение идеального дифференцирования: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Звено 1 (апериодическое): 0.1 ẏ_W1 + y_W1 = 3.5 u₁. Переменная состояния x₁ = y_W1: ẋ₁ = -10 x₁ + 35 u₁.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Звено 2 (интегратор): x₂ = y_W2. На вход поступает x₁ + u₂, откуда: ẋ₂ = 0.6 x₁ + 0.6 u₂.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Звено 3 (дифференцирующее): уравнение 0.25 ẏ₂ + y₂ = 1.2 u̇₁ содержит производную входа. Применяем метод уравнения замыкания: собираем слагаемые под общую производную d/dt [y₂ - 4.8 u₁] = -4 y₂. Вводя переменную состояния x₃ = y₂ - 4.8 u₁, получаем уравнение Коши ẋ₃ = -4 x₃ - 19.2 u₁, а выходной сигнал выражается безынерционно: y₂ = x₃ + 4.8 u₁.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Звено 4 (колебательное): ÿ_W4 + 5 ẏ_W4 + 1.8 y_W4 = 3 y₂. Вводя переменные x₅ = y_W4, x₄ = ẋ₅ и подставляя y₂, находим: ẋ₄ = 3 x₃ - 5 x₄ - 1.8 x₅ + 14.4 u₁,   ẋ₅ = x₄.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Система уравнений состояния в нормальной форме Коши и уравнения выходов:</w:t>
      </w:r>
    </w:p>
    <w:p>
      <w:pPr>
        <w:spacing w:before="60" w:after="80" w:line="240" w:lineRule="auto"/>
        <w:ind w:firstLine="0"/>
        <w:jc w:val="center"/>
      </w:pPr>
      <m:oMathPara>
        <m:oMath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</m:mPr>
                <m:mr>
                  <m:e>
                    <m:acc>
                      <m:accPr>
                        <m:chr m:val="."/>
                      </m:accPr>
                      <m:e>
                        <m:sSub>
                          <m:sSubPr/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> = -10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+ 35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</m:accPr>
                      <m:e>
                        <m:sSub>
                          <m:sSubPr/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> = 0.6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+ 0.6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</m:accPr>
                      <m:e>
                        <m:sSub>
                          <m:sSubPr/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> = -4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- 19.2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</m:accPr>
                      <m:e>
                        <m:sSub>
                          <m:sSubPr/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> = 3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- 5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- 1.8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+ 14.4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</m:accPr>
                      <m:e>
                        <m:sSub>
                          <m:sSubPr/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> =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>       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</m:mPr>
                <m:mr>
                  <m:e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=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+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=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> + 4.8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3.2. Матричная форма уравнений состояния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матричном виде ẋ(t) = A x(t) + B u(t),  y(t) = C x(t) + D u(t):</w:t>
      </w:r>
    </w:p>
    <w:p>
      <w:pPr>
        <w:spacing w:before="60" w:after="80" w:line="240" w:lineRule="auto"/>
        <w:ind w:firstLine="0"/>
        <w:jc w:val="center"/>
      </w:pPr>
      <m:oMathPara>
        <m:oMath>
          <m:r>
            <w:rPr>
              <w:rFonts w:ascii="Times New Roman" w:hAnsi="Times New Roman"/>
              <w:b/>
            </w:rPr>
            <m:t>A</m:t>
          </m:r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-10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3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-1.8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   </m:t>
          </m:r>
          <m:r>
            <w:rPr>
              <w:rFonts w:ascii="Times New Roman" w:hAnsi="Times New Roman"/>
              <w:b/>
            </w:rPr>
            <m:t>B</m:t>
          </m:r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35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-19.2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14.4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>
      <w:pPr>
        <w:spacing w:before="60" w:after="80" w:line="240" w:lineRule="auto"/>
        <w:ind w:firstLine="0"/>
        <w:jc w:val="center"/>
      </w:pPr>
      <m:oMathPara>
        <m:oMath>
          <m:r>
            <w:rPr>
              <w:rFonts w:ascii="Times New Roman" w:hAnsi="Times New Roman"/>
              <w:b/>
            </w:rPr>
            <m:t>C</m:t>
          </m:r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       </m:t>
          </m:r>
          <m:r>
            <w:rPr>
              <w:rFonts w:ascii="Times New Roman" w:hAnsi="Times New Roman"/>
              <w:b/>
            </w:rPr>
            <m:t>D</m:t>
          </m:r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4.8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3.3. Каноническая форма Жордана для неминимально-фазового звена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Передаточная функция неминимально-фазового звена при T₁ = 0.16 с, T₂ = 2.50 с имеет вид:</w:t>
      </w:r>
    </w:p>
    <w:p>
      <w:pPr>
        <w:spacing w:before="60" w:after="80" w:line="240" w:lineRule="auto"/>
        <w:ind w:firstLine="0"/>
        <w:jc w:val="center"/>
      </w:pPr>
      <m:oMathPara>
        <m:oMath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раз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1 + 0.08 p</m:t>
                  </m:r>
                </m:e>
              </m:d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1 + 2.5 p</m:t>
                  </m:r>
                </m:e>
              </m:d>
            </m:den>
          </m:f>
        </m:oMath>
      </m:oMathPara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Полюса системы: λ₁ = -1/0.08 = -12.5 с⁻¹, λ₂ = -1/2.5 = -0.4 с⁻¹. Разложение на сумму простых дробей методом вычетов Хевисайда:</w:t>
      </w:r>
    </w:p>
    <w:p>
      <w:pPr>
        <w:spacing w:before="60" w:after="80" w:line="240" w:lineRule="auto"/>
        <w:ind w:firstLine="0"/>
        <w:jc w:val="center"/>
      </w:pPr>
      <m:oMathPara>
        <m:oMath>
          <m:sSub>
            <m:sSubPr/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r>
            <w:rPr>
              <w:rFonts w:ascii="Times New Roman" w:hAnsi="Times New Roman"/>
            </w:rPr>
            <m:t> = </m:t>
          </m:r>
          <m:f>
            <m:fPr/>
            <m:num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-0.8 · (-12.5)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-12.5 + 0.4</m:t>
              </m:r>
            </m:den>
          </m:f>
          <m:r>
            <w:rPr>
              <w:rFonts w:ascii="Times New Roman" w:hAnsi="Times New Roman"/>
            </w:rPr>
            <m:t> = -</m:t>
          </m:r>
          <m:f>
            <m:fPr/>
            <m:num>
              <m:r>
                <w:rPr>
                  <w:rFonts w:ascii="Times New Roman" w:hAnsi="Times New Roman"/>
                </w:rPr>
                <m:t>150</m:t>
              </m:r>
            </m:num>
            <m:den>
              <m:r>
                <w:rPr>
                  <w:rFonts w:ascii="Times New Roman" w:hAnsi="Times New Roman"/>
                </w:rPr>
                <m:t>121</m:t>
              </m:r>
            </m:den>
          </m:f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> ≈ -1.23967 </m:t>
          </m:r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>,     </m:t>
          </m:r>
          <m:sSub>
            <m:sSubPr/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r>
            <w:rPr>
              <w:rFonts w:ascii="Times New Roman" w:hAnsi="Times New Roman"/>
            </w:rPr>
            <m:t> = </m:t>
          </m:r>
          <m:f>
            <m:fPr/>
            <m:num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-0.8 · (-0.4)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-0.4 + 12.5</m:t>
              </m:r>
            </m:den>
          </m:f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266</m:t>
              </m:r>
            </m:num>
            <m:den>
              <m:r>
                <w:rPr>
                  <w:rFonts w:ascii="Times New Roman" w:hAnsi="Times New Roman"/>
                </w:rPr>
                <m:t>605</m:t>
              </m:r>
            </m:den>
          </m:f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> ≈ 0.43967 </m:t>
          </m:r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</m:oMath>
      </m:oMathPara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Матрицы канонического представления Жордана ż = Λ z + B_кан u,  y = C_кан z:</w:t>
      </w:r>
    </w:p>
    <w:p>
      <w:pPr>
        <w:spacing w:before="60" w:after="80" w:line="240" w:lineRule="auto"/>
        <w:ind w:firstLine="0"/>
        <w:jc w:val="center"/>
      </w:pPr>
      <m:oMathPara>
        <m:oMath>
          <m:r>
            <w:rPr>
              <w:rFonts w:ascii="Times New Roman" w:hAnsi="Times New Roman"/>
              <w:b/>
            </w:rPr>
            <m:t>Λ</m:t>
          </m:r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-12.5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-0.4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</m:t>
          </m:r>
          <m:sSub>
            <m:sSubPr/>
            <m:e>
              <m:r>
                <w:rPr>
                  <w:rFonts w:ascii="Times New Roman" w:hAnsi="Times New Roman"/>
                  <w:b/>
                </w:rPr>
                <m:t>B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-1.23967 ·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0.43967 · </m:t>
                    </m:r>
                    <m:sSub>
                      <m:sSubPr/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>,   </m:t>
          </m:r>
          <m:sSub>
            <m:sSubPr/>
            <m:e>
              <m:r>
                <w:rPr>
                  <w:rFonts w:ascii="Times New Roman" w:hAnsi="Times New Roman"/>
                  <w:b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> = </m:t>
          </m:r>
          <m:d>
            <m:dPr>
              <m:begChr m:val="["/>
              <m:endChr m:val="]"/>
              <m:grow/>
            </m:dPr>
            <m:e>
              <m:m>
                <m:mPr>
                  <m:baseJc m:val="center"/>
                </m:mPr>
                <m:mr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D = 0</m:t>
          </m:r>
        </m:oMath>
      </m:oMathPara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3.4. Расчет предельного коэффициента усиления k_пред по критерию Гурвица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Передаточная функция замкнутой системы с единичной отрицательной обратной связью:</w:t>
      </w:r>
    </w:p>
    <w:p>
      <w:pPr>
        <w:spacing w:before="60" w:after="80" w:line="240" w:lineRule="auto"/>
        <w:ind w:firstLine="0"/>
        <w:jc w:val="center"/>
      </w:pPr>
      <m:oMathPara>
        <m:oMath>
          <m:sSub>
            <m:sSubPr/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зам</m:t>
              </m:r>
            </m:sub>
          </m:sSub>
          <m:d>
            <m:dPr>
              <m:begChr m:val="("/>
              <m:endChr m:val=")"/>
              <m:grow/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> = </m:t>
          </m:r>
          <m:f>
            <m:fPr/>
            <m:num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0.2 </m:t>
              </m:r>
              <m:sSup>
                <m:sSupPr/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> + (2.58 - 0.16 </m:t>
              </m:r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>) p + (1 + </m:t>
              </m:r>
              <m:sSub>
                <m:sSubPr/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>)</m:t>
              </m:r>
            </m:den>
          </m:f>
        </m:oMath>
      </m:oMathPara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По критерию Стодолы–Гурвица условие границы устойчивости соответствует равенству нулю коэффициента при p:</w:t>
      </w:r>
    </w:p>
    <w:p>
      <w:pPr>
        <w:spacing w:before="60" w:after="80" w:line="240" w:lineRule="auto"/>
        <w:ind w:firstLine="0"/>
        <w:jc w:val="center"/>
      </w:pPr>
      <m:oMathPara>
        <m:oMath>
          <m:r>
            <w:rPr>
              <w:rFonts w:ascii="Times New Roman" w:hAnsi="Times New Roman"/>
            </w:rPr>
            <m:t>2.58 - 0.16 </m:t>
          </m:r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> = 0   ⇒   </m:t>
          </m:r>
          <m:sSub>
            <m:sSubPr/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2.58</m:t>
              </m:r>
            </m:num>
            <m:den>
              <m:r>
                <w:rPr>
                  <w:rFonts w:ascii="Times New Roman" w:hAnsi="Times New Roman"/>
                </w:rPr>
                <m:t>0.16</m:t>
              </m:r>
            </m:den>
          </m:f>
          <m:r>
            <w:rPr>
              <w:rFonts w:ascii="Times New Roman" w:hAnsi="Times New Roman"/>
            </w:rPr>
            <m:t> = 16.125</m:t>
          </m:r>
        </m:oMath>
      </m:oMathPara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Частота и период незатухающих колебаний на границе устойчивости:</w:t>
      </w:r>
    </w:p>
    <w:p>
      <w:pPr>
        <w:spacing w:before="60" w:after="80" w:line="240" w:lineRule="auto"/>
        <w:ind w:firstLine="0"/>
        <w:jc w:val="center"/>
      </w:pPr>
      <m:oMathPara>
        <m:oMath>
          <m:sSub>
            <m:sSubPr/>
            <m:e>
              <m:r>
                <w:rPr>
                  <w:rFonts w:ascii="Times New Roman" w:hAnsi="Times New Roman"/>
                </w:rPr>
                <m:t>ω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> = </m:t>
          </m:r>
          <m:rad>
            <m:radPr>
              <m:degHide m:val="1"/>
            </m:radPr>
            <m:deg/>
            <m:e>
              <m:f>
                <m:fPr/>
                <m:num>
                  <m:r>
                    <w:rPr>
                      <w:rFonts w:ascii="Times New Roman" w:hAnsi="Times New Roman"/>
                    </w:rPr>
                    <m:t>17.125</m:t>
                  </m:r>
                </m:num>
                <m:den>
                  <m:r>
                    <w:rPr>
                      <w:rFonts w:ascii="Times New Roman" w:hAnsi="Times New Roman"/>
                    </w:rPr>
                    <m:t>0.2</m:t>
                  </m:r>
                </m:den>
              </m:f>
            </m:e>
          </m:rad>
          <m:r>
            <w:rPr>
              <w:rFonts w:ascii="Times New Roman" w:hAnsi="Times New Roman"/>
            </w:rPr>
            <m:t> ≈ 9.2534 рад/с,     </m:t>
          </m:r>
          <m:sSub>
            <m:sSubPr/>
            <m:e>
              <m:r>
                <w:rPr>
                  <w:rFonts w:ascii="Times New Roman" w:hAnsi="Times New Roman"/>
                </w:rPr>
                <m:t>T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> = </m:t>
          </m:r>
          <m:f>
            <m:fPr/>
            <m:num>
              <m:r>
                <w:rPr>
                  <w:rFonts w:ascii="Times New Roman" w:hAnsi="Times New Roman"/>
                </w:rPr>
                <m:t>2π</m:t>
              </m:r>
            </m:num>
            <m:den>
              <m:sSub>
                <m:sSubPr/>
                <m:e>
                  <m:r>
                    <w:rPr>
                      <w:rFonts w:ascii="Times New Roman" w:hAnsi="Times New Roman"/>
                    </w:rPr>
                    <m:t>ω</m:t>
                  </m:r>
                </m:e>
                <m:sub>
                  <m:r>
                    <w:rPr>
                      <w:rFonts w:ascii="Times New Roman" w:hAnsi="Times New Roman"/>
                    </w:rPr>
                    <m:t>0</m:t>
                  </m:r>
                </m:sub>
              </m:sSub>
            </m:den>
          </m:f>
          <m:r>
            <w:rPr>
              <w:rFonts w:ascii="Times New Roman" w:hAnsi="Times New Roman"/>
            </w:rPr>
            <m:t> ≈ 0.6789 с</m:t>
          </m:r>
        </m:oMath>
      </m:oMathPara>
    </w:p>
    <w:p>
      <w:pPr>
        <w:keepNext/>
        <w:spacing w:before="180" w:after="80" w:line="276" w:lineRule="auto"/>
        <w:ind w:firstLine="0"/>
      </w:pPr>
      <w:r>
        <w:rPr>
          <w:rFonts w:ascii="Times New Roman" w:hAnsi="Times New Roman"/>
          <w:b/>
          <w:color w:val="000000"/>
          <w:sz w:val="26"/>
        </w:rPr>
        <w:t>4. Экспериментальные исследования в среде SimInTech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4.1. Моделирование многосвязной системы на базе передаточных функций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среде SimInTech собрана структурная схема многосвязной системы на базе стандартных блоков передаточных функций (Рис. 1).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45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5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1. Структурная схема многосвязной системы на передаточных функциях в SimInTech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Переходные характеристики системы по выходам y₁(t) и y₂(t) при ступенчатом воздействии приведены на Рис. 2 и Рис. 3.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83280" cy="3077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07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2. Переходная характеристика многосвязной системы по выходу y₁(t)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83280" cy="17992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799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3. Переходная характеристика многосвязной системы по выходу y₂(t)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Анализ переходных процессов отражает динамику звеньев системы:</w:t>
        <w:br/>
        <w:t>• По выходу y₁(t) (Рис. 2) наблюдается монотонный линейный рост (при t = 10 с выход достигает ≈ 26). Это вызвано наличием в прямом канале идеального интегратора W₂(p) = 0.6/p. На его вход поступает постоянная сумма сигналов (установившееся значение со звена W₁ равно 3.5, плюс вход u₂), что при интегрировании дает наклонную прямую. Плавный начальный изгиб при t &lt; 0.5 с обусловлен динамикой апериодического звена W₁ и колебательного W₄.</w:t>
        <w:br/>
        <w:t>• По выходу y₂(t) (Рис. 3) проявляется реакция реального дифференциатора W₃(p) = 1.2p / (0.25p + 1) на скачок u₁. В момент t = 0 происходит безынерционный скачок величиной D₂₁ = k₃ / T₂ = 1.2 / 0.25 = 4.8. Затем выходной сигнал экспоненциально спадает до нуля по закону y₂(t) = 4.8 · e^(-4t) и затухает к t ≈ 1.5 с.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4.2. Моделирование многосвязной системы в пространстве состояний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Для верификации аналитической модели в форме Коши реализована параллельная схема с блоком «переменные состояния» (Рис. 4). Числовые матрицы A, B, C, D заданы в соответствии с расчетными значениями.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727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27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4. Схема параллельного моделирования на передаточных функциях и в пространстве состояний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Графики сопоставления выходов обеих моделей приведены на Рис. 5 и Рис. 6.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83280" cy="31381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13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5. Сопоставление выходов y₁(t) модели на ПФ и модели в пространстве состояний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1894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894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6. Сопоставление выходов y₂(t) модели на ПФ и модели в пространстве состояний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Выходные кривые обеих моделей полностью накладываются друг на друга без расхождения во всех точках времени. Это экспериментально подтверждает правильность составления уравнений состояния методом уравнения замыкания и расчета матриц Коши.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4.3. Исследование канонической модели неминимально-фазового звена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Схема параллельного моделирования неминимально-фазового звена в форме передаточной функции и в канонической форме Жордана представлена на Рис. 7.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3773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77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7. Схема параллельного моделирования неминимально-фазового звена в двух формах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Переходные характеристики объекта приведены на Рис. 8.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733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73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8. Переходная характеристика неминимально-фазового звена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На графике четко зафиксирован начальный отрицательный провал выходной величины (диапазон t ∈ [0; 0.2] с), обусловленный наличием положительного нуля z₁ = +6.25 с⁻¹ в числителе передаточной функции. Выходы схемы на ПФ и канонической модели Жордана полностью совпали.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4.4. Исследование устойчивости замкнутой системы при изменении коэффициента усиления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Схема замкнутой системы с единичной отрицательной обратной связью приведена на Рис. 9.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17398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73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9. Структурная схема замкнутой системы с единичной отрицательной обратной связью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Моделирование переходных процессов при отклонении коэффициента усиления в обе стороны от расчетного предельного значения k_пред = 16.125 показано на Рис. 10 и Рис. 11: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2444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4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10. Переходный процесс замкнутой системы при K = 14 &lt; k_пред (устойчивое состояние)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2400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11. Переходный процесс замкнутой системы при K = 18 &gt; k_пред (неустойчивое состояние)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При K = 14 &lt; k_пред в системе наблюдаются затухающие колебания с выходом на установившийся уровень (система устойчива). При K = 18 &gt; k_пред амплитуда колебаний неограниченно возрастает во времени, что подтверждает потерю устойчивости.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4.5. Исследование границы устойчивости при различных параметрах объекта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По п. 5 программы исследований выполнено моделирование границы устойчивости при варьировании постоянной времени T₂ (Рис. 12, Рис. 13).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4517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5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12. Автоколебания замкнутой системы на границе устойчивости при T₂ = 2.0 с (k_пред = 12.9)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4622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6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13. Автоколебания замкнутой системы на границе устойчивости при T₂ = 3.0 с (k_пред = 19.125)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обоих случаях в замкнутой системе устанавливаются незатухающие синусоидальные автоколебания постоянной амплитуды. Экспериментально найденные предельные значения коэффициента усиления (12.9 при T₂ = 2.0 с и 19.125 при T₂ = 3.0 с) с высокой точностью соответствуют аналитической формуле k_пред = 0.5 + T₂/T₁ (13.0 и 19.25 соответственно).</w:t>
      </w:r>
    </w:p>
    <w:p>
      <w:pPr>
        <w:keepNext/>
        <w:spacing w:before="140" w:after="60" w:line="276" w:lineRule="auto"/>
        <w:ind w:firstLine="0"/>
      </w:pPr>
      <w:r>
        <w:rPr>
          <w:rFonts w:ascii="Times New Roman" w:hAnsi="Times New Roman"/>
          <w:b/>
          <w:color w:val="000000"/>
          <w:sz w:val="24"/>
        </w:rPr>
        <w:t>4.6. Анализ устойчивости с использованием стандартных функций SimInTech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По п. 6 программы исследований устойчивость разомкнутой и замкнутой систем проанализирована частотными и спектральными блоками SimInTech (Рис. 14–17).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16328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14. Схема формирования частотных характеристик с блоком «Амплитуда и фаза»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20" cy="32630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26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15. Годограф Найквиста (АФХ) разомкнутой системы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89502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95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16. Схема спектральной идентификации с блоком N(s)/L(s)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807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80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ind w:firstLine="0"/>
        <w:jc w:val="center"/>
      </w:pPr>
      <w:r>
        <w:rPr>
          <w:rFonts w:ascii="Times New Roman" w:hAnsi="Times New Roman"/>
          <w:i/>
          <w:color w:val="000000"/>
          <w:sz w:val="21"/>
        </w:rPr>
        <w:t>Рис. 17. Результаты вычисления нулей, полюсов и матриц состояния системы в SimInTech</w:t>
      </w:r>
    </w:p>
    <w:p>
      <w:pPr>
        <w:spacing w:before="0" w:after="6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Годограф Найквиста (Рис. 15) при предельном коэффициенте усиления проходит вблизи критической точки (-1, j0). Блок идентификации (Рис. 17) зафиксировал правый нуль Zeros = +6.25 с⁻¹ (свойство неминимальной фазы) и чисто мнимые полюса Poluses = -0.04 ± 9.16j с⁻¹, что с точностью до шага совпадает с расчетной аналитической частотой автоколебаний ω₀ ≈ 9.25 рад/с.</w:t>
      </w:r>
    </w:p>
    <w:p>
      <w:pPr>
        <w:keepNext/>
        <w:spacing w:before="180" w:after="80" w:line="276" w:lineRule="auto"/>
        <w:ind w:firstLine="0"/>
      </w:pPr>
      <w:r>
        <w:rPr>
          <w:rFonts w:ascii="Times New Roman" w:hAnsi="Times New Roman"/>
          <w:b/>
          <w:color w:val="000000"/>
          <w:sz w:val="26"/>
        </w:rPr>
        <w:t>5. Выводы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1. В среде SimInTech построены и исследованы модели многосвязной системы пятого порядка на базе передаточных функций и в пространстве состояний.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2. Метод уравнения замыкания позволил исключить операцию дифференцирования входного сигнала u₁ в звене W₃(p), сформировав прямое безынерционное прохождение сигнала D₂₁ = 4.8.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3. Выходы моделей на передаточных функциях и в пространстве состояний полностью совпадают во всем временном интервале, подтверждая корректность аналитического вывода матриц Коши.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4. Для неминимально-фазового звена получена каноническая форма Жордана. Экспериментально зафиксирован начальный отрицательный провал характеристики («подныривание»), вызванный правым нулем передаточной функции z₁ = +6.25 с⁻¹.</w:t>
      </w:r>
    </w:p>
    <w:p>
      <w:pPr>
        <w:spacing w:before="0" w:after="40" w:line="276" w:lineRule="auto"/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5. Аналитический расчет предельного коэффициента усиления по критерию Стодолы–Гурвица (k_пред = 16.125) верифицирован численным моделированием: при K = 14 система устойчива, при K = 18 неустойчива, а на границе возникают незатухающие гармонические автоколебания. Результаты согласуются с частотным критерием Найквиста и спектральным анализом полюсов в SimInTech.</w:t>
      </w:r>
    </w:p>
    <w:sectPr w:rsidR="00FC693F" w:rsidRPr="0006063C" w:rsidSect="00034616">
      <w:footerReference w:type="default" r:id="rId9"/>
      <w:pgSz w:w="11909" w:h="16834"/>
      <w:pgMar w:top="1138" w:right="850" w:bottom="1138" w:left="169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0" w:lineRule="auto"/>
      <w:jc w:val="right"/>
    </w:pPr>
    <w:r>
      <w:rPr>
        <w:rFonts w:ascii="Times New Roman" w:hAnsi="Times New Roman"/>
        <w:color w:val="000000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