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A2B2" w14:textId="77777777" w:rsidR="00E34F88" w:rsidRPr="00C02EEA" w:rsidRDefault="00000000">
      <w:pPr>
        <w:spacing w:line="252" w:lineRule="auto"/>
        <w:jc w:val="center"/>
        <w:rPr>
          <w:lang w:val="ru-RU"/>
        </w:rPr>
      </w:pPr>
      <w:r w:rsidRPr="00C02EEA">
        <w:rPr>
          <w:b/>
          <w:lang w:val="ru-RU"/>
        </w:rPr>
        <w:t>МИНИСТЕРСТВО НАУКИ И ВЫСШЕГО ОБРАЗОВАНИЯ РОССИЙСКОЙ ФЕДЕРАЦИИ</w:t>
      </w:r>
      <w:r w:rsidRPr="00C02EEA">
        <w:rPr>
          <w:b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C02EEA">
        <w:rPr>
          <w:b/>
          <w:lang w:val="ru-RU"/>
        </w:rPr>
        <w:br/>
        <w:t>«НАЦИОНАЛЬНЫЙ ИССЛЕДОВАТЕЛЬСКИЙ УНИВЕРСИТЕТ «МЭИ»»</w:t>
      </w:r>
    </w:p>
    <w:p w14:paraId="15F16633" w14:textId="77777777" w:rsidR="00E34F88" w:rsidRPr="00C02EEA" w:rsidRDefault="00000000">
      <w:pPr>
        <w:spacing w:after="2100" w:line="264" w:lineRule="auto"/>
        <w:jc w:val="center"/>
        <w:rPr>
          <w:lang w:val="ru-RU"/>
        </w:rPr>
      </w:pPr>
      <w:r w:rsidRPr="00C02EEA">
        <w:rPr>
          <w:lang w:val="ru-RU"/>
        </w:rPr>
        <w:t>Институт информационных и вычислительных технологий (ИВТИ)</w:t>
      </w:r>
      <w:r w:rsidRPr="00C02EEA">
        <w:rPr>
          <w:lang w:val="ru-RU"/>
        </w:rPr>
        <w:br/>
        <w:t>Кафедра управления и интеллектуальных технологий (УИТ)</w:t>
      </w:r>
    </w:p>
    <w:p w14:paraId="68EA7CB4" w14:textId="77777777" w:rsidR="00E34F88" w:rsidRPr="00C02EEA" w:rsidRDefault="00000000">
      <w:pPr>
        <w:spacing w:after="120"/>
        <w:jc w:val="center"/>
        <w:rPr>
          <w:lang w:val="ru-RU"/>
        </w:rPr>
      </w:pPr>
      <w:r w:rsidRPr="00C02EEA">
        <w:rPr>
          <w:b/>
          <w:sz w:val="32"/>
          <w:lang w:val="ru-RU"/>
        </w:rPr>
        <w:t>ОТЧЕТ</w:t>
      </w:r>
      <w:r w:rsidRPr="00C02EEA">
        <w:rPr>
          <w:b/>
          <w:sz w:val="32"/>
          <w:lang w:val="ru-RU"/>
        </w:rPr>
        <w:br/>
        <w:t>ПО ЛАБОРАТОРНОЙ РАБОТЕ № 1</w:t>
      </w:r>
    </w:p>
    <w:p w14:paraId="06BEFEDA" w14:textId="77777777" w:rsidR="00E34F88" w:rsidRPr="00C02EEA" w:rsidRDefault="00000000">
      <w:pPr>
        <w:spacing w:after="120"/>
        <w:jc w:val="center"/>
        <w:rPr>
          <w:lang w:val="ru-RU"/>
        </w:rPr>
      </w:pPr>
      <w:r w:rsidRPr="00C02EEA">
        <w:rPr>
          <w:sz w:val="28"/>
          <w:lang w:val="ru-RU"/>
        </w:rPr>
        <w:t>по курсу «Теория автоматического управления, часть 2»</w:t>
      </w:r>
    </w:p>
    <w:p w14:paraId="3625AFBE" w14:textId="60FAAE22" w:rsidR="00963817" w:rsidRPr="00963817" w:rsidRDefault="00000000" w:rsidP="00963817">
      <w:pPr>
        <w:spacing w:after="160"/>
        <w:jc w:val="center"/>
        <w:rPr>
          <w:b/>
          <w:sz w:val="32"/>
          <w:szCs w:val="32"/>
          <w:lang w:val="ru-RU"/>
        </w:rPr>
      </w:pPr>
      <w:r w:rsidRPr="00C02EEA">
        <w:rPr>
          <w:b/>
          <w:sz w:val="32"/>
          <w:szCs w:val="32"/>
          <w:lang w:val="ru-RU"/>
        </w:rPr>
        <w:t>Тема: «Исследование импульсных систем автоматического управления»</w:t>
      </w:r>
    </w:p>
    <w:p w14:paraId="0897EF10" w14:textId="498A7BE4" w:rsidR="00E34F88" w:rsidRDefault="00963817" w:rsidP="00963817">
      <w:pPr>
        <w:spacing w:after="160"/>
        <w:jc w:val="center"/>
        <w:rPr>
          <w:b/>
          <w:sz w:val="28"/>
          <w:lang w:val="ru-RU"/>
        </w:rPr>
      </w:pPr>
      <w:r>
        <w:rPr>
          <w:sz w:val="32"/>
          <w:szCs w:val="32"/>
          <w:lang w:val="ru-RU"/>
        </w:rPr>
        <w:t>В</w:t>
      </w:r>
      <w:r w:rsidR="00000000" w:rsidRPr="00C02EEA">
        <w:rPr>
          <w:b/>
          <w:sz w:val="28"/>
          <w:lang w:val="ru-RU"/>
        </w:rPr>
        <w:t>ариант № 2</w:t>
      </w:r>
    </w:p>
    <w:p w14:paraId="7F184421" w14:textId="240CEEA1" w:rsidR="00963817" w:rsidRDefault="00963817" w:rsidP="00963817">
      <w:pPr>
        <w:spacing w:after="160"/>
        <w:jc w:val="center"/>
        <w:rPr>
          <w:sz w:val="32"/>
          <w:szCs w:val="32"/>
          <w:lang w:val="ru-RU"/>
        </w:rPr>
      </w:pPr>
    </w:p>
    <w:p w14:paraId="5E593104" w14:textId="77777777" w:rsidR="00963817" w:rsidRPr="00963817" w:rsidRDefault="00963817" w:rsidP="00963817">
      <w:pPr>
        <w:spacing w:after="160"/>
        <w:jc w:val="center"/>
        <w:rPr>
          <w:sz w:val="32"/>
          <w:szCs w:val="32"/>
          <w:lang w:val="ru-RU"/>
        </w:rPr>
      </w:pPr>
    </w:p>
    <w:p w14:paraId="644C9B90" w14:textId="163F90C0" w:rsidR="00963817" w:rsidRDefault="00000000" w:rsidP="00963817">
      <w:pPr>
        <w:spacing w:after="2300"/>
        <w:jc w:val="right"/>
        <w:rPr>
          <w:sz w:val="28"/>
          <w:lang w:val="ru-RU"/>
        </w:rPr>
      </w:pPr>
      <w:r w:rsidRPr="00C02EEA">
        <w:rPr>
          <w:sz w:val="28"/>
          <w:lang w:val="ru-RU"/>
        </w:rPr>
        <w:t>Выполнили: студенты группы А-03-23</w:t>
      </w:r>
      <w:r w:rsidRPr="00C02EEA">
        <w:rPr>
          <w:sz w:val="28"/>
          <w:lang w:val="ru-RU"/>
        </w:rPr>
        <w:br/>
        <w:t>Грудинин Е.К., Турханов А.К., Огарков И.А.</w:t>
      </w:r>
      <w:r w:rsidRPr="00C02EEA">
        <w:rPr>
          <w:sz w:val="28"/>
          <w:lang w:val="ru-RU"/>
        </w:rPr>
        <w:br/>
      </w:r>
      <w:r w:rsidRPr="00C02EEA">
        <w:rPr>
          <w:sz w:val="28"/>
          <w:lang w:val="ru-RU"/>
        </w:rPr>
        <w:br/>
        <w:t>Проверил: ассист. кафедры УИТ</w:t>
      </w:r>
      <w:r w:rsidRPr="00C02EEA">
        <w:rPr>
          <w:sz w:val="28"/>
          <w:lang w:val="ru-RU"/>
        </w:rPr>
        <w:br/>
        <w:t>Дементьев В.Ю.</w:t>
      </w:r>
    </w:p>
    <w:p w14:paraId="67FC5094" w14:textId="7A2B258D" w:rsidR="00E34F88" w:rsidRPr="00963817" w:rsidRDefault="00000000" w:rsidP="00963817">
      <w:pPr>
        <w:spacing w:after="2300"/>
        <w:jc w:val="center"/>
        <w:rPr>
          <w:lang w:val="ru-RU"/>
        </w:rPr>
      </w:pPr>
      <w:r w:rsidRPr="00963817">
        <w:rPr>
          <w:lang w:val="ru-RU"/>
        </w:rPr>
        <w:t>Москва, 2026 г.</w:t>
      </w:r>
    </w:p>
    <w:p w14:paraId="55AC3D25" w14:textId="77777777" w:rsidR="00395132" w:rsidRPr="00963817" w:rsidRDefault="00395132">
      <w:pPr>
        <w:rPr>
          <w:lang w:val="ru-RU"/>
        </w:rPr>
        <w:sectPr w:rsidR="00395132" w:rsidRPr="00963817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 w14:paraId="4BB28630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1 Цель работы и исходные данные</w:t>
      </w:r>
    </w:p>
    <w:p w14:paraId="1AD2BFCC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Цель работы — исследовать переходные процессы, установившуюся точность и устойчивость импульсной системы автоматического управления.</w:t>
      </w:r>
    </w:p>
    <w:p w14:paraId="2214BF37" w14:textId="02073B03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варианта 2 передаточная функция непрерывной части имеет вид:</w:t>
      </w:r>
    </w:p>
    <w:p w14:paraId="10F86D1C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н</m:t>
              </m:r>
            </m:sub>
          </m:sSub>
          <m:r>
            <m:t xml:space="preserve">(p) = </m:t>
          </m:r>
          <m:f>
            <m:num>
              <m:r>
                <m:t>0,4(1 + 7p)</m:t>
              </m:r>
            </m:num>
            <m:den>
              <m:r>
                <m:t>p(1 + 6p)</m:t>
              </m:r>
              <m:sSup>
                <m:e>
                  <m:r>
                    <m:t>(1 + p)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 xml:space="preserve"> = </m:t>
          </m:r>
          <m:f>
            <m:num>
              <m:r>
                <m:t>2,8p + 0,4</m:t>
              </m:r>
            </m:num>
            <m:den>
              <m:r>
                <m:t>6</m:t>
              </m:r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  <m:r>
                <m:t xml:space="preserve"> + 13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r>
                <m:t xml:space="preserve"> + 8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 xml:space="preserve"> + p</m:t>
              </m:r>
            </m:den>
          </m:f>
        </m:oMath>
      </m:oMathPara>
    </w:p>
    <w:p w14:paraId="257E93A1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 w:rsidRPr="00963817">
        <w:rPr>
          <w:b/>
          <w:sz w:val="22"/>
          <w:lang w:val="ru-RU"/>
        </w:rPr>
        <w:t>Таблица 1 — Исходные параметры и диапазоны изменения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032"/>
        <w:gridCol w:w="5328"/>
      </w:tblGrid>
      <w:tr w:rsidR="00963817" w14:paraId="193A0D8C" w14:textId="77777777">
        <w:trPr>
          <w:cantSplit/>
          <w:tblHeader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Величина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Значение</w:t>
            </w:r>
          </w:p>
        </w:tc>
      </w:tr>
      <w:tr w:rsidR="00963817" w:rsidRPr="00963817" w14:paraId="794A0076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Период квантования T,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0,015; 0,25; 0,4; 0,6; 0,75</w:t>
            </w:r>
          </w:p>
        </w:tc>
      </w:tr>
      <w:tr w:rsidR="00963817" w14:paraId="5679EB59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Постоянная времени T₁,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 (вариант 2); 6,5; 7,0; 7,5 (п. 2)</w:t>
            </w:r>
          </w:p>
        </w:tc>
      </w:tr>
      <w:tr w:rsidR="00963817" w14:paraId="149C3E31" w14:textId="77777777">
        <w:trPr>
          <w:cantSplit/>
          <w:jc w:val="center"/>
        </w:trPr>
        <w:tc>
          <w:tcPr>
            <w:tcW w:w="40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Постоянная времени T₂, с</w:t>
            </w:r>
          </w:p>
        </w:tc>
        <w:tc>
          <w:tcPr>
            <w:tcW w:w="5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6</w:t>
            </w:r>
          </w:p>
        </w:tc>
      </w:tr>
      <w:tr>
        <w:tc>
          <w:tcPr>
            <w:tcW w:type="dxa" w:w="4032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Постоянные времени двух звеньев, с</w:t>
            </w:r>
          </w:p>
        </w:tc>
        <w:tc>
          <w:tcPr>
            <w:tcW w:type="dxa" w:w="53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 каждое</w:t>
            </w:r>
          </w:p>
        </w:tc>
      </w:tr>
      <w:tr>
        <w:tc>
          <w:tcPr>
            <w:tcW w:type="dxa" w:w="4032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Коэффициент усиления K</w:t>
            </w:r>
          </w:p>
        </w:tc>
        <w:tc>
          <w:tcPr>
            <w:tcW w:type="dxa" w:w="5328"/>
            <w:vAlign w:val="center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0,4 (п. 1.1); изменяется в п. 2</w:t>
            </w:r>
          </w:p>
        </w:tc>
      </w:tr>
    </w:tbl>
    <w:p w14:paraId="48D3627B" w14:textId="77777777" w:rsidR="00395132" w:rsidRPr="00963817" w:rsidRDefault="00395132">
      <w:pPr>
        <w:spacing w:before="20" w:after="20" w:line="240" w:lineRule="auto"/>
        <w:ind w:firstLine="0"/>
        <w:rPr>
          <w:lang w:val="ru-RU"/>
        </w:rPr>
      </w:pPr>
    </w:p>
    <w:p w14:paraId="76EA300E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11427450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2 Модель импульсной системы</w:t>
      </w:r>
    </w:p>
    <w:p w14:paraId="3D74D1D7" w14:textId="77777777" w:rsidR="00395132" w:rsidRDefault="00000000">
      <w:pPr>
        <w:jc w:val="both"/>
      </w:pPr>
      <w:r>
        <w:rPr>
          <w:rFonts w:ascii="Times New Roman" w:hAnsi="Times New Roman"/>
          <w:color w:val="000000"/>
        </w:rPr>
        <w:t>Схема SimInTech включает непрерывную систему сравнения и импульсную систему с экстраполятором. Импульсный элемент формирует последовательность отсчётов с заданным периодом квантования.</w:t>
      </w:r>
    </w:p>
    <w:p w14:paraId="45A30876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13F70C4F" wp14:editId="07A000DA">
            <wp:extent cx="5486400" cy="25628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e_b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2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6B2A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 w:rsidRPr="00963817">
        <w:rPr>
          <w:sz w:val="22"/>
          <w:lang w:val="ru-RU"/>
        </w:rPr>
        <w:t xml:space="preserve">Рисунок 1 — Схема сравнения непрерывной и импульсной систем в </w:t>
      </w:r>
      <w:proofErr w:type="spellStart"/>
      <w:r>
        <w:rPr>
          <w:sz w:val="22"/>
        </w:rPr>
        <w:t>SimInTech</w:t>
      </w:r>
      <w:proofErr w:type="spellEnd"/>
    </w:p>
    <w:p w14:paraId="7E83EAFE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отрицательной единичной обратной связи:</w:t>
      </w:r>
    </w:p>
    <w:p w14:paraId="25DB1014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p>
            <m:e>
              <m:sSub>
                <m:e>
                  <m:r>
                    <m:t>W</m:t>
                  </m:r>
                </m:e>
                <m:sub>
                  <m:r>
                    <m:t>з</m:t>
                  </m:r>
                </m:sub>
              </m:sSub>
            </m:e>
            <m:sup>
              <m:r>
                <m:t>*</m:t>
              </m:r>
            </m:sup>
          </m:sSup>
          <m:r>
            <m:t xml:space="preserve">(p) = </m:t>
          </m:r>
          <m:f>
            <m:num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num>
            <m:den>
              <m:r>
                <m:t xml:space="preserve">1 + </m:t>
              </m:r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den>
          </m:f>
          <m:r>
            <m:t xml:space="preserve">;  </m:t>
          </m:r>
          <m:sSup>
            <m:e>
              <m:sSub>
                <m:e>
                  <m:r>
                    <m:t>W</m:t>
                  </m:r>
                </m:e>
                <m:sub>
                  <m:r>
                    <m:t>х</m:t>
                  </m:r>
                </m:sub>
              </m:sSub>
            </m:e>
            <m:sup>
              <m:r>
                <m:t>*</m:t>
              </m:r>
            </m:sup>
          </m:sSup>
          <m:r>
            <m:t xml:space="preserve">(p) = </m:t>
          </m:r>
          <m:f>
            <m:num>
              <m:r>
                <m:t>1</m:t>
              </m:r>
            </m:num>
            <m:den>
              <m:r>
                <m:t xml:space="preserve">1 + </m:t>
              </m:r>
              <m:s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р</m:t>
                      </m:r>
                    </m:sub>
                  </m:sSub>
                </m:e>
                <m:sup>
                  <m:r>
                    <m:t>*</m:t>
                  </m:r>
                </m:sup>
              </m:sSup>
              <m:r>
                <m:t>(p)</m:t>
              </m:r>
            </m:den>
          </m:f>
        </m:oMath>
      </m:oMathPara>
    </w:p>
    <w:p w14:paraId="6004A834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Разомкнутая дискретная передаточная функция определяется для цепи «импульсный элемент — формирователь — непрерывная часть»: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р</m:t>
              </m:r>
            </m:sub>
            <m:sup>
              <m:r>
                <m:t>*</m:t>
              </m:r>
            </m:sup>
          </m:sSubSup>
          <m:r>
            <m:t xml:space="preserve">(p) = 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{</m:t>
          </m:r>
          <m:sSub>
            <m:e>
              <m:r>
                <m:t>W</m:t>
              </m:r>
            </m:e>
            <m:sub>
              <m:r>
                <m:t>ф</m:t>
              </m:r>
            </m:sub>
          </m:sSub>
          <m:r>
            <m:t>(p)</m:t>
          </m:r>
          <m:sSub>
            <m:e>
              <m:r>
                <m:t>W</m:t>
              </m:r>
            </m:e>
            <m:sub>
              <m:r>
                <m:t>н</m:t>
              </m:r>
            </m:sub>
          </m:sSub>
          <m:r>
            <m:t>(p)}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Её коэффициенты зависят от периода квантования.</w:t>
      </w:r>
    </w:p>
    <w:p w14:paraId="2DB5C409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312E4B63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3 Исследование переходных процессов</w:t>
      </w:r>
    </w:p>
    <w:p w14:paraId="580EDEB1" w14:textId="6A9E6278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На рисунке 2 приведены переходные характеристики НСАУ и ИСАУ при периодах квантования 0,015 и 0,6 с. Штриховыми линиями показаны границы пяти процентов от установившегося значения.</w:t>
      </w:r>
    </w:p>
    <w:p w14:paraId="4D822250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204D6FFB" wp14:editId="55CDC048">
            <wp:extent cx="5486400" cy="3017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nsient_b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3420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Рисунок 2 — Переходные процессы при периодах квантования 0,015 и 0,6 с</w:t>
      </w:r>
    </w:p>
    <w:p w14:paraId="6FBB7A07" w14:textId="77777777" w:rsidR="00395132" w:rsidRDefault="00000000">
      <w:pPr>
        <w:keepNext/>
        <w:spacing w:before="100" w:after="60"/>
        <w:ind w:firstLine="0"/>
      </w:pPr>
      <w:proofErr w:type="spellStart"/>
      <w:r>
        <w:rPr>
          <w:b/>
          <w:sz w:val="22"/>
        </w:rPr>
        <w:t>Таблица</w:t>
      </w:r>
      <w:proofErr w:type="spellEnd"/>
      <w:r>
        <w:rPr>
          <w:b/>
          <w:sz w:val="22"/>
        </w:rPr>
        <w:t xml:space="preserve"> 2 — </w:t>
      </w:r>
      <w:proofErr w:type="spellStart"/>
      <w:r>
        <w:rPr>
          <w:b/>
          <w:sz w:val="22"/>
        </w:rPr>
        <w:t>Показатели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переходного</w:t>
      </w:r>
      <w:proofErr w:type="spellEnd"/>
      <w:r>
        <w:rPr>
          <w:b/>
          <w:sz w:val="22"/>
        </w:rPr>
        <w:t xml:space="preserve"> процесса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118"/>
        <w:gridCol w:w="3288"/>
      </w:tblGrid>
      <w:tr w:rsidR="00395132" w14:paraId="09B11BD7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45468C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T, с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AB020D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tрег ИСАУ, с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E8592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σ ИСАУ, %</w:t>
            </w:r>
          </w:p>
        </w:tc>
      </w:tr>
      <w:tr w:rsidR="00395132" w14:paraId="0796B5EA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85C572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0,015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F4850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14,038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A10702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21,8</w:t>
            </w:r>
          </w:p>
        </w:tc>
      </w:tr>
      <w:tr w:rsidR="00395132" w14:paraId="06DD687B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CD91D9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0,25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610261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14,724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A52732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21</w:t>
            </w:r>
          </w:p>
        </w:tc>
      </w:tr>
      <w:tr w:rsidR="00395132" w14:paraId="291AB8C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FDFCD0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0,4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8D8B85E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15,03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5AAE9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23</w:t>
            </w:r>
          </w:p>
        </w:tc>
      </w:tr>
      <w:tr w:rsidR="00395132" w14:paraId="6EC52A8C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2EDE18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0,6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0AFC9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15,39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89C7D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26</w:t>
            </w:r>
          </w:p>
        </w:tc>
      </w:tr>
      <w:tr w:rsidR="00395132" w14:paraId="3FDADE9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FE1EB8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0,75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ED350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15,82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178876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1"/>
              </w:rPr>
              <w:t>29</w:t>
            </w:r>
          </w:p>
        </w:tc>
      </w:tr>
    </w:tbl>
    <w:p w14:paraId="4A9980B9" w14:textId="77777777" w:rsidR="00395132" w:rsidRDefault="00395132">
      <w:pPr>
        <w:spacing w:before="20" w:after="20" w:line="240" w:lineRule="auto"/>
        <w:ind w:firstLine="0"/>
      </w:pPr>
    </w:p>
    <w:p w14:paraId="7DEC1271" w14:textId="3D69B2D0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НСАУ время регулирования составило 13,89 и 14,00 с, перерегулирование — 17,8 %. При увеличении периода квантования от 0,015 до 0,75 с время регулирования ИСАУ увеличилось с 14,038 до 15,82 с, а перерегулирование — с 21,8 до 29 %.</w:t>
      </w:r>
    </w:p>
    <w:p w14:paraId="648C8610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7E000E51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4 Установившиеся ошибки</w:t>
      </w:r>
    </w:p>
    <w:p w14:paraId="633238F4" w14:textId="74AF5884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При единичном скачке ошибка затухает до нуля; при линейном входном воздействии она стремится к установившемуся значению 2,5.</w:t>
      </w:r>
    </w:p>
    <w:p w14:paraId="18BFC87A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51566AAA" wp14:editId="7B46D3CC">
            <wp:extent cx="5486400" cy="29260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rors_b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AB003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 w:rsidRPr="00963817">
        <w:rPr>
          <w:sz w:val="22"/>
          <w:lang w:val="ru-RU"/>
        </w:rPr>
        <w:t>Рисунок 3 — Установление ошибок при скачке и линейном входе</w:t>
      </w:r>
    </w:p>
    <w:p w14:paraId="4DBF25B3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 w:rsidRPr="00963817">
        <w:rPr>
          <w:b/>
          <w:sz w:val="22"/>
          <w:lang w:val="ru-RU"/>
        </w:rPr>
        <w:t>Таблица 3 — Значения ошибок к 100-му отсчёту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231"/>
        <w:gridCol w:w="3175"/>
      </w:tblGrid>
      <w:tr w:rsidR="00395132" w14:paraId="68F4029D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163039" w14:textId="77777777" w:rsidR="00395132" w:rsidRDefault="00000000">
            <w:pPr>
              <w:spacing w:after="0" w:line="240" w:lineRule="auto"/>
              <w:ind w:firstLine="0"/>
              <w:jc w:val="center"/>
            </w:pPr>
            <w:proofErr w:type="spellStart"/>
            <w:r>
              <w:rPr>
                <w:b/>
                <w:sz w:val="21"/>
              </w:rPr>
              <w:t>Система</w:t>
            </w:r>
            <w:proofErr w:type="spellEnd"/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44DFA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eст при скачке</w:t>
            </w:r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443D6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1"/>
              </w:rPr>
              <w:t>eкин при линейном входе</w:t>
            </w:r>
          </w:p>
        </w:tc>
      </w:tr>
      <w:tr w:rsidR="00395132" w14:paraId="2EFB80A6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4152057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ИСАУ</w:t>
            </w:r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86AB9B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7,129</m:t>
              </m:r>
              <m:r>
                <m:t>·</m:t>
              </m:r>
              <m:sSup>
                <m:e>
                  <m:r>
                    <m:t>10</m:t>
                  </m:r>
                </m:e>
                <m:sup>
                  <m:r>
                    <m:t>−8</m:t>
                  </m:r>
                </m:sup>
              </m:sSup>
              <m:r>
                <m:t xml:space="preserve"> (≈ 0)</m:t>
              </m:r>
            </m:oMath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7238D7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2,500223 (≈ 2,5)</m:t>
              </m:r>
            </m:oMath>
          </w:p>
        </w:tc>
      </w:tr>
      <w:tr w:rsidR="00395132" w14:paraId="696DBFFB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83338E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1"/>
              </w:rPr>
              <w:t>НСАУ</w:t>
            </w:r>
          </w:p>
        </w:tc>
        <w:tc>
          <w:tcPr>
            <w:tcW w:w="32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5D7A7F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7,234</m:t>
              </m:r>
              <m:r>
                <m:t>·</m:t>
              </m:r>
              <m:sSup>
                <m:e>
                  <m:r>
                    <m:t>10</m:t>
                  </m:r>
                </m:e>
                <m:sup>
                  <m:r>
                    <m:t>−8</m:t>
                  </m:r>
                </m:sup>
              </m:sSup>
              <m:r>
                <m:t xml:space="preserve"> (≈ 0)</m:t>
              </m:r>
            </m:oMath>
          </w:p>
        </w:tc>
        <w:tc>
          <w:tcPr>
            <w:tcW w:w="3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311E8D" w14:textId="77777777" w:rsidR="00395132" w:rsidRDefault="00000000">
            <w:pPr>
              <w:spacing w:after="0" w:line="240" w:lineRule="auto" w:before="0"/>
              <w:ind w:firstLine="0"/>
              <w:jc w:val="center"/>
            </w:pPr>
            <m:oMath>
              <m:r>
                <m:t>2,499999 (≈ 2,5)</m:t>
              </m:r>
            </m:oMath>
          </w:p>
        </w:tc>
      </w:tr>
    </w:tbl>
    <w:p w14:paraId="326ADD95" w14:textId="77777777" w:rsidR="00395132" w:rsidRDefault="00395132">
      <w:pPr>
        <w:spacing w:before="20" w:after="20" w:line="240" w:lineRule="auto"/>
        <w:ind w:firstLine="0"/>
      </w:pPr>
    </w:p>
    <w:p w14:paraId="48C373BF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Статическая ошибка ИСАУ и НСАУ на единичный скачок практически равна нулю. Кинетическая ошибка при линейном воздействии составляет около 2,5.</w:t>
      </w:r>
    </w:p>
    <w:p w14:paraId="0D3C3F54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5B56444B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 w:rsidRPr="00963817">
        <w:rPr>
          <w:b/>
          <w:sz w:val="28"/>
          <w:lang w:val="ru-RU"/>
        </w:rPr>
        <w:lastRenderedPageBreak/>
        <w:t>5 Определение границы устойчивости</w:t>
      </w:r>
    </w:p>
    <w:p w14:paraId="1786D5BA" w14:textId="05E3C242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Коэффициент усиления разомкнутой системы увеличивали до появления незатухающих колебаний. Границу устойчивости определяли для заданных периодов квантования и постоянных времени.</w:t>
      </w:r>
    </w:p>
    <w:p w14:paraId="2AC20A4D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6738235B" wp14:editId="6FB149C6">
            <wp:extent cx="5486400" cy="20577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stability_b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FB9E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Рисунок 4 — Модель определения границы устойчивости при постоянной времени 7,5 с</w:t>
      </w:r>
    </w:p>
    <w:p w14:paraId="59EEDFD2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Для НСАУ при единичной отрицательной обратной связи характеристическое уравнение имеет вид:</w:t>
      </w:r>
    </w:p>
    <w:p w14:paraId="3C0D6C35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r>
            <m:t>6</m:t>
          </m:r>
          <m:sSup>
            <m:e>
              <m:r>
                <m:t>p</m:t>
              </m:r>
            </m:e>
            <m:sup>
              <m:r>
                <m:t>4</m:t>
              </m:r>
            </m:sup>
          </m:sSup>
          <m:r>
            <m:t xml:space="preserve"> + 13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t xml:space="preserve"> + 8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t xml:space="preserve"> + (1 + 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)p + K = 0</m:t>
          </m:r>
        </m:oMath>
      </m:oMathPara>
    </w:p>
    <w:p w14:paraId="69FCFCD3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Определитель Гурвица третьего порядка для характеристического уравнения четвёртой степени равен: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3</m:t>
              </m:r>
            </m:sub>
          </m:sSub>
          <m:r>
            <m:t xml:space="preserve"> = (1 + 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)(98 − 6K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) − 169K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Граница устойчивости НСАУ определяется условиями:</w:t>
      </w:r>
    </w:p>
    <w:p>
      <w:pPr>
        <w:keepLines/>
        <w:spacing w:before="40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3</m:t>
              </m:r>
            </m:sub>
          </m:sSub>
          <m:r>
            <m:t xml:space="preserve"> = 0;  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t xml:space="preserve"> = 98 − 6K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 xml:space="preserve"> &gt; 0</m:t>
          </m:r>
        </m:oMath>
      </m:oMathPara>
    </w:p>
    <w:p>
      <w:pPr>
        <w:keepLines/>
        <w:spacing w:before="40" w:after="1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Для ИСАУ предельное усиление определялось по переходному процессу с незатухающими колебаниями.</w:t>
      </w:r>
    </w:p>
    <w:p w14:paraId="297C271C" w14:textId="77777777" w:rsidR="00395132" w:rsidRPr="00963817" w:rsidRDefault="00000000">
      <w:pPr>
        <w:keepLines/>
        <w:spacing w:before="40" w:line="264" w:lineRule="auto" w:after="120"/>
        <w:ind w:firstLine="0"/>
        <w:jc w:val="center"/>
        <w:rPr>
          <w:lang w:val="ru-RU"/>
        </w:rPr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 xml:space="preserve"> = </m:t>
          </m:r>
          <m:f>
            <m:num>
              <m:r>
                <m:t>(92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t xml:space="preserve"> − 169) + </m:t>
              </m:r>
              <m:rad>
                <m:radPr>
                  <m:degHide m:val="1"/>
                </m:radPr>
                <m:deg/>
                <m:e>
                  <m:sSup>
                    <m:e>
                      <m:r>
                        <m:t>(92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 xml:space="preserve"> − 169)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 xml:space="preserve"> + 2352</m:t>
                  </m:r>
                  <m:sSup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12</m:t>
              </m:r>
              <m:s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</m:den>
          </m:f>
        </m:oMath>
      </m:oMathPara>
    </w:p>
    <w:p w14:paraId="1AF52BB3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4A9A334A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5.1 Результаты моделирования</w:t>
      </w:r>
    </w:p>
    <w:p w14:paraId="18AE7FBE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Зависимость предельного коэффициента усиления от периода квантования и постоянной времени приведена в таблице 4 и на рисунке 5.</w:t>
      </w:r>
    </w:p>
    <w:p w14:paraId="7967580A" w14:textId="77777777" w:rsidR="00395132" w:rsidRPr="00963817" w:rsidRDefault="00000000">
      <w:pPr>
        <w:keepNext/>
        <w:spacing w:before="100" w:after="60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Таблица 4 — Предельный коэффициент усиления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2098"/>
        <w:gridCol w:w="2098"/>
        <w:gridCol w:w="2098"/>
      </w:tblGrid>
      <w:tr w:rsidR="00395132" w14:paraId="66EC59D6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A9646F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T,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7E9FE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6,5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C98037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7,0 с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489E4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b/>
                <w:sz w:val="20"/>
              </w:rPr>
              <w:t>T₁ = 7,5 с</w:t>
            </w:r>
          </w:p>
        </w:tc>
      </w:tr>
      <w:tr w:rsidR="00395132" w14:paraId="61570909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3F5D5B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0,015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ED3423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1,870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F618E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1,780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25345F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1,685</w:t>
            </w:r>
          </w:p>
        </w:tc>
      </w:tr>
      <w:tr w:rsidR="00395132" w14:paraId="4C330BFD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028704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0,25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02A21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1,530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11D71A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1,450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75CC8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1,375</w:t>
            </w:r>
          </w:p>
        </w:tc>
      </w:tr>
      <w:tr w:rsidR="00395132" w14:paraId="57B38CF4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5FB94F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0,4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C54E1B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1,375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F641767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1,305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E28FC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1,241</w:t>
            </w:r>
          </w:p>
        </w:tc>
      </w:tr>
      <w:tr w:rsidR="00395132" w14:paraId="2993C887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33528C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0,6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F27989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1,220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2D4AD8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1,159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9D24A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1,100</w:t>
            </w:r>
          </w:p>
        </w:tc>
      </w:tr>
      <w:tr w:rsidR="00395132" w14:paraId="32C55F47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809CD1" w14:textId="77777777" w:rsidR="00395132" w:rsidRDefault="00000000">
            <w:pPr>
              <w:spacing w:after="0" w:line="240" w:lineRule="auto"/>
              <w:ind w:firstLine="0"/>
            </w:pPr>
            <w:r>
              <w:rPr>
                <w:sz w:val="20"/>
              </w:rPr>
              <w:t>0,75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0CB320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1,129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40AB1D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1,070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F1653A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1,017</w:t>
            </w:r>
          </w:p>
        </w:tc>
      </w:tr>
      <w:tr w:rsidR="00395132" w14:paraId="13DCE38E" w14:textId="77777777">
        <w:trPr>
          <w:cantSplit/>
          <w:jc w:val="center"/>
        </w:trPr>
        <w:tc>
          <w:tcPr>
            <w:tcW w:w="2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4EE46" w14:textId="67892CD7" w:rsidR="00395132" w:rsidRPr="00963817" w:rsidRDefault="00000000">
            <w:pPr>
              <w:spacing w:after="0" w:line="240" w:lineRule="auto"/>
              <w:ind w:firstLine="0"/>
              <w:rPr>
                <w:lang w:val="ru-RU"/>
              </w:rPr>
            </w:pPr>
            <w:r>
              <w:rPr>
                <w:sz w:val="20"/>
              </w:rPr>
              <w:t>НСАУ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95D83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1,896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944EDB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1,801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0A20D15" w14:textId="77777777" w:rsidR="00395132" w:rsidRDefault="00000000">
            <w:pPr>
              <w:spacing w:after="0" w:line="240" w:lineRule="auto"/>
              <w:ind w:firstLine="0"/>
              <w:jc w:val="center"/>
            </w:pPr>
            <w:r>
              <w:rPr>
                <w:sz w:val="20"/>
              </w:rPr>
              <w:t>1,713</w:t>
            </w:r>
          </w:p>
        </w:tc>
      </w:tr>
    </w:tbl>
    <w:p w14:paraId="1C127B0E" w14:textId="77777777" w:rsidR="00395132" w:rsidRDefault="00395132">
      <w:pPr>
        <w:spacing w:before="20" w:after="20" w:line="240" w:lineRule="auto"/>
        <w:ind w:firstLine="0"/>
      </w:pPr>
    </w:p>
    <w:p w14:paraId="0C0791F8" w14:textId="77777777" w:rsidR="00395132" w:rsidRDefault="00000000">
      <w:pPr>
        <w:keepNext/>
        <w:spacing w:before="40" w:after="40"/>
        <w:ind w:firstLine="0"/>
        <w:jc w:val="center"/>
      </w:pPr>
      <w:r>
        <w:rPr>
          <w:noProof/>
        </w:rPr>
        <w:drawing>
          <wp:inline distT="0" distB="0" distL="0" distR="0" wp14:anchorId="7F682A76" wp14:editId="5A31E2AF">
            <wp:extent cx="5486400" cy="3261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bility_b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8E52" w14:textId="77777777" w:rsidR="00395132" w:rsidRPr="00963817" w:rsidRDefault="00000000">
      <w:pPr>
        <w:keepLines/>
        <w:spacing w:before="20"/>
        <w:ind w:firstLine="0"/>
        <w:jc w:val="center"/>
        <w:rPr>
          <w:lang w:val="ru-RU"/>
        </w:rPr>
      </w:pPr>
      <w:r>
        <w:rPr>
          <w:rFonts w:ascii="Times New Roman" w:hAnsi="Times New Roman"/>
          <w:color w:val="000000"/>
        </w:rPr>
        <w:t>Рисунок 5 — Зависимость предельного коэффициента усиления от постоянной времени при разных периодах квантования</w:t>
      </w:r>
    </w:p>
    <w:p w14:paraId="1A9B8E3F" w14:textId="77777777" w:rsidR="00395132" w:rsidRPr="00963817" w:rsidRDefault="00000000">
      <w:pPr>
        <w:ind w:firstLine="0"/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Предельный коэффициент усиления уменьшается при увеличении постоянной времени в числителе и периода квантования.</w:t>
      </w:r>
    </w:p>
    <w:p w14:paraId="5CACD20A" w14:textId="77777777" w:rsidR="00395132" w:rsidRPr="00963817" w:rsidRDefault="00000000">
      <w:pPr>
        <w:rPr>
          <w:lang w:val="ru-RU"/>
        </w:rPr>
      </w:pPr>
      <w:r w:rsidRPr="00963817">
        <w:rPr>
          <w:lang w:val="ru-RU"/>
        </w:rPr>
        <w:br w:type="page"/>
      </w:r>
    </w:p>
    <w:p w14:paraId="6D02AA96" w14:textId="77777777" w:rsidR="00395132" w:rsidRPr="00963817" w:rsidRDefault="00000000">
      <w:pPr>
        <w:keepNext/>
        <w:spacing w:before="80" w:after="120" w:line="264" w:lineRule="auto"/>
        <w:ind w:firstLine="0"/>
        <w:rPr>
          <w:lang w:val="ru-RU"/>
        </w:rPr>
      </w:pPr>
      <w:r>
        <w:rPr>
          <w:rFonts w:ascii="Times New Roman" w:hAnsi="Times New Roman"/>
          <w:color w:val="000000"/>
        </w:rPr>
        <w:t>6 Выводы</w:t>
      </w:r>
    </w:p>
    <w:p w14:paraId="1A573E58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Исследованы переходные процессы, установившаяся точность и устойчивость импульсной системы варианта 2. С увеличением периода квантования время регулирования и перерегулирование возрастают.</w:t>
      </w:r>
    </w:p>
    <w:p w14:paraId="1FFF8791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При единичном скачке статическая ошибка ИСАУ и НСАУ практически равна нулю. При линейном входном воздействии кинетическая ошибка составляет около 2,5.</w:t>
      </w:r>
    </w:p>
    <w:p w14:paraId="29009819" w14:textId="77777777" w:rsidR="00395132" w:rsidRPr="00963817" w:rsidRDefault="00000000">
      <w:pPr>
        <w:jc w:val="both"/>
        <w:rPr>
          <w:lang w:val="ru-RU"/>
        </w:rPr>
      </w:pPr>
      <w:r>
        <w:rPr>
          <w:rFonts w:ascii="Times New Roman" w:hAnsi="Times New Roman"/>
          <w:color w:val="000000"/>
        </w:rPr>
        <w:t>Предельный коэффициент усиления уменьшается при увеличении периода квантования и постоянной времени числителя. Для НСАУ значения получены по критерию Гурвица, для ИСАУ — по результатам моделирования.</w:t>
      </w:r>
    </w:p>
    <w:sectPr w:rsidR="00395132" w:rsidRPr="00963817" w:rsidSect="00034616">
      <w:footerReference w:type="default" r:id="rId16"/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2CF7A" w14:textId="77777777" w:rsidR="00C42ADF" w:rsidRDefault="00C42ADF">
      <w:pPr>
        <w:spacing w:after="0" w:line="240" w:lineRule="auto"/>
      </w:pPr>
      <w:r>
        <w:separator/>
      </w:r>
    </w:p>
  </w:endnote>
  <w:endnote w:type="continuationSeparator" w:id="0">
    <w:p w14:paraId="141CE0F0" w14:textId="77777777" w:rsidR="00C42ADF" w:rsidRDefault="00C42A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2B2C0" w14:textId="77777777" w:rsidR="00E34F88" w:rsidRDefault="00E34F88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900C" w14:textId="77777777" w:rsidR="00395132" w:rsidRDefault="0039513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4F34C" w14:textId="77777777" w:rsidR="00395132" w:rsidRDefault="00000000">
    <w:pPr>
      <w:spacing w:after="0" w:before="0"/>
      <w:ind w:firstLine="0"/>
      <w:jc w:val="center"/>
    </w:pPr>
    <w:r>
      <w:rPr>
        <w:rFonts w:ascii="Times New Roman" w:hAnsi="Times New Roman"/>
        <w:color w:val="000000"/>
        <w:sz w:val="20"/>
      </w:rPr>
      <w:fldChar w:fldCharType="begin"/>
    </w:r>
    <w:r>
      <w:rPr>
        <w:rFonts w:ascii="Times New Roman" w:hAnsi="Times New Roman"/>
        <w:color w:val="000000"/>
        <w:sz w:val="20"/>
      </w:rPr>
      <w:instrText xml:space="preserve"> PAGE </w:instrText>
    </w:r>
    <w:r>
      <w:rPr>
        <w:rFonts w:ascii="Times New Roman" w:hAnsi="Times New Roman"/>
        <w:color w:val="000000"/>
        <w:sz w:val="20"/>
      </w:rPr>
      <w:fldChar w:fldCharType="separate"/>
    </w:r>
    <w:r>
      <w:rPr>
        <w:rFonts w:ascii="Times New Roman" w:hAnsi="Times New Roman"/>
        <w:color w:val="000000"/>
        <w:sz w:val="20"/>
      </w:rPr>
      <w:t>2</w:t>
    </w:r>
    <w:r>
      <w:rPr>
        <w:rFonts w:ascii="Times New Roman" w:hAnsi="Times New Roman"/>
        <w:color w:val="00000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B61F6" w14:textId="77777777" w:rsidR="00C42ADF" w:rsidRDefault="00C42ADF">
      <w:pPr>
        <w:spacing w:after="0" w:line="240" w:lineRule="auto"/>
      </w:pPr>
      <w:r>
        <w:separator/>
      </w:r>
    </w:p>
  </w:footnote>
  <w:footnote w:type="continuationSeparator" w:id="0">
    <w:p w14:paraId="74C1DC44" w14:textId="77777777" w:rsidR="00C42ADF" w:rsidRDefault="00C42A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2A7B7" w14:textId="77777777" w:rsidR="00395132" w:rsidRDefault="003951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76957">
    <w:abstractNumId w:val="8"/>
  </w:num>
  <w:num w:numId="2" w16cid:durableId="1500851010">
    <w:abstractNumId w:val="6"/>
  </w:num>
  <w:num w:numId="3" w16cid:durableId="294871454">
    <w:abstractNumId w:val="5"/>
  </w:num>
  <w:num w:numId="4" w16cid:durableId="1153721713">
    <w:abstractNumId w:val="4"/>
  </w:num>
  <w:num w:numId="5" w16cid:durableId="1235891416">
    <w:abstractNumId w:val="7"/>
  </w:num>
  <w:num w:numId="6" w16cid:durableId="506017108">
    <w:abstractNumId w:val="3"/>
  </w:num>
  <w:num w:numId="7" w16cid:durableId="950891522">
    <w:abstractNumId w:val="2"/>
  </w:num>
  <w:num w:numId="8" w16cid:durableId="625895698">
    <w:abstractNumId w:val="1"/>
  </w:num>
  <w:num w:numId="9" w16cid:durableId="289171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D67"/>
    <w:rsid w:val="00024BED"/>
    <w:rsid w:val="00034616"/>
    <w:rsid w:val="0006063C"/>
    <w:rsid w:val="0015074B"/>
    <w:rsid w:val="0029639D"/>
    <w:rsid w:val="002F1C6A"/>
    <w:rsid w:val="00326F90"/>
    <w:rsid w:val="00395132"/>
    <w:rsid w:val="00963817"/>
    <w:rsid w:val="00AA1D8D"/>
    <w:rsid w:val="00B47730"/>
    <w:rsid w:val="00C02EEA"/>
    <w:rsid w:val="00C42ADF"/>
    <w:rsid w:val="00CB0664"/>
    <w:rsid w:val="00D4255B"/>
    <w:rsid w:val="00E34F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922A91"/>
  <w14:defaultImageDpi w14:val="300"/>
  <w15:docId w15:val="{F1C1709A-A671-4DEC-80BB-78FF40192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60" w:lineRule="auto"/>
      <w:ind w:firstLine="709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color w:val="000000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color w:val="000000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963</Words>
  <Characters>5492</Characters>
  <Application>Microsoft Office Word</Application>
  <DocSecurity>0</DocSecurity>
  <Lines>45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лабораторной работе № 1 по ТАУ, часть 2</vt:lpstr>
      <vt:lpstr/>
    </vt:vector>
  </TitlesOfParts>
  <Manager/>
  <Company/>
  <LinksUpToDate>false</LinksUpToDate>
  <CharactersWithSpaces>6443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1 по ТАУ, часть 2</dc:title>
  <dc:subject>Исследование импульсных систем автоматического управления, вариант 2</dc:subject>
  <dc:creator>Грудинин Е.К.; Турханов А.К.; Огарков И.А.</dc:creator>
  <cp:keywords/>
  <dc:description>generated by python-docx</dc:description>
  <cp:lastModifiedBy>Егор Грудинин</cp:lastModifiedBy>
  <cp:revision>3</cp:revision>
  <dcterms:created xsi:type="dcterms:W3CDTF">2026-10-30T11:45:00Z</dcterms:created>
  <dcterms:modified xsi:type="dcterms:W3CDTF">2026-10-30T13:23:00Z</dcterms:modified>
  <cp:category/>
</cp:coreProperties>
</file>