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F4E79"/>
          <w:sz w:val="32"/>
        </w:rPr>
        <w:t>Подготовка к защите лабораторной работы № 2</w:t>
      </w:r>
    </w:p>
    <w:p>
      <w:pPr>
        <w:spacing w:before="0" w:after="200"/>
        <w:jc w:val="center"/>
      </w:pPr>
      <w:r>
        <w:rPr>
          <w:i/>
          <w:color w:val="555555"/>
          <w:sz w:val="20"/>
        </w:rPr>
        <w:t>Моделирование многосвязных систем и исследование устойчивости линейных систем</w:t>
        <w:br/>
        <w:t>(памятка для быстрого повторения теории и ответов на вопросы)</w:t>
      </w:r>
    </w:p>
    <w:p>
      <w:pPr>
        <w:keepNext/>
        <w:spacing w:before="280" w:after="80"/>
      </w:pPr>
      <w:r>
        <w:rPr>
          <w:b/>
          <w:color w:val="1F4E79"/>
          <w:sz w:val="26"/>
        </w:rPr>
        <w:t>1. Ответы на контрольные вопросы к защите ЛР2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Вопрос 1. Аналоговая структурная модель неминимально-фазового звена 1-го порядка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Передаточная функция исследуемого звена:</w:t>
      </w:r>
    </w:p>
    <w:p>
      <w:pPr>
        <w:spacing w:before="60" w:after="80"/>
        <w:jc w:val="center"/>
      </w:pPr>
      <m:oMathPara>
        <m:oMath xmlns:mml="http://www.w3.org/1998/Math/MathML">
          <m:r>
            <m:t>W(s)=</m:t>
          </m:r>
          <m:f>
            <m:fPr>
              <m:type m:val="bar"/>
            </m:fPr>
            <m:num>
              <m:r>
                <m:t>1−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</m:num>
            <m:den>
              <m:r>
                <m:t>1+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den>
          </m:f>
        </m:oMath>
      </m:oMathPara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Соответствующее дифференциальное уравнение во временной области: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T</m:t>
              </m:r>
            </m:e>
            <m:sub>
              <m:r>
                <m:t>2</m:t>
              </m:r>
            </m:sub>
          </m:sSub>
          <m:limUpp>
            <m:e>
              <m:r>
                <m:t>y</m:t>
              </m:r>
            </m:e>
            <m:lim>
              <m:r>
                <m:t>˙</m:t>
              </m:r>
            </m:lim>
          </m:limUpp>
          <m:r>
            <m:t>+y=u−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limUpp>
            <m:e>
              <m:r>
                <m:t>u</m:t>
              </m:r>
            </m:e>
            <m:lim>
              <m:r>
                <m:t>˙</m:t>
              </m:r>
            </m:lim>
          </m:limUpp>
        </m:oMath>
      </m:oMathPara>
    </w:p>
    <w:p>
      <w:pPr>
        <w:spacing w:before="0" w:after="80" w:line="276" w:lineRule="auto"/>
      </w:pPr>
      <w:r>
        <w:rPr>
          <w:color w:val="222222"/>
        </w:rPr>
        <w:t>В правой части присутствует производная входного воздействия u. Идеальное дифференцирование в аналоговых структурных схемах физически не реализуется из-за высокого уровня высокочастотных шумов. Для устранения производной входа применяется метод уравнения замыкания. Собираем старшие производные под один общий дифференциальный оператор:</w:t>
      </w:r>
    </w:p>
    <w:p>
      <w:pPr>
        <w:spacing w:before="60" w:after="8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</m:num>
            <m:den>
              <m:r>
                <m:t>dt</m:t>
              </m:r>
            </m:den>
          </m:f>
          <m:r>
            <m:t>(y+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u)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u−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y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Вводим переменную состояния x, равную выражению под производной:</w:t>
      </w:r>
    </w:p>
    <w:p>
      <w:pPr>
        <w:spacing w:before="60" w:after="80"/>
        <w:jc w:val="center"/>
      </w:pPr>
      <m:oMathPara>
        <m:oMath xmlns:mml="http://www.w3.org/1998/Math/MathML">
          <m:r>
            <m:t>x=y+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u⟹y=x−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u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Подставляя y в уравнение производной, получаем канонические уравнения Коши:</w:t>
      </w:r>
    </w:p>
    <w:p>
      <w:pPr>
        <w:spacing w:before="60" w:after="80"/>
        <w:jc w:val="center"/>
      </w:pPr>
      <m:oMathPara>
        <m:oMath xmlns:mml="http://www.w3.org/1998/Math/MathML">
          <m:limUpp>
            <m:e>
              <m:r>
                <m:t>x</m:t>
              </m:r>
            </m:e>
            <m:lim>
              <m:r>
                <m:t>˙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x+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T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u</m:t>
          </m:r>
        </m:oMath>
      </m:oMathPara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none"/>
              <w:left w:val="single" w:sz="36" w:space="0" w:color="1F4E79"/>
              <w:bottom w:val="none"/>
              <w:right w:val="none"/>
            </w:tcBorders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1F4E79"/>
              </w:rPr>
              <w:t xml:space="preserve">Структура схемы: </w:t>
            </w:r>
            <w:r>
              <w:rPr>
                <w:color w:val="222222"/>
              </w:rPr>
              <w:t>Аналоговая схема строится из одного интегратора с обратной связью -1/T2, входного сумматора с весом (T1 + T2)/T2^2 и прямого безынерционного масштабирующего звена с коэффициентом передачи D = -T1/T2.</w:t>
            </w:r>
          </w:p>
        </w:tc>
      </w:tr>
    </w:tbl>
    <w:p>
      <w:pPr>
        <w:spacing w:before="0" w:after="60"/>
      </w:pPr>
    </w:p>
    <w:p>
      <w:pPr>
        <w:keepNext/>
        <w:spacing w:before="200" w:after="40"/>
      </w:pPr>
      <w:r>
        <w:rPr>
          <w:b/>
          <w:color w:val="2E75B6"/>
          <w:sz w:val="23"/>
        </w:rPr>
        <w:t>Вопрос 2. Комплексная частотная характеристика, АЧХ и ФЧХ динамического звена</w:t>
      </w:r>
    </w:p>
    <w:p>
      <w:pPr>
        <w:spacing w:before="0" w:after="80" w:line="276" w:lineRule="auto"/>
      </w:pPr>
      <w:r>
        <w:rPr>
          <w:color w:val="222222"/>
        </w:rPr>
        <w:t>При подаче на вход линейного стационарного звена гармонического сигнала u(t) = Um*sin(ωt) на выходе в установившемся режиме устанавливаются колебания той же частоты с измененной амплитудой Ym и сдвигом по фазе φ:</w:t>
      </w:r>
    </w:p>
    <w:p>
      <w:pPr>
        <w:spacing w:before="60" w:after="80"/>
        <w:jc w:val="center"/>
      </w:pPr>
      <m:oMathPara>
        <m:oMath xmlns:mml="http://www.w3.org/1998/Math/MathML">
          <m:r>
            <m:t>u(t)=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sin</m:t>
          </m:r>
          <m:r>
            <m:t>(ωt),</m:t>
          </m:r>
          <m:r>
            <m:t>y(t)=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t>(ω)</m:t>
          </m:r>
          <m:r>
            <m:rPr>
              <m:sty m:val="p"/>
            </m:rPr>
            <m:t>sin</m:t>
          </m:r>
          <m:r>
            <m:t>(ωt+φ(ω))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Комплексная частотная характеристика (КЧХ) получается подстановкой s = jω в передаточную функцию W(s):</w:t>
      </w:r>
    </w:p>
    <w:p>
      <w:pPr>
        <w:spacing w:before="60" w:after="80"/>
        <w:jc w:val="center"/>
      </w:pPr>
      <m:oMathPara>
        <m:oMath xmlns:mml="http://www.w3.org/1998/Math/MathML">
          <m:r>
            <m:t>W(jω)=P(ω)+jQ(ω)=A(ω)</m:t>
          </m:r>
          <m:sSup>
            <m:e>
              <m:r>
                <m:t>e</m:t>
              </m:r>
            </m:e>
            <m:sup>
              <m:r>
                <m:t>jφ(ω)</m:t>
              </m:r>
            </m:sup>
          </m:sSup>
        </m:oMath>
      </m:oMathPara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Амплитудно-частотная характеристика (АЧХ) равна модулю КЧХ и показывает отношение амплитуды выхода к амплитуде входа:</w:t>
      </w:r>
    </w:p>
    <w:p>
      <w:pPr>
        <w:spacing w:before="60" w:after="80"/>
        <w:jc w:val="center"/>
      </w:pPr>
      <m:oMathPara>
        <m:oMath xmlns:mml="http://www.w3.org/1998/Math/MathML">
          <m:r>
            <m:t>A(ω)=|W(jω)|=</m:t>
          </m:r>
          <m:rad>
            <m:radPr>
              <m:degHide m:val="on"/>
            </m:radPr>
            <m:deg/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(ω)+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(ω)</m:t>
              </m:r>
            </m:e>
          </m:rad>
          <m: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  <m:r>
                <m:t>(ω)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Фазо-частотная характеристика (ФЧХ) равна аргументу КЧХ и определяет фазовый сдвиг:</w:t>
      </w:r>
    </w:p>
    <w:p>
      <w:pPr>
        <w:spacing w:before="60" w:after="80"/>
        <w:jc w:val="center"/>
      </w:pPr>
      <m:oMathPara>
        <m:oMath xmlns:mml="http://www.w3.org/1998/Math/MathML">
          <m:r>
            <m:t>φ(ω)=</m:t>
          </m:r>
          <m:r>
            <m:rPr>
              <m:sty m:val="p"/>
            </m:rPr>
            <m:t>\arg</m:t>
          </m:r>
          <m:r>
            <m:t>W(jω)=</m:t>
          </m:r>
          <m:r>
            <m:rPr>
              <m:sty m:val="p"/>
            </m:rPr>
            <m:t>arctan</m:t>
          </m:r>
          <m:r>
            <m:t>(</m:t>
          </m:r>
          <m:f>
            <m:fPr>
              <m:type m:val="bar"/>
            </m:fPr>
            <m:num>
              <m:r>
                <m:t>Q(ω)</m:t>
              </m:r>
            </m:num>
            <m:den>
              <m:r>
                <m:t>P(ω)</m:t>
              </m:r>
            </m:den>
          </m:f>
          <m:r>
            <m:t>)</m:t>
          </m:r>
        </m:oMath>
      </m:oMathPara>
    </w:p>
    <w:p>
      <w:pPr>
        <w:keepNext/>
        <w:spacing w:before="200" w:after="40"/>
      </w:pPr>
      <w:r>
        <w:rPr>
          <w:b/>
          <w:color w:val="2E75B6"/>
          <w:sz w:val="23"/>
        </w:rPr>
        <w:t>Вопрос 3. АЧХ, ЛАЧХ и ФЧХ неминимально-фазового звена 1-го порядка</w:t>
      </w:r>
    </w:p>
    <w:p>
      <w:pPr>
        <w:spacing w:before="0" w:after="80" w:line="276" w:lineRule="auto"/>
      </w:pPr>
      <w:r>
        <w:rPr>
          <w:color w:val="222222"/>
        </w:rPr>
        <w:t>Для передаточной функции W(s) = (1 - T1*s)/(1 + T2*s) подставляем s = jω:</w:t>
      </w:r>
    </w:p>
    <w:p>
      <w:pPr>
        <w:spacing w:before="60" w:after="80"/>
        <w:jc w:val="center"/>
      </w:pPr>
      <m:oMathPara>
        <m:oMath xmlns:mml="http://www.w3.org/1998/Math/MathML">
          <m:r>
            <m:t>W(jω)=</m:t>
          </m:r>
          <m:f>
            <m:fPr>
              <m:type m:val="bar"/>
            </m:fPr>
            <m:num>
              <m:r>
                <m:t>1−jω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1+jω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Аналитические выражения характеристик:</w:t>
      </w:r>
    </w:p>
    <w:p>
      <w:pPr>
        <w:spacing w:before="60" w:after="80"/>
        <w:jc w:val="center"/>
      </w:pPr>
      <m:oMathPara>
        <m:oMath xmlns:mml="http://www.w3.org/1998/Math/MathML">
          <m:r>
            <m:t>A(ω)=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60" w:after="80"/>
        <w:jc w:val="center"/>
      </w:pPr>
      <m:oMathPara>
        <m:oMath xmlns:mml="http://www.w3.org/1998/Math/MathML">
          <m:r>
            <m:t>L(ω)=20</m:t>
          </m:r>
          <m:r>
            <m:rPr>
              <m:sty m:val="p"/>
            </m:rPr>
            <m:t>lg</m:t>
          </m:r>
          <m:r>
            <m:t>A(ω)=10</m:t>
          </m:r>
          <m:r>
            <m:rPr>
              <m:sty m:val="p"/>
            </m:rPr>
            <m:t>lg</m:t>
          </m:r>
          <m:r>
            <m:t>(1+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t>)−10</m:t>
          </m:r>
          <m:r>
            <m:rPr>
              <m:sty m:val="p"/>
            </m:rPr>
            <m:t>lg</m:t>
          </m:r>
          <m:r>
            <m:t>(1+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Sup>
            <m:e>
              <m:r>
                <m:t>T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)</m:t>
          </m:r>
        </m:oMath>
      </m:oMathPara>
    </w:p>
    <w:p>
      <w:pPr>
        <w:spacing w:before="60" w:after="80"/>
        <w:jc w:val="center"/>
      </w:pPr>
      <m:oMathPara>
        <m:oMath xmlns:mml="http://www.w3.org/1998/Math/MathML">
          <m:r>
            <m:t>φ(ω)=−</m:t>
          </m:r>
          <m:r>
            <m:rPr>
              <m:sty m:val="p"/>
            </m:rPr>
            <m:t>arctan</m:t>
          </m:r>
          <m:r>
            <m:t>(ω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)−</m:t>
          </m:r>
          <m:r>
            <m:rPr>
              <m:sty m:val="p"/>
            </m:rPr>
            <m:t>arctan</m:t>
          </m:r>
          <m:r>
            <m:t>(ω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)</m:t>
          </m:r>
        </m:oMath>
      </m:oMathPara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none"/>
              <w:left w:val="single" w:sz="36" w:space="0" w:color="1F4E79"/>
              <w:bottom w:val="none"/>
              <w:right w:val="none"/>
            </w:tcBorders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1F4E79"/>
              </w:rPr>
              <w:t xml:space="preserve">Физический смысл неминимальной фазы: </w:t>
            </w:r>
            <w:r>
              <w:rPr>
                <w:color w:val="222222"/>
              </w:rPr>
              <w:t>Звено называется неминимально-фазовым, так как его нуль лежит в правой комплексной полуплоскости (s = +1/T1 &gt; 0). При точно такой же АЧХ, как у обычного звена (1 + T1*s)/(1 + T2*s), правый нуль дает знак минус перед арктангенсом числителя. Фаза неминимально-фазового звена всегда более отрицательна, то есть запаздывает сильнее любого минимально-фазового звена с той же АЧХ. Во временной области это проявляется в начальном отрицательном выбросе выходного сигнала в отрицательную область при положительном скачке входа.</w:t>
            </w:r>
          </w:p>
        </w:tc>
      </w:tr>
    </w:tbl>
    <w:p>
      <w:pPr>
        <w:spacing w:before="0" w:after="60"/>
      </w:pPr>
    </w:p>
    <w:p>
      <w:pPr>
        <w:keepNext/>
        <w:spacing w:before="200" w:after="40"/>
      </w:pPr>
      <w:r>
        <w:rPr>
          <w:b/>
          <w:color w:val="2E75B6"/>
          <w:sz w:val="23"/>
        </w:rPr>
        <w:t>Вопрос 4. Каноническая форма уравнений состояния односвязной системы</w:t>
      </w:r>
    </w:p>
    <w:p>
      <w:pPr>
        <w:spacing w:before="0" w:after="80" w:line="276" w:lineRule="auto"/>
      </w:pPr>
      <w:r>
        <w:rPr>
          <w:color w:val="222222"/>
        </w:rPr>
        <w:t>Каноническая форма Жордана соответствует представлению системы в базисе собственных векторов, при котором матрица состояния диагональна:</w:t>
      </w:r>
    </w:p>
    <w:p>
      <w:pPr>
        <w:spacing w:before="60" w:after="80"/>
        <w:jc w:val="center"/>
      </w:pPr>
      <m:oMathPara>
        <m:oMath xmlns:mml="http://www.w3.org/1998/Math/MathML">
          <m:limUpp>
            <m:e>
              <m:r>
                <m:t>z</m:t>
              </m:r>
            </m:e>
            <m:lim>
              <m:r>
                <m:t>˙</m:t>
              </m:r>
            </m:lim>
          </m:limUpp>
          <m:r>
            <m:t>(t)=Λz(t)+</m:t>
          </m:r>
          <m:sSub>
            <m:e>
              <m:r>
                <m:t>B</m:t>
              </m:r>
            </m:e>
            <m:sub>
              <m:r>
                <m:t>кан</m:t>
              </m:r>
            </m:sub>
          </m:sSub>
          <m:r>
            <m:t>u(t),</m:t>
          </m:r>
          <m:r>
            <m:t>y(t)=</m:t>
          </m:r>
          <m:sSub>
            <m:e>
              <m:r>
                <m:t>C</m:t>
              </m:r>
            </m:e>
            <m:sub>
              <m:r>
                <m:t>кан</m:t>
              </m:r>
            </m:sub>
          </m:sSub>
          <m:r>
            <m:t>z(t)+Du(t)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Структура матриц для случая простых вещественных полюсов λ1, ..., λn:</w:t>
      </w:r>
    </w:p>
    <w:p>
      <w:pPr>
        <w:spacing w:before="60" w:after="80"/>
        <w:jc w:val="center"/>
      </w:pPr>
      <m:oMathPara>
        <m:oMath xmlns:mml="http://www.w3.org/1998/Math/MathML">
          <m:r>
            <m:t>Λ=(</m:t>
          </m:r>
          <m:m>
            <m:mPr>
              <m:baseJc m:val="center"/>
              <m:plcHide m:val="on"/>
              <m:mcs>
                <m:mc>
                  <m:mcPr>
                    <m:count m:val="4"/>
                    <m:mcJc m:val="center"/>
                  </m:mcPr>
                </m:mc>
              </m:mcs>
            </m:mP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t>0</m:t>
                </m:r>
              </m:e>
              <m:e>
                <m:r>
                  <m:t>…</m:t>
                </m:r>
              </m:e>
              <m:e>
                <m:r>
                  <m:t>0</m:t>
                </m:r>
              </m:e>
            </m:mr>
            <m:mr>
              <m:e>
                <m:r>
                  <m:t>0</m:t>
                </m:r>
              </m:e>
              <m:e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t>…</m:t>
                </m:r>
              </m:e>
              <m:e>
                <m:r>
                  <m:t>0</m:t>
                </m:r>
              </m:e>
            </m:mr>
            <m:mr>
              <m:e>
                <m:r>
                  <m:t>⋮</m:t>
                </m:r>
              </m:e>
              <m:e>
                <m:r>
                  <m:t>⋮</m:t>
                </m:r>
              </m:e>
              <m:e>
                <m:r>
                  <m:t>⋱</m:t>
                </m:r>
              </m:e>
              <m:e>
                <m:r>
                  <m:t>⋮</m:t>
                </m:r>
              </m:e>
            </m:mr>
            <m:mr>
              <m:e>
                <m:r>
                  <m:t>0</m:t>
                </m:r>
              </m:e>
              <m:e>
                <m:r>
                  <m:t>0</m:t>
                </m:r>
              </m:e>
              <m:e>
                <m:r>
                  <m:t>…</m:t>
                </m:r>
              </m:e>
              <m:e>
                <m:sSub>
                  <m:e>
                    <m:r>
                      <m:t>λ</m:t>
                    </m:r>
                  </m:e>
                  <m:sub>
                    <m:r>
                      <m:t>n</m:t>
                    </m:r>
                  </m:sub>
                </m:sSub>
              </m:e>
            </m:mr>
          </m:m>
          <m:r>
            <m:t>),</m:t>
          </m:r>
          <m:sSub>
            <m:e>
              <m:r>
                <m:t>B</m:t>
              </m:r>
            </m:e>
            <m:sub>
              <m:r>
                <m:t>кан</m:t>
              </m:r>
            </m:sub>
          </m:sSub>
          <m:r>
            <m:t>=(</m:t>
          </m:r>
          <m:eqArr>
            <m:e>
              <m:r>
                <m:t>1</m:t>
              </m:r>
            </m:e>
            <m:e>
              <m:r>
                <m:t>1</m:t>
              </m:r>
            </m:e>
            <m:e>
              <m:r>
                <m:t>⋮</m:t>
              </m:r>
            </m:e>
            <m:e>
              <m:r>
                <m:t>1</m:t>
              </m:r>
            </m:e>
          </m:eqArr>
          <m:r>
            <m:t>),</m:t>
          </m:r>
          <m:sSub>
            <m:e>
              <m:r>
                <m:t>C</m:t>
              </m:r>
            </m:e>
            <m:sub>
              <m:r>
                <m:t>кан</m:t>
              </m:r>
            </m:sub>
          </m:sSub>
          <m:r>
            <m:t>=(</m:t>
          </m:r>
          <m:m>
            <m:mPr>
              <m:baseJc m:val="center"/>
              <m:plcHide m:val="on"/>
              <m:mcs>
                <m:mc>
                  <m:mcPr>
                    <m:count m:val="4"/>
                    <m:mcJc m:val="center"/>
                  </m:mcPr>
                </m:mc>
              </m:mcs>
            </m:mP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t>…</m:t>
                </m:r>
              </m:e>
              <m:e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</m:e>
            </m:mr>
          </m:m>
          <m:r>
            <m:t>)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Главное достоинство: дифференциальные уравнения для каждой координаты z_i(t) полностью независимы друг от друга и могут интегрироваться параллельно без взаимного влияния.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Вопрос 5. Разложение передаточной функции на простые дроби (метод вычетов)</w:t>
      </w:r>
    </w:p>
    <w:p>
      <w:pPr>
        <w:spacing w:before="0" w:after="80" w:line="276" w:lineRule="auto"/>
      </w:pPr>
      <w:r>
        <w:rPr>
          <w:color w:val="222222"/>
        </w:rPr>
        <w:t>Если передаточная функция W(s) = M(s)/L(s) имеет простые вещественные полюса λ1, ..., λn, она представляется в виде суммы элементарных слагаемых первого порядка:</w:t>
      </w:r>
    </w:p>
    <w:p>
      <w:pPr>
        <w:spacing w:before="60" w:after="80"/>
        <w:jc w:val="center"/>
      </w:pPr>
      <m:oMathPara>
        <m:oMath xmlns:mml="http://www.w3.org/1998/Math/MathML">
          <m:r>
            <m:t>W(s)=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/>
          </m:nary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+d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Коэффициенты c_i (вычеты) находятся по правилу Хевисайда: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lim</m:t>
              </m:r>
            </m:e>
            <m:sub>
              <m:r>
                <m:t>s→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[(s−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>)W(s)]=</m:t>
          </m:r>
          <m:f>
            <m:fPr>
              <m:type m:val="bar"/>
            </m:fPr>
            <m:num>
              <m:r>
                <m:t>M(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num>
            <m:den>
              <m:sSup>
                <m:e>
                  <m:r>
                    <m:t>L</m:t>
                  </m:r>
                </m:e>
                <m:sup>
                  <m:r>
                    <m:t>′</m:t>
                  </m:r>
                </m:sup>
              </m:sSup>
              <m: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den>
          </m:f>
        </m:oMath>
      </m:oMathPara>
    </w:p>
    <w:p>
      <w:pPr>
        <w:spacing w:before="0" w:after="80" w:line="276" w:lineRule="auto"/>
      </w:pPr>
      <w:r>
        <w:rPr>
          <w:color w:val="222222"/>
        </w:rPr>
        <w:t>Коэффициент d отличен от нуля только при равенстве порядков числителя и знаменателя: d = lim(s-&gt;∞) W(s). Каждое слагаемое дает скалярное дифференциальное уравнение состояния: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limUpp>
                <m:e>
                  <m:r>
                    <m:t>z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t>+u,</m:t>
          </m:r>
          <m:r>
            <m:t>y=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t>+du</m:t>
          </m:r>
        </m:oMath>
      </m:oMathPara>
    </w:p>
    <w:p>
      <w:pPr>
        <w:keepNext/>
        <w:spacing w:before="200" w:after="40"/>
      </w:pPr>
      <w:r>
        <w:rPr>
          <w:b/>
          <w:color w:val="2E75B6"/>
          <w:sz w:val="23"/>
        </w:rPr>
        <w:t>Вопрос 6. Построение частотных характеристик по вычислительным экспериментам</w:t>
      </w:r>
    </w:p>
    <w:p>
      <w:pPr>
        <w:spacing w:before="0" w:after="80" w:line="276" w:lineRule="auto"/>
      </w:pPr>
      <w:r>
        <w:rPr>
          <w:color w:val="222222"/>
        </w:rPr>
        <w:t>Построение АЧХ и ФЧХ на модели осуществляется следующим образом: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На вход исследуемого звена подается гармонический сигнал u(t) = Um*sin(ω_k*t).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После затухания переходного процесса (на установившемся синусоидальном режиме) измеряются пиковая амплитуда выхода Ym(ω_k) и сдвиг по времени Δt_k между точками перехода через ноль входной и выходной кривых.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Вычисляются точка АЧХ A(ω_k) = Ym(ω_k)/Um и фазовый сдвиг φ(ω_k) = -ω_k*Δt_k.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Опыт повторяется для сетки частот диапазона исследования. В среде SimInTech также применяется автоматизированный расчет с использованием блоков анализа амплитуды и фазы.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Вопрос 7. Суждение об устойчивости по частотному критерию Найквиста</w:t>
      </w:r>
    </w:p>
    <w:p>
      <w:pPr>
        <w:spacing w:before="0" w:after="80" w:line="276" w:lineRule="auto"/>
      </w:pPr>
      <w:r>
        <w:rPr>
          <w:color w:val="222222"/>
        </w:rPr>
        <w:t>Формулировка критерия: если разомкнутая система устойчива, то для устойчивости замкнутой системы отрицательной обратной связью необходимо и достаточно, чтобы годограф Найквиста Wраз(jω) при изменении ω от 0 до +∞ не охватывал критическую точку (-1, j0).</w:t>
      </w:r>
    </w:p>
    <w:p>
      <w:pPr>
        <w:spacing w:before="0" w:after="80" w:line="276" w:lineRule="auto"/>
      </w:pPr>
      <w:r>
        <w:rPr>
          <w:color w:val="222222"/>
        </w:rPr>
        <w:t>В исследуемой системе с неминимально-фазовым звеном фазовый сдвиг опускается ниже -180 градусов, поэтому годограф пересекает отрицательную действительную полуось: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При K &lt; Kпред точка пересечения вещественной оси лежит правее точки -1 (точка не охватывается), замкнутая система устойчива.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При K = Kпред годограф проходит строго через точку (-1, j0), система находится на границе устойчивости, возникают незатухающие автоколебания постоянной амплитуды.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При K &gt; Kпред годограф охватывает точку (-1, j0), замкнутая система неустойчива, колебания экспоненциально нарастают по амплитуде.</w:t>
      </w:r>
    </w:p>
    <w:p>
      <w:pPr>
        <w:keepNext/>
        <w:spacing w:before="280" w:after="80"/>
      </w:pPr>
      <w:r>
        <w:rPr>
          <w:b/>
          <w:color w:val="1F4E79"/>
          <w:sz w:val="26"/>
        </w:rPr>
        <w:t>2. Аналитический расчет границы устойчивости и автоколебаний</w:t>
      </w:r>
    </w:p>
    <w:p>
      <w:pPr>
        <w:spacing w:before="0" w:after="80" w:line="276" w:lineRule="auto"/>
      </w:pPr>
      <w:r>
        <w:rPr>
          <w:color w:val="222222"/>
        </w:rPr>
        <w:t>Передаточная функция разомкнутой системы: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W</m:t>
              </m:r>
            </m:e>
            <m:sub>
              <m:r>
                <m:t>раз</m:t>
              </m:r>
            </m:sub>
          </m:sSub>
          <m:r>
            <m:t>(s)=K</m:t>
          </m:r>
          <m:f>
            <m:fPr>
              <m:type m:val="bar"/>
            </m:fPr>
            <m:num>
              <m:r>
                <m:t>1−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</m:num>
            <m:den>
              <m:r>
                <m:t>(1+0.5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s)(1+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t>s)</m:t>
              </m:r>
            </m:den>
          </m:f>
        </m:oMath>
      </m:oMathPara>
    </w:p>
    <w:p>
      <w:pPr>
        <w:spacing w:before="0" w:after="80" w:line="276" w:lineRule="auto"/>
      </w:pPr>
      <w:r>
        <w:rPr>
          <w:color w:val="222222"/>
        </w:rPr>
        <w:t>Характеристическое уравнение замкнутой системы с единичной отрицательной обратной связью:</w:t>
      </w:r>
    </w:p>
    <w:p>
      <w:pPr>
        <w:spacing w:before="60" w:after="80"/>
        <w:jc w:val="center"/>
      </w:pPr>
      <m:oMathPara>
        <m:oMath xmlns:mml="http://www.w3.org/1998/Math/MathML">
          <m:r>
            <m:t>1+</m:t>
          </m:r>
          <m:sSub>
            <m:e>
              <m:r>
                <m:t>W</m:t>
              </m:r>
            </m:e>
            <m:sub>
              <m:r>
                <m:t>раз</m:t>
              </m:r>
            </m:sub>
          </m:sSub>
          <m:r>
            <m:t>(s)=0⟹(1+0.5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s)(1+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s)+K(1−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s)=0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Раскрываем скобки и группируем слагаемые:</w:t>
      </w:r>
    </w:p>
    <w:p>
      <w:pPr>
        <w:spacing w:before="60" w:after="80"/>
        <w:jc w:val="center"/>
      </w:pPr>
      <m:oMathPara>
        <m:oMath xmlns:mml="http://www.w3.org/1998/Math/MathML">
          <m:r>
            <m:t>0.5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+0.5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−K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)s+(1+K)=0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По критерию Стодолы–Гурвица для полинома второго порядка условием границы устойчивости является равенство нулю коэффициента при первой степени s: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=0⟹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+0.5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=0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Отсюда получаем точную аналитическую формулу предельного коэффициента усиления: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K</m:t>
              </m:r>
            </m:e>
            <m:sub>
              <m:r>
                <m:t>пред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+0.5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На границе устойчивости (a1 = 0) характеристическое уравнение сводится к виду a2*s^2 + a0 = 0. Собственная частота и период гармонических автоколебаний определяются соотношениями: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пред</m:t>
                      </m:r>
                    </m:sub>
                  </m:sSub>
                </m:num>
                <m:den>
                  <m:r>
                    <m:t>0.5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none"/>
              <w:left w:val="single" w:sz="36" w:space="0" w:color="1F4E79"/>
              <w:bottom w:val="none"/>
              <w:right w:val="none"/>
            </w:tcBorders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1F4E79"/>
              </w:rPr>
              <w:t xml:space="preserve">Числовой расчет для Варианта 4: </w:t>
            </w:r>
            <w:r>
              <w:rPr>
                <w:color w:val="222222"/>
              </w:rPr>
              <w:t>Для Варианта 4 (T1 = 0.16 с, T2 = 2.50 с):</w:t>
              <w:br/>
              <w:t>1. Kпред = 2.50 / 0.16 + 0.5 = 15.625 + 0.5 = 16.125</w:t>
              <w:br/>
              <w:t>2. a2 = 0.5 * 0.16 * 2.50 = 0.20 с^2,  a0 = 1 + 16.125 = 17.125</w:t>
              <w:br/>
              <w:t>3. Частота колебаний: ω0 = sqrt(17.125 / 0.20) = sqrt(85.625) ≈ 9.2534 рад/с</w:t>
              <w:br/>
              <w:t>4. Период колебаний: T0 = 2π / 9.2534 ≈ 0.6790 с</w:t>
            </w:r>
          </w:p>
        </w:tc>
      </w:tr>
    </w:tbl>
    <w:p>
      <w:pPr>
        <w:spacing w:before="0" w:after="60"/>
      </w:pPr>
    </w:p>
    <w:p>
      <w:pPr>
        <w:keepNext/>
        <w:spacing w:before="280" w:after="80"/>
      </w:pPr>
      <w:r>
        <w:rPr>
          <w:b/>
          <w:color w:val="1F4E79"/>
          <w:sz w:val="26"/>
        </w:rPr>
        <w:t>3. Шпаргалка по вопросам Теста №1 и базовой теории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3.1. Уравнения пространства состояний и смысл матриц</w:t>
      </w:r>
    </w:p>
    <w:p>
      <w:pPr>
        <w:spacing w:before="0" w:after="80" w:line="276" w:lineRule="auto"/>
      </w:pPr>
      <w:r>
        <w:rPr>
          <w:color w:val="222222"/>
        </w:rPr>
        <w:t>Математическая модель линейной стационарной системы:</w:t>
      </w:r>
    </w:p>
    <w:p>
      <w:pPr>
        <w:spacing w:before="60" w:after="80"/>
        <w:jc w:val="center"/>
      </w:pPr>
      <m:oMathPara>
        <m:oMath xmlns:mml="http://www.w3.org/1998/Math/MathML">
          <m:limUpp>
            <m:e>
              <m:r>
                <m:t>x</m:t>
              </m:r>
            </m:e>
            <m:lim>
              <m:r>
                <m:t>˙</m:t>
              </m:r>
            </m:lim>
          </m:limUpp>
          <m:r>
            <m:t>=Ax+Bu+Hξ,</m:t>
          </m:r>
          <m:r>
            <m:t>y=Cx+Du+Pη</m:t>
          </m:r>
        </m:oMath>
      </m:oMathPara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Векторы системы: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x : вектор состояния (характеризует внутреннее энергетическое состояние системы).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u : вектор управления (входные управляющие воздействия).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y : вектор наблюдения (измеряемые выходные величины).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ξ : помеха возмущения (случайные внешние силы, действующие на сам объект).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η : помеха измерения (шумы датчиков и приборов в канале наблюдения).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Матрицы системы: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A (n x n) : матрица состояния (определяет собственные частоты и устойчивость объекта).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B (n x m) : матрица управления (распределяет входы по каналам состояния).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C (p x n) : матрица наблюдения (связывает переменные состояния с выходами).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D (p x m) : матрица прямой связи (определяет мгновенное безынерционное прохождение входа на выход).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H (n x q) : матрица возмущений; P (p x r) : матрица помех измерения.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3.2. Базовые элементы аналоговых структурных схем</w:t>
      </w:r>
    </w:p>
    <w:p>
      <w:pPr>
        <w:spacing w:before="0" w:after="80" w:line="276" w:lineRule="auto"/>
      </w:pPr>
      <w:r>
        <w:rPr>
          <w:color w:val="222222"/>
        </w:rPr>
        <w:t>Аналоговая модель формируется строго из трех типов компонентов: интегратор (понижает порядок производной, его выход принимается за координату состояния), сумматор (алгебраическое суммирование сигналов с учетом знака) и масштабирующий усилитель (умножение на постоянный коэффициент). Идеальные дифференциаторы исключаются.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3.3. Канонические формы матриц состояния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Диагональная форма Жордана: на главной диагонали стоят собственные значения λi. Все уравнения независимы.</w:t>
      </w:r>
    </w:p>
    <w:p>
      <w:pPr>
        <w:spacing w:before="0" w:after="80" w:line="276" w:lineRule="auto"/>
        <w:ind w:left="288"/>
      </w:pPr>
      <w:r>
        <w:rPr>
          <w:b/>
          <w:color w:val="1F4E79"/>
        </w:rPr>
        <w:t xml:space="preserve">• </w:t>
      </w:r>
      <w:r>
        <w:rPr>
          <w:color w:val="222222"/>
        </w:rPr>
        <w:t>Сопровождающая матрица Фробениуса: над главной диагональю расположены единицы, в последней строке находятся коэффициенты характеристического полинома с обратным знаком:</w:t>
      </w:r>
    </w:p>
    <w:p>
      <w:pPr>
        <w:spacing w:before="60" w:after="80"/>
        <w:jc w:val="center"/>
      </w:pPr>
      <m:oMathPara>
        <m:oMath xmlns:mml="http://www.w3.org/1998/Math/MathML">
          <m:r>
            <m:t>A=(</m:t>
          </m:r>
          <m:m>
            <m:mPr>
              <m:baseJc m:val="center"/>
              <m:plcHide m:val="on"/>
              <m:mcs>
                <m:mc>
                  <m:mcPr>
                    <m:count m:val="5"/>
                    <m:mcJc m:val="center"/>
                  </m:mcPr>
                </m:mc>
              </m:mcs>
            </m:mPr>
            <m:mr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…</m:t>
                </m:r>
              </m:e>
              <m:e>
                <m:r>
                  <m:t>0</m:t>
                </m:r>
              </m:e>
            </m:mr>
            <m:mr>
              <m:e>
                <m:r>
                  <m:t>0</m:t>
                </m:r>
              </m:e>
              <m:e>
                <m:r>
                  <m:t>0</m:t>
                </m:r>
              </m:e>
              <m:e>
                <m:r>
                  <m:t>1</m:t>
                </m:r>
              </m:e>
              <m:e>
                <m:r>
                  <m:t>…</m:t>
                </m:r>
              </m:e>
              <m:e>
                <m:r>
                  <m:t>0</m:t>
                </m:r>
              </m:e>
            </m:mr>
            <m:mr>
              <m:e>
                <m:r>
                  <m:t>⋮</m:t>
                </m:r>
              </m:e>
              <m:e>
                <m:r>
                  <m:t>⋮</m:t>
                </m:r>
              </m:e>
              <m:e>
                <m:r>
                  <m:t>⋮</m:t>
                </m:r>
              </m:e>
              <m:e>
                <m:r>
                  <m:t>⋱</m:t>
                </m:r>
              </m:e>
              <m:e>
                <m:r>
                  <m:t>⋮</m:t>
                </m:r>
              </m:e>
            </m:mr>
            <m:mr>
              <m:e>
                <m: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t>…</m:t>
                </m:r>
              </m:e>
              <m:e>
                <m: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n−1</m:t>
                    </m:r>
                  </m:sub>
                </m:sSub>
              </m:e>
            </m:mr>
          </m:m>
          <m:r>
            <m:t>)</m:t>
          </m:r>
        </m:oMath>
      </m:oMathPara>
    </w:p>
    <w:p>
      <w:pPr>
        <w:keepNext/>
        <w:spacing w:before="200" w:after="40"/>
      </w:pPr>
      <w:r>
        <w:rPr>
          <w:b/>
          <w:color w:val="2E75B6"/>
          <w:sz w:val="23"/>
        </w:rPr>
        <w:t>3.4. Переходная матрица состояния (матричная экспонента)</w:t>
      </w:r>
    </w:p>
    <w:p>
      <w:pPr>
        <w:spacing w:before="0" w:after="80" w:line="276" w:lineRule="auto"/>
      </w:pPr>
      <w:r>
        <w:rPr>
          <w:color w:val="222222"/>
        </w:rPr>
        <w:t>Переходная матрица состояния Φ(t) = exp(At) описывает свободное движение системы из начального состояния x(0) при отсутствии входа: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x</m:t>
              </m:r>
            </m:e>
            <m:sub>
              <m:r>
                <m:t>св</m:t>
              </m:r>
            </m:sub>
          </m:sSub>
          <m:r>
            <m:t>(t)=Φ(t)x(0)=</m:t>
          </m:r>
          <m:sSup>
            <m:e>
              <m:r>
                <m:t>e</m:t>
              </m:r>
            </m:e>
            <m:sup>
              <m:r>
                <m:t>At</m:t>
              </m:r>
            </m:sup>
          </m:sSup>
          <m:r>
            <m:t>x(0)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Нахождение через операторную резольвенту (обратное преобразование Лапласа):</w:t>
      </w:r>
    </w:p>
    <w:p>
      <w:pPr>
        <w:spacing w:before="60" w:after="80"/>
        <w:jc w:val="center"/>
      </w:pPr>
      <m:oMathPara>
        <m:oMath xmlns:mml="http://www.w3.org/1998/Math/MathML">
          <m:r>
            <m:t>Φ(t)=</m:t>
          </m:r>
          <m:sSup>
            <m:e>
              <m:r>
                <m:t>ℒ</m:t>
              </m:r>
            </m:e>
            <m:sup>
              <m:r>
                <m:t>−1</m:t>
              </m:r>
            </m:sup>
          </m:sSup>
          <m:r>
            <m:t>{(sI−A</m:t>
          </m:r>
          <m:sSup>
            <m:e>
              <m:r>
                <m:t>)</m:t>
              </m:r>
            </m:e>
            <m:sup>
              <m:r>
                <m:t>−1</m:t>
              </m:r>
            </m:sup>
          </m:sSup>
          <m:r>
            <m:t>}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Базовые свойства: Φ(0) = I (единичная матрица); dΦ(t)/dt = A*Φ(t) = Φ(t)*A; Φ(t1 + t2) = Φ(t1)*Φ(t2); Φ(-t) = inv(Φ(t)).</w:t>
      </w:r>
    </w:p>
    <w:p>
      <w:pPr>
        <w:keepNext/>
        <w:spacing w:before="200" w:after="40"/>
      </w:pPr>
      <w:r>
        <w:rPr>
          <w:b/>
          <w:color w:val="2E75B6"/>
          <w:sz w:val="23"/>
        </w:rPr>
        <w:t>3.5. Управляемость и наблюдаемость по Калману</w:t>
      </w:r>
    </w:p>
    <w:p>
      <w:pPr>
        <w:spacing w:before="0" w:after="80" w:line="276" w:lineRule="auto"/>
      </w:pPr>
      <w:r>
        <w:rPr>
          <w:color w:val="222222"/>
        </w:rPr>
        <w:t>Управляемость: возможность перевести систему из любого начального состояния в любое конечное за конечное время. Критерий Калмана: матрица управляемости U должна иметь полный ранг n:</w:t>
      </w:r>
    </w:p>
    <w:p>
      <w:pPr>
        <w:spacing w:before="60" w:after="80"/>
        <w:jc w:val="center"/>
      </w:pPr>
      <m:oMathPara>
        <m:oMath xmlns:mml="http://www.w3.org/1998/Math/MathML">
          <m:r>
            <m:t>U=(</m:t>
          </m:r>
          <m:m>
            <m:mPr>
              <m:baseJc m:val="center"/>
              <m:plcHide m:val="on"/>
              <m:mcs>
                <m:mc>
                  <m:mcPr>
                    <m:count m:val="5"/>
                    <m:mcJc m:val="center"/>
                  </m:mcPr>
                </m:mc>
              </m:mcs>
            </m:mPr>
            <m:mr>
              <m:e>
                <m:r>
                  <m:t>B</m:t>
                </m:r>
              </m:e>
              <m:e>
                <m:r>
                  <m:t>AB</m:t>
                </m:r>
              </m:e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B</m:t>
                </m:r>
              </m:e>
              <m:e>
                <m:r>
                  <m:t>…</m:t>
                </m:r>
              </m:e>
              <m:e>
                <m:sSup>
                  <m:e>
                    <m:r>
                      <m:t>A</m:t>
                    </m:r>
                  </m:e>
                  <m:sup>
                    <m:r>
                      <m:t>n−1</m:t>
                    </m:r>
                  </m:sup>
                </m:sSup>
                <m:r>
                  <m:t>B</m:t>
                </m:r>
              </m:e>
            </m:mr>
          </m:m>
          <m:r>
            <m:t>),</m:t>
          </m:r>
          <m:r>
            <m:t>rank(U)=n</m:t>
          </m:r>
        </m:oMath>
      </m:oMathPara>
    </w:p>
    <w:p>
      <w:pPr>
        <w:spacing w:before="0" w:after="80" w:line="276" w:lineRule="auto"/>
      </w:pPr>
      <w:r>
        <w:rPr>
          <w:color w:val="222222"/>
        </w:rPr>
        <w:t>Наблюдаемость: возможность однозначно восстановить начальное состояние x(0) по измерениям выхода y(t). Критерий Калмана: матрица наблюдаемости V должна иметь полный ранг n:</w:t>
      </w:r>
    </w:p>
    <w:p>
      <w:pPr>
        <w:spacing w:before="60" w:after="80"/>
        <w:jc w:val="center"/>
      </w:pPr>
      <m:oMathPara>
        <m:oMath xmlns:mml="http://www.w3.org/1998/Math/MathML">
          <m:r>
            <m:t>V=(</m:t>
          </m:r>
          <m:eqArr>
            <m:e>
              <m:r>
                <m:t>C</m:t>
              </m:r>
            </m:e>
            <m:e>
              <m:r>
                <m:t>CA</m:t>
              </m:r>
            </m:e>
            <m:e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⋮</m:t>
              </m:r>
            </m:e>
            <m:e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t>n−1</m:t>
                  </m:r>
                </m:sup>
              </m:sSup>
            </m:e>
          </m:eqArr>
          <m:r>
            <m:t>),</m:t>
          </m:r>
          <m:r>
            <m:t>rank(V)=n</m:t>
          </m:r>
        </m:oMath>
      </m:oMathPara>
    </w:p>
    <w:p>
      <w:pPr>
        <w:keepNext/>
        <w:spacing w:before="200" w:after="40"/>
      </w:pPr>
      <w:r>
        <w:rPr>
          <w:b/>
          <w:color w:val="2E75B6"/>
          <w:sz w:val="23"/>
        </w:rPr>
        <w:t>3.6. Выбор шага дискретизации по времени</w:t>
      </w:r>
    </w:p>
    <w:p>
      <w:pPr>
        <w:spacing w:before="0" w:after="80" w:line="276" w:lineRule="auto"/>
      </w:pPr>
      <w:r>
        <w:rPr>
          <w:color w:val="222222"/>
        </w:rPr>
        <w:t>Теорема Котельникова-Шеннона: непрерывный сигнал с граничной частотой fmax может быть точно восстановлен по дискретным отсчетам, если частота дискретизации удовлетворяет условию fs &gt;= 2*fmax (частота Найквиста fN = 1 / (2*T0)):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≥2</m:t>
          </m:r>
          <m:sSub>
            <m:e>
              <m:r>
                <m:t>f</m:t>
              </m:r>
            </m:e>
            <m:sub>
              <m:r>
                <m:t>max</m:t>
              </m:r>
            </m:sub>
          </m:sSub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max</m:t>
                  </m:r>
                </m:sub>
              </m:sSub>
            </m:den>
          </m:f>
        </m:oMath>
      </m:oMathPara>
    </w:p>
    <w:p>
      <w:pPr>
        <w:spacing w:before="0" w:after="80" w:line="276" w:lineRule="auto"/>
      </w:pPr>
      <w:r>
        <w:rPr>
          <w:color w:val="222222"/>
        </w:rPr>
        <w:t>Инженерное правило для систем управления: шаг дискретизации выбирается с запасом относительно наименьшей постоянной времени системы Tmin:</w:t>
      </w:r>
    </w:p>
    <w:p>
      <w:pPr>
        <w:spacing w:before="60" w:after="80"/>
        <w:jc w:val="center"/>
      </w:pPr>
      <m:oMathPara>
        <m:oMath xmlns:mml="http://www.w3.org/1998/Math/MathML"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min</m:t>
                  </m:r>
                </m:sub>
              </m:sSub>
            </m:num>
            <m:den>
              <m:r>
                <m:t>10…20</m:t>
              </m:r>
            </m:den>
          </m:f>
        </m:oMath>
      </m:oMathPara>
    </w:p>
    <w:p>
      <w:pPr>
        <w:keepNext/>
        <w:spacing w:before="280" w:after="80"/>
      </w:pPr>
      <w:r>
        <w:rPr>
          <w:b/>
          <w:color w:val="1F4E79"/>
          <w:sz w:val="26"/>
        </w:rPr>
        <w:t>4. Приложение. Ключевые слайды из лекционного курса</w:t>
      </w:r>
    </w:p>
    <w:p>
      <w:pPr>
        <w:spacing w:before="0" w:after="80" w:line="276" w:lineRule="auto"/>
      </w:pPr>
      <w:r>
        <w:rPr>
          <w:color w:val="222222"/>
        </w:rPr>
        <w:t>Ниже приведены фрагменты лекций кафедры для закрепления теоретического материала.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4_p6_canonical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П.1. Структурная схема канонической формы (разложение на простые дроби)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4_p7_canonical_pro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П.2. Свойства канонической формы представления системы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6_p6_resolv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П.3. Резольвента матрицы состояния и решение уравнений в операторной форме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6_p7_transi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П.4. Определение и структура переходной матрицы состояния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7_p7_controll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П.5. Теорема об управляемости и матрица Калмана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7_p9_observ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П.6. Теорема о наблюдаемости и матрица Калмана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8_p6_nyquist_kotelniko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555555"/>
          <w:sz w:val="19"/>
        </w:rPr>
        <w:t>Рис. П.7. Частота Найквиста и теорема Котельникова при дискретизации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