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24"/>
        </w:rPr>
        <w:t>Лабораторная работа № 3</w:t>
        <w:br/>
        <w:t>Исследование динамической модели энергоблока ТЭС</w:t>
        <w:br/>
        <w:t>Протокол выполнения работы (Вариант № 4)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0"/>
        </w:rPr>
        <w:t>Исходные данные для проведения исследований (Вариант № 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cantSplit/>
          <w:tblHeader/>
        </w:trPr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№ варианта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3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  <w:shd w:fill="E2EDF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4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6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7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8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11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t_k, 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0.30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0.35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0.40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E2EDF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0.45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0.50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0.55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0.60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0.65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0.70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0.75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0.80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0.85</w:t>
            </w:r>
          </w:p>
        </w:tc>
      </w:tr>
      <w:tr>
        <w:trPr>
          <w:cantSplit/>
        </w:trPr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t_m, 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1.00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1.05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1.10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  <w:shd w:fill="E2EDF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1.15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1.20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1.25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1.30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1.35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1.40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1.45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1.50</w:t>
            </w:r>
          </w:p>
        </w:tc>
        <w:tc>
          <w:tcPr>
            <w:tcW w:type="dxa" w:w="794"/>
            <w:tcMar>
              <w:top w:w="20" w:type="dxa"/>
              <w:bottom w:w="20" w:type="dxa"/>
              <w:left w:w="25" w:type="dxa"/>
              <w:right w:w="2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7"/>
              </w:rPr>
              <w:t>1.55</w:t>
            </w:r>
          </w:p>
        </w:tc>
      </w:tr>
    </w:tbl>
    <w:p>
      <w:pPr>
        <w:keepNext/>
        <w:spacing w:before="80" w:after="50"/>
      </w:pPr>
      <w:r>
        <w:rPr>
          <w:rFonts w:ascii="Times New Roman" w:hAnsi="Times New Roman"/>
          <w:b/>
          <w:sz w:val="21"/>
        </w:rPr>
        <w:t>1.1. Модель энергоблока в соответствии с его математическим описанием, приведенным в Методических указаниях, при наличии входных воздействий и нулевых начальных условиях. Входные воздействия взять равными единице. Занести в протокол графики переменных состояния энергоблока. Определить установившееся значение каждой переменной состояния.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283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3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/>
        <w:jc w:val="center"/>
      </w:pPr>
      <w:r>
        <w:rPr>
          <w:rFonts w:ascii="Times New Roman" w:hAnsi="Times New Roman"/>
          <w:i/>
          <w:sz w:val="18"/>
        </w:rPr>
        <w:t>Схема модели энергоблока в среде SimInTech (блок «Ступенька» [1, 1], блок «Язык программирования», блок «Временной график»).</w:t>
        <w:br/>
        <w:t>Параметры входных воздействий: время срабатывания t = [0, 0] с, начальное состояние = [0, 0], конечное состояние u = [1, 1].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62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2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/>
        <w:jc w:val="center"/>
      </w:pPr>
      <w:r>
        <w:rPr>
          <w:rFonts w:ascii="Times New Roman" w:hAnsi="Times New Roman"/>
          <w:i/>
          <w:sz w:val="18"/>
        </w:rPr>
        <w:t>Окно редактора блока «Язык программирования» (PL): объявление входов `input u[];`, начальных условий `init`, выходов `output` и 12 уравнений в форме Коши.</w:t>
      </w:r>
    </w:p>
    <w:p>
      <w:r>
        <w:br w:type="page"/>
      </w:r>
    </w:p>
    <w:p>
      <w:pPr>
        <w:keepNext/>
        <w:spacing w:before="20" w:after="40"/>
      </w:pPr>
      <w:r>
        <w:rPr>
          <w:rFonts w:ascii="Times New Roman" w:hAnsi="Times New Roman"/>
          <w:b/>
          <w:sz w:val="20"/>
        </w:rPr>
        <w:t>Графики переходных процессов переменных состояния энергоблока: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064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_im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/>
        <w:jc w:val="center"/>
      </w:pPr>
      <w:r>
        <w:rPr>
          <w:rFonts w:ascii="Times New Roman" w:hAnsi="Times New Roman"/>
          <w:i/>
          <w:sz w:val="18"/>
        </w:rPr>
        <w:t>График переходных процессов переменных состояния энергоблока при ступенчатых воздействиях u₁ = 1, u₂ = 1 (общий интервал t = 0…15 с). Метод RK45.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44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/>
        <w:jc w:val="center"/>
      </w:pPr>
      <w:r>
        <w:rPr>
          <w:rFonts w:ascii="Times New Roman" w:hAnsi="Times New Roman"/>
          <w:i/>
          <w:sz w:val="18"/>
        </w:rPr>
        <w:t>График переменных состояния в увеличенном масштабе (t = 0…4 с) для анализа быстропротекающих составляющих (координаты x₁, x₂, x₃, y₁, y₂, s).</w:t>
      </w:r>
    </w:p>
    <w:p>
      <w:r>
        <w:br w:type="page"/>
      </w:r>
    </w:p>
    <w:p>
      <w:pPr>
        <w:keepNext/>
        <w:spacing w:before="60" w:after="30"/>
      </w:pPr>
      <w:r>
        <w:rPr>
          <w:rFonts w:ascii="Times New Roman" w:hAnsi="Times New Roman"/>
          <w:b/>
          <w:sz w:val="19"/>
        </w:rPr>
        <w:t>Таблица 1.1. Установившиеся значения переменных состояния модели (u₁ = 1, u₂ = 1, t = 15 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2581"/>
        <w:gridCol w:w="2581"/>
        <w:gridCol w:w="2581"/>
        <w:gridCol w:w="2581"/>
      </w:tblGrid>
      <w:tr>
        <w:trPr>
          <w:cantSplit/>
          <w:tblHeader/>
        </w:trPr>
        <w:tc>
          <w:tcPr>
            <w:tcW w:type="dxa" w:w="2581"/>
            <w:tcMar>
              <w:top w:w="25" w:type="dxa"/>
              <w:bottom w:w="25" w:type="dxa"/>
              <w:left w:w="35" w:type="dxa"/>
              <w:right w:w="3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2581"/>
            <w:tcMar>
              <w:top w:w="25" w:type="dxa"/>
              <w:bottom w:w="25" w:type="dxa"/>
              <w:left w:w="35" w:type="dxa"/>
              <w:right w:w="3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Переменная</w:t>
            </w:r>
          </w:p>
        </w:tc>
        <w:tc>
          <w:tcPr>
            <w:tcW w:type="dxa" w:w="2581"/>
            <w:tcMar>
              <w:top w:w="25" w:type="dxa"/>
              <w:bottom w:w="25" w:type="dxa"/>
              <w:left w:w="35" w:type="dxa"/>
              <w:right w:w="3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Установившееся значение</w:t>
            </w:r>
          </w:p>
        </w:tc>
        <w:tc>
          <w:tcPr>
            <w:tcW w:type="dxa" w:w="2581"/>
            <w:tcMar>
              <w:top w:w="25" w:type="dxa"/>
              <w:bottom w:w="25" w:type="dxa"/>
              <w:left w:w="35" w:type="dxa"/>
              <w:right w:w="3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Физическая компонента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x₁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0.369364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Электрическая координата статора (d-ось)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x₂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0.894719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Электрическая координата ротора (d-ось)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x₃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0.619311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Поток возбуждения синхронного генератора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y₁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-1.082080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Электрическая координата статора (q-ось)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y₂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-0.996750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Электрическая координата ротора (q-ось)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z₁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-3.682321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Положение регулирующего клапана турбины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z₂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0.000000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Скорость перемещения штока сервомотора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z₃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0.000000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Ускорение привода регулирующего клапана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u₁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6.221500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Давление пара перед регулирующими клапанами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u₂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-33.329000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Расход теплоносителя в первичном контуре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u₃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-2777.777000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Тепловая мощность реакторной установки / котла</w:t>
            </w:r>
          </w:p>
        </w:tc>
      </w:tr>
      <w:tr>
        <w:trPr>
          <w:cantSplit/>
        </w:trPr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1.270130</w:t>
            </w:r>
          </w:p>
        </w:tc>
        <w:tc>
          <w:tcPr>
            <w:tcW w:type="dxa" w:w="2581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Скольжение ротора турбоагрегата</w:t>
            </w:r>
          </w:p>
        </w:tc>
      </w:tr>
    </w:tbl>
    <w:p>
      <w:pPr>
        <w:keepNext/>
        <w:spacing w:before="100" w:after="50"/>
      </w:pPr>
      <w:r>
        <w:rPr>
          <w:rFonts w:ascii="Times New Roman" w:hAnsi="Times New Roman"/>
          <w:b/>
          <w:sz w:val="21"/>
        </w:rPr>
        <w:t>1.2. Модель свободного движения энергоблока (без входных воздействий; в качестве начального значения для i-ой переменной состояния взять ее установившееся значение, найденное в предыдущем пункте программы исследований). Занести в протокол графики переменных состояния свободного движения энергоблока.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8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8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/>
        <w:jc w:val="center"/>
      </w:pPr>
      <w:r>
        <w:rPr>
          <w:rFonts w:ascii="Times New Roman" w:hAnsi="Times New Roman"/>
          <w:i/>
          <w:sz w:val="18"/>
        </w:rPr>
        <w:t>Схема модели свободного движения энергоблока в среде SimInTech.</w:t>
        <w:br/>
        <w:t>Параметры: входные воздействия отключены (u = [0, 0]), в секции `init` заданы установившиеся значения x₁(0) = 0.369364, … s(0) = 1.270130.</w:t>
      </w:r>
    </w:p>
    <w:p>
      <w:r>
        <w:br w:type="page"/>
      </w:r>
    </w:p>
    <w:p>
      <w:pPr>
        <w:keepNext/>
        <w:spacing w:before="20" w:after="40"/>
      </w:pPr>
      <w:r>
        <w:rPr>
          <w:rFonts w:ascii="Times New Roman" w:hAnsi="Times New Roman"/>
          <w:b/>
          <w:sz w:val="20"/>
        </w:rPr>
        <w:t>График свободных составляющих процессов энергоблока: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7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_img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7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/>
        <w:jc w:val="center"/>
      </w:pPr>
      <w:r>
        <w:rPr>
          <w:rFonts w:ascii="Times New Roman" w:hAnsi="Times New Roman"/>
          <w:i/>
          <w:sz w:val="18"/>
        </w:rPr>
        <w:t>График свободных составляющих процессов энергоблока (интервал t = 0…5 с). Точки линеаризации Варианта № 4: t_k = 0.45 с и t_m = 1.15 с.</w:t>
      </w:r>
    </w:p>
    <w:p>
      <w:pPr>
        <w:keepNext/>
        <w:spacing w:before="80" w:after="50"/>
      </w:pPr>
      <w:r>
        <w:rPr>
          <w:rFonts w:ascii="Times New Roman" w:hAnsi="Times New Roman"/>
          <w:b/>
          <w:sz w:val="21"/>
        </w:rPr>
        <w:t>2. Проверить принадлежность модели к классу сингулярно возмущенных с представлением возмущения в неявном виде.</w:t>
      </w:r>
    </w:p>
    <w:p>
      <w:pPr>
        <w:keepNext/>
        <w:spacing w:before="60" w:after="50"/>
      </w:pPr>
      <w:r>
        <w:rPr>
          <w:rFonts w:ascii="Times New Roman" w:hAnsi="Times New Roman"/>
          <w:b/>
          <w:sz w:val="21"/>
        </w:rPr>
        <w:t>2.1. Разбить интервал наблюдения реализаций процессов на малые отрезки Δt₁, Δt₂, ... и линеаризовать исходную нелинейную модель на двух заданных по вариантам отрезках Δt_k и Δt_m (для Варианта № 4: t_k = 0.45 с и t_m = 1.15 с).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9289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28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/>
        <w:jc w:val="center"/>
      </w:pPr>
      <w:r>
        <w:rPr>
          <w:rFonts w:ascii="Times New Roman" w:hAnsi="Times New Roman"/>
          <w:i/>
          <w:sz w:val="18"/>
        </w:rPr>
        <w:t>Схема вычисления собственных чисел матрицы линеаризованной модели в SimInTech (блок «Вычисление собственных чисел матрицы» вкладки «Векторные»).</w:t>
      </w:r>
    </w:p>
    <w:p>
      <w:r>
        <w:br w:type="page"/>
      </w:r>
    </w:p>
    <w:p>
      <w:pPr>
        <w:keepNext/>
        <w:spacing w:before="20" w:after="40"/>
      </w:pPr>
      <w:r>
        <w:rPr>
          <w:rFonts w:ascii="Times New Roman" w:hAnsi="Times New Roman"/>
          <w:b/>
          <w:sz w:val="20"/>
        </w:rPr>
        <w:t>Линеаризация на отрезке 1 в окрестности точки t_k = 0.45 с (Вариант № 4)</w:t>
      </w:r>
    </w:p>
    <w:p>
      <w:pPr>
        <w:keepNext/>
        <w:spacing w:before="60" w:after="30"/>
      </w:pPr>
      <w:r>
        <w:rPr>
          <w:rFonts w:ascii="Times New Roman" w:hAnsi="Times New Roman"/>
          <w:b/>
          <w:sz w:val="19"/>
        </w:rPr>
        <w:t>Таблица 2.1. Значения переменных состояния свободного движения в точке t_k = 0.45 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cantSplit/>
          <w:tblHeader/>
        </w:trPr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x₁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x₂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x₃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y₁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y₂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z₁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z₂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z₃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u₁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u₂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u₃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</w:tr>
      <w:tr>
        <w:trPr>
          <w:cantSplit/>
        </w:trPr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0.072925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0.177345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0.125816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-0.250266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-0.240088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-3.359818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2.046737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4.036054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-0.770361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3.586070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-16.350498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0.995987</w:t>
            </w:r>
          </w:p>
        </w:tc>
      </w:tr>
    </w:tbl>
    <w:p>
      <w:pPr>
        <w:keepNext/>
        <w:spacing w:before="60" w:after="30"/>
      </w:pPr>
      <w:r>
        <w:rPr>
          <w:rFonts w:ascii="Times New Roman" w:hAnsi="Times New Roman"/>
          <w:b/>
          <w:sz w:val="19"/>
        </w:rPr>
        <w:t>Таблица 2.2. Системная матрица линеаризованной модели A(0.45 с) размерности 12×12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cantSplit/>
          <w:tblHeader/>
        </w:trPr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x₂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x₃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y₁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y₂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z₂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z₃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u₂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u₃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x₁'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-2071.1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1014.7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1014.7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626.74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-78.58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x₂'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-6.19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x₃'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78.07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78.07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-159.34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y₁'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-626.74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-1606.3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1479.6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-22.90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y₂'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97.31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-105.64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z₁'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z₂'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z₃'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-33949.6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-6989.9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-45.00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-100000.0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u₁'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u₂'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u₃'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348393.1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-170789.3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-170789.3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80616.5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-74265.8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-55555.6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-4444.4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-116.66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-0.56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-0.33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</w:tbl>
    <w:p>
      <w:r>
        <w:br w:type="page"/>
      </w:r>
    </w:p>
    <w:p>
      <w:pPr>
        <w:keepNext/>
        <w:spacing w:before="20" w:after="40"/>
      </w:pPr>
      <w:r>
        <w:rPr>
          <w:rFonts w:ascii="Times New Roman" w:hAnsi="Times New Roman"/>
          <w:b/>
          <w:sz w:val="20"/>
        </w:rPr>
        <w:t>Линеаризация на отрезке 2 в окрестности точки t_m = 1.15 с (Вариант № 4)</w:t>
      </w:r>
    </w:p>
    <w:p>
      <w:pPr>
        <w:keepNext/>
        <w:spacing w:before="60" w:after="30"/>
      </w:pPr>
      <w:r>
        <w:rPr>
          <w:rFonts w:ascii="Times New Roman" w:hAnsi="Times New Roman"/>
          <w:b/>
          <w:sz w:val="19"/>
        </w:rPr>
        <w:t>Таблица 2.3. Значения переменных состояния свободного движения в точке t_m = 1.15 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cantSplit/>
          <w:tblHeader/>
        </w:trPr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x₁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x₂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x₃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y₁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y₂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z₁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z₂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z₃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u₁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u₂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u₃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</w:t>
            </w:r>
          </w:p>
        </w:tc>
      </w:tr>
      <w:tr>
        <w:trPr>
          <w:cantSplit/>
        </w:trPr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0.008873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0.015270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0.012036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-0.020356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-0.019302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-1.757554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1.919415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-1.708515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-0.042948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0.148014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-0.588729</w:t>
            </w:r>
          </w:p>
        </w:tc>
        <w:tc>
          <w:tcPr>
            <w:tcW w:type="dxa" w:w="86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5"/>
              </w:rPr>
              <w:t>0.463286</w:t>
            </w:r>
          </w:p>
        </w:tc>
      </w:tr>
    </w:tbl>
    <w:p>
      <w:pPr>
        <w:keepNext/>
        <w:spacing w:before="60" w:after="30"/>
      </w:pPr>
      <w:r>
        <w:rPr>
          <w:rFonts w:ascii="Times New Roman" w:hAnsi="Times New Roman"/>
          <w:b/>
          <w:sz w:val="19"/>
        </w:rPr>
        <w:t>Таблица 2.4. Системная матрица линеаризованной модели A(1.15 с) размерности 12×12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rPr>
          <w:cantSplit/>
          <w:tblHeader/>
        </w:trPr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x₂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x₃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y₁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y₂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z₂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z₃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u₁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u₂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u₃</w:t>
            </w:r>
          </w:p>
        </w:tc>
        <w:tc>
          <w:tcPr>
            <w:tcW w:type="dxa" w:w="794"/>
            <w:tcMar>
              <w:top w:w="20" w:type="dxa"/>
              <w:bottom w:w="20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x₁'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-2071.1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1014.7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1014.7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459.47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-6.39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x₂'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-6.19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x₃'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78.07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78.07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-159.34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y₁'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-459.47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-1606.3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1479.6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-2.79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y₂'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97.31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-105.64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z₁'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z₂'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z₃'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-33949.6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-6989.9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-45.00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-100000.0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u₁'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u₂'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1.00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u₃'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332442.6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-162970.0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-162970.0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114179.9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-105185.1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-55555.6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-4444.4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-116.66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  <w:tr>
        <w:trPr>
          <w:cantSplit/>
        </w:trPr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s'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-0.05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-0.03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794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</w:tr>
    </w:tbl>
    <w:p>
      <w:r>
        <w:br w:type="page"/>
      </w:r>
    </w:p>
    <w:p>
      <w:pPr>
        <w:keepNext/>
        <w:spacing w:before="20" w:after="50"/>
      </w:pPr>
      <w:r>
        <w:rPr>
          <w:rFonts w:ascii="Times New Roman" w:hAnsi="Times New Roman"/>
          <w:b/>
          <w:sz w:val="21"/>
        </w:rPr>
        <w:t>2.2. Для каждой линеаризованной модели найти корни характеристического уравнения и сделать вывод о принадлежности исходной модели описания энергоблока к сингулярно возмущенным.</w:t>
      </w:r>
    </w:p>
    <w:p>
      <w:pPr>
        <w:keepNext/>
        <w:spacing w:before="40" w:after="40"/>
      </w:pPr>
      <w:r>
        <w:rPr>
          <w:rFonts w:ascii="Times New Roman" w:hAnsi="Times New Roman"/>
          <w:b/>
          <w:sz w:val="20"/>
        </w:rPr>
        <w:t>Собственные значения системной матрицы на отрезке 1 (t_k = 0.45 с):</w:t>
      </w:r>
    </w:p>
    <w:p>
      <w:pPr>
        <w:keepNext/>
        <w:spacing w:before="60" w:after="30"/>
      </w:pPr>
      <w:r>
        <w:rPr>
          <w:rFonts w:ascii="Times New Roman" w:hAnsi="Times New Roman"/>
          <w:b/>
          <w:sz w:val="19"/>
        </w:rPr>
        <w:t>Таблица 2.5. Корни характеристического уравнения при t_k = 0.45 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2065"/>
        <w:gridCol w:w="2065"/>
        <w:gridCol w:w="2065"/>
        <w:gridCol w:w="2065"/>
        <w:gridCol w:w="2065"/>
      </w:tblGrid>
      <w:tr>
        <w:trPr>
          <w:cantSplit/>
          <w:tblHeader/>
        </w:trPr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Re(λ)</w:t>
            </w:r>
          </w:p>
        </w:tc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Im(λ)</w:t>
            </w:r>
          </w:p>
        </w:tc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|Re(λ)|</w:t>
            </w:r>
          </w:p>
        </w:tc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Характер движения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-1898.1720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+569.3926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1898.1720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Быстрое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-1898.1720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-569.3926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1898.1720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Быстрое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-124.3446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124.3446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-51.3992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51.3992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-36.2682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-9.7277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36.2682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-36.2682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+9.7277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36.2682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-20.0118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+79.9113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20.0118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-20.0118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-79.9113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20.0118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-16.5013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16.5013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Медленное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-4.2564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4.2564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Медленное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-3.5682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3.5682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Медленное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-1.2513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1.2513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Медленное движение</w:t>
            </w:r>
          </w:p>
        </w:tc>
      </w:tr>
    </w:tbl>
    <w:p>
      <w:pPr>
        <w:keepNext/>
        <w:spacing w:before="60" w:after="40"/>
      </w:pPr>
      <w:r>
        <w:rPr>
          <w:rFonts w:ascii="Times New Roman" w:hAnsi="Times New Roman"/>
          <w:b/>
          <w:sz w:val="20"/>
        </w:rPr>
        <w:t>Собственные значения системной матрицы на отрезке 2 (t_m = 1.15 с):</w:t>
      </w:r>
    </w:p>
    <w:p>
      <w:pPr>
        <w:keepNext/>
        <w:spacing w:before="60" w:after="30"/>
      </w:pPr>
      <w:r>
        <w:rPr>
          <w:rFonts w:ascii="Times New Roman" w:hAnsi="Times New Roman"/>
          <w:b/>
          <w:sz w:val="19"/>
        </w:rPr>
        <w:t>Таблица 2.6. Корни характеристического уравнения при t_m = 1.15 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2065"/>
        <w:gridCol w:w="2065"/>
        <w:gridCol w:w="2065"/>
        <w:gridCol w:w="2065"/>
        <w:gridCol w:w="2065"/>
      </w:tblGrid>
      <w:tr>
        <w:trPr>
          <w:cantSplit/>
          <w:tblHeader/>
        </w:trPr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Re(λ)</w:t>
            </w:r>
          </w:p>
        </w:tc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Im(λ)</w:t>
            </w:r>
          </w:p>
        </w:tc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|Re(λ)|</w:t>
            </w:r>
          </w:p>
        </w:tc>
        <w:tc>
          <w:tcPr>
            <w:tcW w:type="dxa" w:w="2065"/>
            <w:tcMar>
              <w:top w:w="20" w:type="dxa"/>
              <w:bottom w:w="20" w:type="dxa"/>
              <w:left w:w="30" w:type="dxa"/>
              <w:right w:w="3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Характер движения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-1901.1156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+391.9160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1901.1156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Быстрое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-1901.1156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-391.9160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1901.1156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  <w:shd w:fill="FDE8E8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Быстрое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-123.9906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123.9906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-50.2926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50.2926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-34.8895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-6.5173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34.8895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-34.8895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+6.5173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34.8895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-20.0118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+79.9113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20.0118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-20.0118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-79.9113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20.0118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Промежуточное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-16.1549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16.1549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Медленное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-3.8028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3.8028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Медленное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-2.7751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2.7751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Медленное движение</w:t>
            </w:r>
          </w:p>
        </w:tc>
      </w:tr>
      <w:tr>
        <w:trPr>
          <w:cantSplit/>
        </w:trPr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-1.1752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sz w:val="16"/>
              </w:rPr>
              <w:t>1.1752</w:t>
            </w:r>
          </w:p>
        </w:tc>
        <w:tc>
          <w:tcPr>
            <w:tcW w:type="dxa" w:w="2065"/>
            <w:tcMar>
              <w:top w:w="18" w:type="dxa"/>
              <w:bottom w:w="18" w:type="dxa"/>
              <w:left w:w="30" w:type="dxa"/>
              <w:right w:w="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6"/>
              </w:rPr>
              <w:t>Медленное движение</w:t>
            </w:r>
          </w:p>
        </w:tc>
      </w:tr>
    </w:tbl>
    <w:p>
      <w:pPr>
        <w:keepNext/>
        <w:spacing w:before="60" w:after="40"/>
      </w:pPr>
      <w:r>
        <w:rPr>
          <w:rFonts w:ascii="Times New Roman" w:hAnsi="Times New Roman"/>
          <w:b/>
          <w:sz w:val="20"/>
        </w:rPr>
        <w:t>Проверка условия доминантности корней и вывод о сингулярной возмущенности:</w:t>
      </w:r>
    </w:p>
    <w:p>
      <w:pPr>
        <w:spacing w:before="30" w:after="30" w:line="269" w:lineRule="auto"/>
      </w:pPr>
      <w:r>
        <w:t>1. Проверка условия доминантности корней (наличие разнесения масштабов движения):</w:t>
        <w:br/>
        <w:t xml:space="preserve">   • Для отрезка 1 (t_k = 0.45 с):</w:t>
        <w:br/>
        <w:t xml:space="preserve">     |Re(λ₁,₂)| / |Re(λ₃)| = 1898.1720 / 124.3446 = 15.27 ≥ 10.</w:t>
        <w:br/>
        <w:t xml:space="preserve">   • Для отрезка 2 (t_m = 1.15 с):</w:t>
        <w:br/>
        <w:t xml:space="preserve">     |Re(λ₁,₂)| / |Re(λ₃)| = 1901.1156 / 123.9906 = 15.33 ≥ 10.</w:t>
        <w:br/>
        <w:br/>
        <w:t>2. Вывод о принадлежности к классу сингулярно возмущенных систем:</w:t>
        <w:br/>
        <w:t xml:space="preserve">   В обоих контрольных сечениях наблюдается четкое разделение движений на «быстрые» (комплексно-сопряженная пара λ₁,₂ с действительной частью ≈ -1900 с⁻¹) и более медленные составляющие (начиная с λ₃ ≈ -124 с⁻¹). Отношение вещественных частей превосходит пороговый критерий 10 (15.27 ≥ 10 и 15.33 ≥ 10). Следовательно, математическая модель энергоблока ТЭС принадлежит к классу сингулярно возмущенных систем с представлением возмущения в неявном виде.</w:t>
        <w:br/>
        <w:br/>
        <w:t>3. Понижение порядка исходной модели:</w:t>
        <w:br/>
        <w:t xml:space="preserve">   Порядок исходной модели равен n = 12. Количество доминантных быстрых движений равно m = 2 (корни λ₁,₂). Следовательно, порядок исходной модели может быть обоснованно понижен на 2 порядка (с 12-го до 10-го порядка) путем вырождения быстрых дифференциальных уравнений в квазистационарные алгебраические соотношения.</w:t>
      </w:r>
    </w:p>
    <w:sectPr w:rsidR="00FC693F" w:rsidRPr="0006063C" w:rsidSect="00034616">
      <w:pgSz w:w="11909" w:h="16834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40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