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69B05" w14:textId="264B2C71" w:rsidR="00017B9F" w:rsidRPr="00815744" w:rsidRDefault="00104E1F" w:rsidP="00017B9F">
      <w:pPr>
        <w:spacing w:line="360" w:lineRule="auto"/>
        <w:rPr>
          <w:rFonts w:ascii="Times New Roman" w:hAnsi="Times New Roman" w:cs="Times New Roman"/>
          <w:b/>
          <w:bCs/>
          <w:szCs w:val="21"/>
        </w:rPr>
      </w:pPr>
      <w:r>
        <w:rPr>
          <w:rFonts w:ascii="Times New Roman" w:hAnsi="Times New Roman" w:cs="Times New Roman"/>
          <w:b/>
          <w:bCs/>
          <w:szCs w:val="21"/>
        </w:rPr>
        <w:t>I</w:t>
      </w:r>
      <w:r w:rsidRPr="00104E1F">
        <w:rPr>
          <w:rFonts w:ascii="Times New Roman" w:hAnsi="Times New Roman" w:cs="Times New Roman"/>
          <w:b/>
          <w:bCs/>
          <w:szCs w:val="21"/>
        </w:rPr>
        <w:t>nclusion criteria</w:t>
      </w:r>
      <w:r w:rsidR="00017B9F" w:rsidRPr="00815744">
        <w:rPr>
          <w:rFonts w:ascii="Times New Roman" w:hAnsi="Times New Roman" w:cs="Times New Roman"/>
          <w:b/>
          <w:bCs/>
          <w:szCs w:val="21"/>
        </w:rPr>
        <w:t xml:space="preserve">: </w:t>
      </w:r>
    </w:p>
    <w:p w14:paraId="234763AD" w14:textId="77777777" w:rsidR="00017B9F" w:rsidRDefault="00017B9F" w:rsidP="00017B9F">
      <w:pPr>
        <w:spacing w:line="360" w:lineRule="auto"/>
        <w:rPr>
          <w:rFonts w:ascii="Times New Roman" w:hAnsi="Times New Roman" w:cs="Times New Roman"/>
          <w:szCs w:val="21"/>
        </w:rPr>
      </w:pPr>
      <w:r w:rsidRPr="00890503">
        <w:rPr>
          <w:rFonts w:ascii="Times New Roman" w:hAnsi="Times New Roman" w:cs="Times New Roman"/>
          <w:szCs w:val="21"/>
        </w:rPr>
        <w:t xml:space="preserve">hemoglobin (Hb) ≥ 80g/L, </w:t>
      </w:r>
    </w:p>
    <w:p w14:paraId="784FD975" w14:textId="77777777" w:rsidR="00017B9F" w:rsidRDefault="00017B9F" w:rsidP="00017B9F">
      <w:pPr>
        <w:spacing w:line="360" w:lineRule="auto"/>
        <w:rPr>
          <w:rFonts w:ascii="Times New Roman" w:hAnsi="Times New Roman" w:cs="Times New Roman"/>
          <w:szCs w:val="21"/>
        </w:rPr>
      </w:pPr>
      <w:r w:rsidRPr="00890503">
        <w:rPr>
          <w:rFonts w:ascii="Times New Roman" w:hAnsi="Times New Roman" w:cs="Times New Roman"/>
          <w:szCs w:val="21"/>
        </w:rPr>
        <w:t>neutrophilic granulocyte (ANC) ≥ 1.5×10</w:t>
      </w:r>
      <w:r w:rsidRPr="00890503">
        <w:rPr>
          <w:rFonts w:ascii="Times New Roman" w:hAnsi="Times New Roman" w:cs="Times New Roman"/>
          <w:szCs w:val="21"/>
          <w:vertAlign w:val="superscript"/>
        </w:rPr>
        <w:t>9</w:t>
      </w:r>
      <w:r w:rsidRPr="00890503">
        <w:rPr>
          <w:rFonts w:ascii="Times New Roman" w:hAnsi="Times New Roman" w:cs="Times New Roman"/>
          <w:szCs w:val="21"/>
        </w:rPr>
        <w:t xml:space="preserve">/L, </w:t>
      </w:r>
    </w:p>
    <w:p w14:paraId="4F752D91" w14:textId="77777777" w:rsidR="00017B9F" w:rsidRDefault="00017B9F" w:rsidP="00017B9F">
      <w:pPr>
        <w:spacing w:line="360" w:lineRule="auto"/>
        <w:rPr>
          <w:rFonts w:ascii="Times New Roman" w:hAnsi="Times New Roman" w:cs="Times New Roman"/>
          <w:szCs w:val="21"/>
        </w:rPr>
      </w:pPr>
      <w:r w:rsidRPr="00890503">
        <w:rPr>
          <w:rFonts w:ascii="Times New Roman" w:hAnsi="Times New Roman" w:cs="Times New Roman"/>
          <w:szCs w:val="21"/>
        </w:rPr>
        <w:t>platelet count (PLT) ≥ 80×10</w:t>
      </w:r>
      <w:r w:rsidRPr="00890503">
        <w:rPr>
          <w:rFonts w:ascii="Times New Roman" w:hAnsi="Times New Roman" w:cs="Times New Roman"/>
          <w:szCs w:val="21"/>
          <w:vertAlign w:val="superscript"/>
        </w:rPr>
        <w:t>9</w:t>
      </w:r>
      <w:r w:rsidRPr="00890503">
        <w:rPr>
          <w:rFonts w:ascii="Times New Roman" w:hAnsi="Times New Roman" w:cs="Times New Roman"/>
          <w:szCs w:val="21"/>
        </w:rPr>
        <w:t xml:space="preserve">/L, </w:t>
      </w:r>
    </w:p>
    <w:p w14:paraId="13CB1393" w14:textId="77777777" w:rsidR="00017B9F" w:rsidRDefault="00017B9F" w:rsidP="00017B9F">
      <w:pPr>
        <w:spacing w:line="360" w:lineRule="auto"/>
        <w:rPr>
          <w:rFonts w:ascii="Times New Roman" w:hAnsi="Times New Roman" w:cs="Times New Roman"/>
          <w:szCs w:val="21"/>
        </w:rPr>
      </w:pPr>
      <w:r w:rsidRPr="00890503">
        <w:rPr>
          <w:rFonts w:ascii="Times New Roman" w:hAnsi="Times New Roman" w:cs="Times New Roman"/>
          <w:szCs w:val="21"/>
        </w:rPr>
        <w:t>serum creatinine (Cr) ≤ 1.5× normal upper limit (ULN) or creatinine clearance (</w:t>
      </w:r>
      <w:proofErr w:type="spellStart"/>
      <w:r w:rsidRPr="00890503">
        <w:rPr>
          <w:rFonts w:ascii="Times New Roman" w:hAnsi="Times New Roman" w:cs="Times New Roman"/>
          <w:szCs w:val="21"/>
        </w:rPr>
        <w:t>CCr</w:t>
      </w:r>
      <w:proofErr w:type="spellEnd"/>
      <w:r w:rsidRPr="00890503">
        <w:rPr>
          <w:rFonts w:ascii="Times New Roman" w:hAnsi="Times New Roman" w:cs="Times New Roman"/>
          <w:szCs w:val="21"/>
        </w:rPr>
        <w:t>) ≥ 60mL /min,</w:t>
      </w:r>
    </w:p>
    <w:p w14:paraId="41EF9146" w14:textId="77777777" w:rsidR="00017B9F" w:rsidRDefault="00017B9F" w:rsidP="00017B9F">
      <w:pPr>
        <w:spacing w:line="360" w:lineRule="auto"/>
        <w:rPr>
          <w:rFonts w:ascii="Times New Roman" w:hAnsi="Times New Roman" w:cs="Times New Roman"/>
          <w:szCs w:val="21"/>
        </w:rPr>
      </w:pPr>
      <w:r w:rsidRPr="00890503">
        <w:rPr>
          <w:rFonts w:ascii="Times New Roman" w:hAnsi="Times New Roman" w:cs="Times New Roman"/>
          <w:szCs w:val="21"/>
        </w:rPr>
        <w:t xml:space="preserve">blood urea nitrogen (BUN) ≤ 2.5× normal upper limit (ULN), </w:t>
      </w:r>
    </w:p>
    <w:p w14:paraId="3BB89BB4" w14:textId="77777777" w:rsidR="00017B9F" w:rsidRDefault="00017B9F" w:rsidP="00017B9F">
      <w:pPr>
        <w:spacing w:line="360" w:lineRule="auto"/>
        <w:rPr>
          <w:rFonts w:ascii="Times New Roman" w:hAnsi="Times New Roman" w:cs="Times New Roman"/>
          <w:szCs w:val="21"/>
        </w:rPr>
      </w:pPr>
      <w:r w:rsidRPr="00890503">
        <w:rPr>
          <w:rFonts w:ascii="Times New Roman" w:hAnsi="Times New Roman" w:cs="Times New Roman"/>
          <w:szCs w:val="21"/>
        </w:rPr>
        <w:t xml:space="preserve">total bilirubin (TB) ≤ 1.5×ULN, albumin (ALB) ≥ 25 g/L, </w:t>
      </w:r>
    </w:p>
    <w:p w14:paraId="35FDBA92" w14:textId="77777777" w:rsidR="00017B9F" w:rsidRDefault="00017B9F" w:rsidP="00017B9F">
      <w:pPr>
        <w:spacing w:line="360" w:lineRule="auto"/>
        <w:rPr>
          <w:rFonts w:ascii="Times New Roman" w:hAnsi="Times New Roman" w:cs="Times New Roman"/>
          <w:szCs w:val="21"/>
        </w:rPr>
      </w:pPr>
      <w:r w:rsidRPr="00890503">
        <w:rPr>
          <w:rFonts w:ascii="Times New Roman" w:hAnsi="Times New Roman" w:cs="Times New Roman"/>
          <w:szCs w:val="21"/>
        </w:rPr>
        <w:t xml:space="preserve">aspartate aminotransferase (AST) and alanine aminotransferase (ALT) ≤ 2.5×ULN or ALT and AST ≤ 5×ULN if accompanied by liver metastases. </w:t>
      </w:r>
    </w:p>
    <w:p w14:paraId="1A5BAC23" w14:textId="77777777" w:rsidR="00017B9F" w:rsidRDefault="00017B9F" w:rsidP="00017B9F">
      <w:pPr>
        <w:spacing w:line="360" w:lineRule="auto"/>
        <w:rPr>
          <w:rFonts w:ascii="Times New Roman" w:hAnsi="Times New Roman" w:cs="Times New Roman"/>
          <w:szCs w:val="21"/>
        </w:rPr>
      </w:pPr>
      <w:r w:rsidRPr="00890503">
        <w:rPr>
          <w:rFonts w:ascii="Times New Roman" w:hAnsi="Times New Roman" w:cs="Times New Roman"/>
          <w:szCs w:val="21"/>
        </w:rPr>
        <w:t>Patients included in the tumor assessment need radiographic measurable disease, with at least one lesion that could be accurately measured according to response evaluation criteria in solid tumors (RECIST) version 1.1. Otherwise, the patients can only be included in the safety assessment.</w:t>
      </w:r>
    </w:p>
    <w:p w14:paraId="58A9FD91" w14:textId="77777777" w:rsidR="00815744" w:rsidRDefault="00815744" w:rsidP="00017B9F">
      <w:pPr>
        <w:spacing w:line="360" w:lineRule="auto"/>
        <w:rPr>
          <w:rFonts w:ascii="Times New Roman" w:hAnsi="Times New Roman" w:cs="Times New Roman"/>
          <w:szCs w:val="21"/>
        </w:rPr>
      </w:pPr>
    </w:p>
    <w:p w14:paraId="7AF780CA" w14:textId="1590AF70" w:rsidR="00017B9F" w:rsidRPr="00815744" w:rsidRDefault="00104E1F" w:rsidP="00017B9F">
      <w:pPr>
        <w:spacing w:line="360" w:lineRule="auto"/>
        <w:rPr>
          <w:rFonts w:ascii="Times New Roman" w:hAnsi="Times New Roman" w:cs="Times New Roman"/>
          <w:b/>
          <w:bCs/>
          <w:szCs w:val="21"/>
        </w:rPr>
      </w:pPr>
      <w:r w:rsidRPr="00104E1F">
        <w:rPr>
          <w:rFonts w:ascii="Times New Roman" w:hAnsi="Times New Roman" w:cs="Times New Roman"/>
          <w:b/>
          <w:bCs/>
          <w:szCs w:val="21"/>
        </w:rPr>
        <w:t>E</w:t>
      </w:r>
      <w:r w:rsidRPr="00104E1F">
        <w:rPr>
          <w:rFonts w:ascii="Times New Roman" w:hAnsi="Times New Roman" w:cs="Times New Roman"/>
          <w:b/>
          <w:bCs/>
          <w:szCs w:val="21"/>
        </w:rPr>
        <w:t>xclusion</w:t>
      </w:r>
      <w:r>
        <w:rPr>
          <w:rFonts w:ascii="Times New Roman" w:hAnsi="Times New Roman" w:cs="Times New Roman"/>
          <w:b/>
          <w:bCs/>
          <w:szCs w:val="21"/>
        </w:rPr>
        <w:t xml:space="preserve"> criteria</w:t>
      </w:r>
      <w:r w:rsidR="00017B9F" w:rsidRPr="00815744">
        <w:rPr>
          <w:rFonts w:ascii="Times New Roman" w:hAnsi="Times New Roman" w:cs="Times New Roman"/>
          <w:b/>
          <w:bCs/>
          <w:szCs w:val="21"/>
        </w:rPr>
        <w:t xml:space="preserve">: </w:t>
      </w:r>
    </w:p>
    <w:p w14:paraId="2968FA36" w14:textId="77777777" w:rsidR="00017B9F" w:rsidRDefault="00017B9F" w:rsidP="00017B9F">
      <w:pPr>
        <w:spacing w:line="360" w:lineRule="auto"/>
        <w:rPr>
          <w:rFonts w:ascii="Times New Roman" w:hAnsi="Times New Roman" w:cs="Times New Roman"/>
          <w:szCs w:val="21"/>
        </w:rPr>
      </w:pPr>
      <w:r w:rsidRPr="00890503">
        <w:rPr>
          <w:rFonts w:ascii="Times New Roman" w:hAnsi="Times New Roman" w:cs="Times New Roman"/>
          <w:szCs w:val="21"/>
        </w:rPr>
        <w:t xml:space="preserve">pregnant or lactating women, </w:t>
      </w:r>
    </w:p>
    <w:p w14:paraId="13148401" w14:textId="77777777" w:rsidR="00017B9F" w:rsidRDefault="00017B9F" w:rsidP="00017B9F">
      <w:pPr>
        <w:spacing w:line="360" w:lineRule="auto"/>
        <w:rPr>
          <w:rFonts w:ascii="Times New Roman" w:hAnsi="Times New Roman" w:cs="Times New Roman"/>
          <w:szCs w:val="21"/>
        </w:rPr>
      </w:pPr>
      <w:r w:rsidRPr="00890503">
        <w:rPr>
          <w:rFonts w:ascii="Times New Roman" w:hAnsi="Times New Roman" w:cs="Times New Roman"/>
          <w:szCs w:val="21"/>
        </w:rPr>
        <w:t xml:space="preserve">patients accepted prior anti-tumor treatments within 21 days prior to enrolment, </w:t>
      </w:r>
    </w:p>
    <w:p w14:paraId="74CB5532" w14:textId="77777777" w:rsidR="00017B9F" w:rsidRDefault="00017B9F" w:rsidP="00017B9F">
      <w:pPr>
        <w:spacing w:line="360" w:lineRule="auto"/>
        <w:rPr>
          <w:rFonts w:ascii="Times New Roman" w:hAnsi="Times New Roman" w:cs="Times New Roman"/>
          <w:szCs w:val="21"/>
        </w:rPr>
      </w:pPr>
      <w:r w:rsidRPr="00890503">
        <w:rPr>
          <w:rFonts w:ascii="Times New Roman" w:hAnsi="Times New Roman" w:cs="Times New Roman"/>
          <w:szCs w:val="21"/>
        </w:rPr>
        <w:t xml:space="preserve">uncontrolled diseases in major systems, </w:t>
      </w:r>
    </w:p>
    <w:p w14:paraId="36FB1E3E" w14:textId="77777777" w:rsidR="00017B9F" w:rsidRDefault="00017B9F" w:rsidP="00017B9F">
      <w:pPr>
        <w:spacing w:line="360" w:lineRule="auto"/>
        <w:rPr>
          <w:rFonts w:ascii="Times New Roman" w:hAnsi="Times New Roman" w:cs="Times New Roman"/>
          <w:szCs w:val="21"/>
        </w:rPr>
      </w:pPr>
      <w:r w:rsidRPr="00890503">
        <w:rPr>
          <w:rFonts w:ascii="Times New Roman" w:hAnsi="Times New Roman" w:cs="Times New Roman"/>
          <w:szCs w:val="21"/>
        </w:rPr>
        <w:t xml:space="preserve">unable to take oral drugs, </w:t>
      </w:r>
    </w:p>
    <w:p w14:paraId="2A1CAE02" w14:textId="77777777" w:rsidR="00017B9F" w:rsidRDefault="00017B9F" w:rsidP="00017B9F">
      <w:pPr>
        <w:spacing w:line="360" w:lineRule="auto"/>
        <w:rPr>
          <w:rFonts w:ascii="Times New Roman" w:hAnsi="Times New Roman" w:cs="Times New Roman"/>
          <w:szCs w:val="21"/>
        </w:rPr>
      </w:pPr>
      <w:r w:rsidRPr="00890503">
        <w:rPr>
          <w:rFonts w:ascii="Times New Roman" w:hAnsi="Times New Roman" w:cs="Times New Roman"/>
          <w:szCs w:val="21"/>
        </w:rPr>
        <w:t xml:space="preserve">symptoms of brain metastases cannot be controlled and treated within 2 months, </w:t>
      </w:r>
    </w:p>
    <w:p w14:paraId="6DAE04B4" w14:textId="77777777" w:rsidR="00017B9F" w:rsidRDefault="00017B9F" w:rsidP="00017B9F">
      <w:pPr>
        <w:spacing w:line="360" w:lineRule="auto"/>
        <w:rPr>
          <w:rFonts w:ascii="Times New Roman" w:hAnsi="Times New Roman" w:cs="Times New Roman"/>
          <w:szCs w:val="21"/>
        </w:rPr>
      </w:pPr>
      <w:r w:rsidRPr="00890503">
        <w:rPr>
          <w:rFonts w:ascii="Times New Roman" w:hAnsi="Times New Roman" w:cs="Times New Roman"/>
          <w:szCs w:val="21"/>
        </w:rPr>
        <w:t xml:space="preserve">major surgery or trauma and/or bleeding or bleeding episodes greater than the Common Terminology Criteria for Adverse Events (CTCAE) grade 3 within 28 days, </w:t>
      </w:r>
    </w:p>
    <w:p w14:paraId="793FDD08" w14:textId="77777777" w:rsidR="00017B9F" w:rsidRDefault="00017B9F" w:rsidP="00017B9F">
      <w:pPr>
        <w:spacing w:line="360" w:lineRule="auto"/>
        <w:rPr>
          <w:rFonts w:ascii="Times New Roman" w:hAnsi="Times New Roman" w:cs="Times New Roman"/>
          <w:szCs w:val="21"/>
        </w:rPr>
      </w:pPr>
      <w:r w:rsidRPr="00890503">
        <w:rPr>
          <w:rFonts w:ascii="Times New Roman" w:hAnsi="Times New Roman" w:cs="Times New Roman"/>
          <w:szCs w:val="21"/>
        </w:rPr>
        <w:t xml:space="preserve">venous thromboembolism within 6 months or any major vascular event, </w:t>
      </w:r>
    </w:p>
    <w:p w14:paraId="441F5244" w14:textId="77777777" w:rsidR="00017B9F" w:rsidRDefault="00017B9F" w:rsidP="00017B9F">
      <w:pPr>
        <w:spacing w:line="360" w:lineRule="auto"/>
        <w:rPr>
          <w:rFonts w:ascii="Times New Roman" w:hAnsi="Times New Roman" w:cs="Times New Roman"/>
          <w:szCs w:val="21"/>
        </w:rPr>
      </w:pPr>
      <w:r w:rsidRPr="00890503">
        <w:rPr>
          <w:rFonts w:ascii="Times New Roman" w:hAnsi="Times New Roman" w:cs="Times New Roman"/>
          <w:szCs w:val="21"/>
        </w:rPr>
        <w:t xml:space="preserve">any serious unhealed wound, </w:t>
      </w:r>
      <w:proofErr w:type="gramStart"/>
      <w:r w:rsidRPr="00890503">
        <w:rPr>
          <w:rFonts w:ascii="Times New Roman" w:hAnsi="Times New Roman" w:cs="Times New Roman"/>
          <w:szCs w:val="21"/>
        </w:rPr>
        <w:t>ulcer</w:t>
      </w:r>
      <w:proofErr w:type="gramEnd"/>
      <w:r w:rsidRPr="00890503">
        <w:rPr>
          <w:rFonts w:ascii="Times New Roman" w:hAnsi="Times New Roman" w:cs="Times New Roman"/>
          <w:szCs w:val="21"/>
        </w:rPr>
        <w:t xml:space="preserve"> or fracture. </w:t>
      </w:r>
    </w:p>
    <w:p w14:paraId="4060372C" w14:textId="220F6841" w:rsidR="00D522FA" w:rsidRDefault="00017B9F" w:rsidP="00017B9F">
      <w:pPr>
        <w:spacing w:line="360" w:lineRule="auto"/>
      </w:pPr>
      <w:r w:rsidRPr="00890503">
        <w:rPr>
          <w:rFonts w:ascii="Times New Roman" w:hAnsi="Times New Roman" w:cs="Times New Roman"/>
          <w:szCs w:val="21"/>
        </w:rPr>
        <w:t>Patients</w:t>
      </w:r>
      <w:r>
        <w:rPr>
          <w:rFonts w:ascii="Times New Roman" w:hAnsi="Times New Roman" w:cs="Times New Roman"/>
          <w:szCs w:val="21"/>
        </w:rPr>
        <w:t xml:space="preserve"> </w:t>
      </w:r>
      <w:r w:rsidRPr="00890503">
        <w:rPr>
          <w:rFonts w:ascii="Times New Roman" w:hAnsi="Times New Roman" w:cs="Times New Roman"/>
          <w:szCs w:val="21"/>
        </w:rPr>
        <w:t>who participated in other anti-tumor clinical trials within 4 weeks or had any conditions that might prejudice the subject or failed to meet the requirements of the subject, were also excluded.</w:t>
      </w:r>
    </w:p>
    <w:sectPr w:rsidR="00D522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11A7D" w14:textId="77777777" w:rsidR="007760F8" w:rsidRDefault="007760F8" w:rsidP="00104E1F">
      <w:r>
        <w:separator/>
      </w:r>
    </w:p>
  </w:endnote>
  <w:endnote w:type="continuationSeparator" w:id="0">
    <w:p w14:paraId="18133C59" w14:textId="77777777" w:rsidR="007760F8" w:rsidRDefault="007760F8" w:rsidP="00104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CFA61" w14:textId="77777777" w:rsidR="007760F8" w:rsidRDefault="007760F8" w:rsidP="00104E1F">
      <w:r>
        <w:separator/>
      </w:r>
    </w:p>
  </w:footnote>
  <w:footnote w:type="continuationSeparator" w:id="0">
    <w:p w14:paraId="57E7C43A" w14:textId="77777777" w:rsidR="007760F8" w:rsidRDefault="007760F8" w:rsidP="00104E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9F"/>
    <w:rsid w:val="00017B9F"/>
    <w:rsid w:val="00104E1F"/>
    <w:rsid w:val="0064190C"/>
    <w:rsid w:val="007760F8"/>
    <w:rsid w:val="00815744"/>
    <w:rsid w:val="00D522FA"/>
    <w:rsid w:val="00E90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FB170"/>
  <w15:chartTrackingRefBased/>
  <w15:docId w15:val="{68B0B806-93F1-4260-843B-C1D3DE67D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7B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4E1F"/>
    <w:pPr>
      <w:tabs>
        <w:tab w:val="center" w:pos="4153"/>
        <w:tab w:val="right" w:pos="8306"/>
      </w:tabs>
      <w:snapToGrid w:val="0"/>
      <w:jc w:val="center"/>
    </w:pPr>
    <w:rPr>
      <w:sz w:val="18"/>
      <w:szCs w:val="18"/>
    </w:rPr>
  </w:style>
  <w:style w:type="character" w:customStyle="1" w:styleId="a4">
    <w:name w:val="页眉 字符"/>
    <w:basedOn w:val="a0"/>
    <w:link w:val="a3"/>
    <w:uiPriority w:val="99"/>
    <w:rsid w:val="00104E1F"/>
    <w:rPr>
      <w:sz w:val="18"/>
      <w:szCs w:val="18"/>
    </w:rPr>
  </w:style>
  <w:style w:type="paragraph" w:styleId="a5">
    <w:name w:val="footer"/>
    <w:basedOn w:val="a"/>
    <w:link w:val="a6"/>
    <w:uiPriority w:val="99"/>
    <w:unhideWhenUsed/>
    <w:rsid w:val="00104E1F"/>
    <w:pPr>
      <w:tabs>
        <w:tab w:val="center" w:pos="4153"/>
        <w:tab w:val="right" w:pos="8306"/>
      </w:tabs>
      <w:snapToGrid w:val="0"/>
      <w:jc w:val="left"/>
    </w:pPr>
    <w:rPr>
      <w:sz w:val="18"/>
      <w:szCs w:val="18"/>
    </w:rPr>
  </w:style>
  <w:style w:type="character" w:customStyle="1" w:styleId="a6">
    <w:name w:val="页脚 字符"/>
    <w:basedOn w:val="a0"/>
    <w:link w:val="a5"/>
    <w:uiPriority w:val="99"/>
    <w:rsid w:val="00104E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670383501@qq.com</dc:creator>
  <cp:keywords/>
  <dc:description/>
  <cp:lastModifiedBy>670383501@qq.com</cp:lastModifiedBy>
  <cp:revision>3</cp:revision>
  <dcterms:created xsi:type="dcterms:W3CDTF">2023-08-09T02:45:00Z</dcterms:created>
  <dcterms:modified xsi:type="dcterms:W3CDTF">2023-08-09T02:58:00Z</dcterms:modified>
</cp:coreProperties>
</file>