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rPr>
        <w:t>Secondary-writing exercise based on the published study by Bastani et al. (2025); this text does not report research conducted by the present writer.</w:t>
      </w:r>
    </w:p>
    <w:p>
      <w:pPr>
        <w:pStyle w:val="Heading2"/>
      </w:pPr>
      <w:r>
        <w:t>Introduction: closing paragraph</w:t>
      </w:r>
    </w:p>
    <w:p>
      <w:r>
        <w:rPr>
          <w:b w:val="0"/>
        </w:rPr>
        <w:t>Whether students can complete more problems with generative AI is a different educational question from whether they can subsequently solve similar problems independently. Bastani et al. (2025) examined this distinction in a field experiment involving nearly a thousand high-school mathematics students in Turkey. Classrooms received ordinary study resources, access to a standard GPT-4 interface, or access to a tutor combining hints with teacher-provided problem information. Across four sessions, assisted practice was followed by an examination without external resources, making short-term independent performance the central test of learning. The design therefore addresses whether access to these tools helps or harms subsequent problem solving and how outcomes differ across two instructional designs. It also examines interaction records to interpret how students used the assistance. The contribution is to connect tool design to a consequential educational trade-off: a system that makes practice more successful may leave students less able to perform when its support is withdrawn.</w:t>
      </w:r>
    </w:p>
    <w:p>
      <w:pPr>
        <w:pStyle w:val="Heading2"/>
      </w:pPr>
      <w:r>
        <w:t>Discussion</w:t>
      </w:r>
    </w:p>
    <w:p>
      <w:r>
        <w:rPr>
          <w:b w:val="0"/>
        </w:rPr>
        <w:t>Access to GPT Base improved assisted practice but reduced performance on the subsequent unassisted examination. Its intention-to-treat estimate was −0.054 on the normalized score scale (SE = 0.022), approximately 17% below the control mean (Bastani et al., 2025). This reversal establishes a problem for judging learning from completed work alone. GPT Tutor produced larger practice gains, while its examination estimate was near zero (−0.004, SE = 0.013). The latter result supports the authors’ view that learning-oriented design can mitigate the pattern of harm, but it does not establish equivalence with ordinary study or a positive learning benefit. Successful assistance and successful skill acquisition require separate assessment.</w:t>
      </w:r>
    </w:p>
    <w:p>
      <w:r>
        <w:rPr>
          <w:b w:val="0"/>
        </w:rPr>
        <w:t>The interaction evidence makes the authors’ “crutch” explanation plausible. Students using GPT Base commonly requested answers, whereas GPT Tutor elicited more requests for help and attempted solutions. Students could therefore obtain correct practice responses while bypassing some of the reasoning needed in the later examination. Model errors offer a competing explanation: they were related to poorer assisted performance, although the analysis did not detect a corresponding relationship between logical errors and subsequent examination performance. That nonsignificant interaction does not eliminate misinformation as a contributor. Moreover, GPT Tutor combined restrictions on giving answers with teacher-supplied solutions and feedback information. The experiment estimates the consequences of this combined design; it does not isolate the contribution of withholding answers from that of more accurate assistance.</w:t>
      </w:r>
    </w:p>
    <w:p>
      <w:r>
        <w:rPr>
          <w:b w:val="0"/>
        </w:rPr>
        <w:t>The study adds an educational outcome to the productivity gains reviewed by Bastani et al. (2025), rather than contradicting evidence about assisted task completion. Their account of prior productivity research concerns performance with the tool available; the present experiment asks what students can do after it is removed. Students’ optimistic perceptions of their learning further complicate reliance on satisfaction as an evaluation criterion. Educators should consequently assess unaided reasoning alongside assisted work and should design tutoring interactions that keep students attempting and explaining solutions. This recommendation retains the authors’ case for safeguards while recognizing that the tested tutor did not deliver a demonstrated gain in independent performance. Teacher involvement also carried a cost: preparing problem-specific solutions, common mistakes, and hints was labor-intensive.</w:t>
      </w:r>
    </w:p>
    <w:p>
      <w:r>
        <w:rPr>
          <w:b w:val="0"/>
        </w:rPr>
        <w:t>The evidence concerns mathematics review in one Turkish high school, using four sessions and the model available in autumn 2023. The examination problems were conceptually close to the practice problems and followed within the same session, so durable retention and transfer remain separate questions. More proactive questioning and diagnosis, proposed by the authors, are directions for testing rather than benefits established here. The defensible deployment standard is therefore demanding: educational AI should be judged by the independent capabilities it leaves students with, as well as by the work it helps them finish.</w:t>
      </w:r>
    </w:p>
    <w:p>
      <w:pPr>
        <w:pStyle w:val="Heading2"/>
      </w:pPr>
      <w:r>
        <w:t>References</w:t>
      </w:r>
    </w:p>
    <w:p>
      <w:r>
        <w:rPr>
          <w:b w:val="0"/>
        </w:rPr>
        <w:t>Bastani, H., Bastani, O., Sungu, A., Ge, H., Kabakcı, Ö., &amp; Mariman, R. (2025). Generative AI without guardrails can harm learning: Evidence from high school mathematics. *Proceedings of the National Academy of Sciences, 122*(26), e2422633122. https://doi.org/10.1073/pnas.2422633122</w:t>
      </w:r>
    </w:p>
    <w:p>
      <w:r>
        <w:rPr>
          <w:b w:val="0"/>
        </w:rPr>
        <w:t>Correction for Bastani et al., Generative AI without guardrails can harm learning: Evidence from high school mathematics. (2025). *Proceedings of the National Academy of Sciences, 122*(34), e2518204122. https://doi.org/10.1073/pnas.2518204122</w:t>
      </w:r>
    </w:p>
    <w:p>
      <w:r>
        <w:rPr>
          <w:b w:val="0"/>
        </w:rPr>
        <w:t>The correction concerns Osbert Bastani’s institutional affiliation and does not revise the reported findings.</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