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Secondary-writing exercise based on Ding, Li, Jiang, and Gapud (2023), with Chan and Hu (2023) as a directly read comparison; the studies belong to their original authors.</w:t>
      </w:r>
    </w:p>
    <w:p>
      <w:pPr>
        <w:pStyle w:val="Heading2"/>
      </w:pPr>
      <w:r>
        <w:t>Introduction: closing paragraph</w:t>
      </w:r>
    </w:p>
    <w:p>
      <w:r>
        <w:rPr>
          <w:b w:val="0"/>
        </w:rPr>
        <w:t>Students may welcome generative AI as a learning resource while questioning the reliability of its answers. Chan and Hu’s (2023) survey of university students in Hong Kong documented this combination, but it did not examine how students judged particular answers during a shared disciplinary task. Ding et al. (2023) extended this question to an introductory physics class in which students used ChatGPT to revisit examination mistakes. By combining records of answer accuracy and student agreement with an acceptance questionnaire and drawings of ChatGPT, the study investigated how reliance on specific responses related to perceptions of the tool. Its questions concerned answer accuracy, differences in agreement across levels of accuracy, and associations between agreement and students’ perceptions. This approach moves beyond stated willingness to use AI by locating trust in an educational activity where correctness matters. It can identify difficulties in evaluating AI assistance and possible targets for AI literacy instruction, rather than estimate gains in physics learning.</w:t>
      </w:r>
    </w:p>
    <w:p>
      <w:pPr>
        <w:pStyle w:val="Heading2"/>
      </w:pPr>
      <w:r>
        <w:t>Discussion</w:t>
      </w:r>
    </w:p>
    <w:p>
      <w:r>
        <w:rPr>
          <w:b w:val="0"/>
        </w:rPr>
        <w:t>Ding et al. (2023) show that access to an answer key and a warning about AI errors did not prevent the acceptance of incorrect responses during a physics correction assignment. Students accepted 30 of the 55 incorrect answers recorded in the task, and 19 of the 40 participants agreed with every answer they received. These observations add a concrete educational difficulty to Chan and Hu’s (2023) account of enthusiasm accompanied by concerns about reliability. The comparison concerns different samples and measurements: general awareness of AI’s limitations in one survey is not evidence that the physics students held the same awareness. The contribution is the direct observation of incorrect answers being accepted under conditions designed to encourage evaluation.</w:t>
      </w:r>
    </w:p>
    <w:p>
      <w:r>
        <w:rPr>
          <w:b w:val="0"/>
        </w:rPr>
        <w:t>The quantitative evidence connects this behavior to technology acceptance, but its interpretation depends on how trust was measured. The authors operationalized trust through the proportion of answers a student agreed with; this captures task-specific acceptance rather than an independent measure of general confidence in AI. The complete-agreement group rated ease of use more highly than the partial-agreement group. This association does not establish that trust increased ease of use, or the reverse. The reported comparison for future intention to use was inconclusive (p = .059), and the distrust group contained only three students. Thus the findings support attention to acceptance and verification together, without treating favorable perceptions as evidence of learning or as a causal explanation for reliance.</w:t>
      </w:r>
    </w:p>
    <w:p>
      <w:r>
        <w:rPr>
          <w:b w:val="0"/>
        </w:rPr>
        <w:t>The drawings extend the analysis to how students represented the agent they consulted. Among the 27 usable drawings, robot or machine depictions predominated; they accounted for 14 of the 15 drawings from the complete-agreement group. High agreement therefore coexisted with representations that were not human in appearance. An explicitly all-knowing computer and images the authors interpreted as magical suggest that attributed competence deserves attention alongside human likeness. Yet a robot image need not express a literal belief about ChatGPT, and a wizard’s hat might be decorative. Without follow-up interviews, the drawings identify interpretations worth probing rather than establish each student’s misconception. Their educational value lies in making otherwise implicit understandings available for discussion.</w:t>
      </w:r>
    </w:p>
    <w:p>
      <w:r>
        <w:rPr>
          <w:b w:val="0"/>
        </w:rPr>
        <w:t>The authors’ call for AI literacy instruction remains warranted. Of 41 reported answer changes, 34 moved from correct to incorrect. In similar correction activities, educators should require students to justify acceptance or rejection against disciplinary evidence, and should discuss why an apparently fluent answer may change under further questioning. These are specific responses to the observed verification problem, rather than an assumption that a warning alone is sufficient. Chan and Hu’s (2023) broader recommendation to develop AI literacy is thereby sharpened into a task-level instructional priority. The single class, limited prior AI experience, and absence of a learning-outcome comparison restrict conclusions about effectiveness. What this study adds is a clearer object for instruction: students’ judgments about particular AI answers, alongside their understanding of the system that generates them.</w:t>
      </w:r>
    </w:p>
    <w:p>
      <w:pPr>
        <w:pStyle w:val="Heading2"/>
      </w:pPr>
      <w:r>
        <w:t>References</w:t>
      </w:r>
    </w:p>
    <w:p>
      <w:r>
        <w:rPr>
          <w:b w:val="0"/>
        </w:rPr>
        <w:t>Chan, C. K. Y., &amp; Hu, W. (2023). Students’ voices on generative AI: Perceptions, benefits, and challenges in higher education. *International Journal of Educational Technology in Higher Education, 20*, Article 43. https://doi.org/10.1186/s41239-023-00411-8</w:t>
      </w:r>
    </w:p>
    <w:p>
      <w:r>
        <w:rPr>
          <w:b w:val="0"/>
        </w:rPr>
        <w:t>Ding, L., Li, T., Jiang, S., &amp; Gapud, A. (2023). Students’ perceptions of using ChatGPT in a physics class as a virtual tutor. *International Journal of Educational Technology in Higher Education, 20*, Article 63. https://doi.org/10.1186/s41239-023-00434-1</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