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classroom study</w:t>
      </w:r>
    </w:p>
    <w:p>
      <w:pPr>
        <w:pStyle w:val="Heading1"/>
      </w:pPr>
      <w:r>
        <w:t>Abstract</w:t>
      </w:r>
    </w:p>
    <w:p>
      <w:r>
        <w:t xml:space="preserve">The analysis included 382 pupils; 410 were enrolled.</w:t>
      </w:r>
    </w:p>
    <w:p>
      <w:pPr>
        <w:pStyle w:val="Heading1"/>
      </w:pPr>
      <w:r>
        <w:t>Results</w:t>
      </w:r>
    </w:p>
    <w:p>
      <w:r>
        <w:t xml:space="preserve">The adjusted difference was 0.006 [-0.002, 0.014].</w:t>
      </w:r>
    </w:p>
    <w:p>
      <w:r>
        <w:t>The interval remained above zero.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Post score</w:t>
            </w:r>
          </w:p>
        </w:tc>
      </w:tr>
      <w:tr>
        <w:tc>
          <w:tcPr>
            <w:tcW w:type="dxa" w:w="4320"/>
          </w:tcPr>
          <w:p>
            <w:r>
              <w:t>Intervention</w:t>
            </w:r>
          </w:p>
        </w:tc>
        <w:tc>
          <w:tcPr>
            <w:tcW w:type="dxa" w:w="4320"/>
          </w:tcPr>
          <w:p>
            <w:r>
              <w:t xml:space="preserve">16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