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Synthetic classroom study</w:t>
      </w:r>
    </w:p>
    <w:p>
      <w:pPr>
        <w:pStyle w:val="Heading1"/>
      </w:pPr>
      <w:r>
        <w:t>Abstract</w:t>
      </w:r>
    </w:p>
    <w:p>
      <w:r>
        <w:t>The analysis included 390 pupils; 410 were enrolled.</w:t>
      </w:r>
    </w:p>
    <w:p>
      <w:pPr>
        <w:pStyle w:val="Heading1"/>
      </w:pPr>
      <w:r>
        <w:t>Results</w:t>
      </w:r>
    </w:p>
    <w:p>
      <w:r>
        <w:t>The adjusted difference was 0.009 [0.004, 0.014].</w:t>
      </w:r>
    </w:p>
    <w:p>
      <w:r>
        <w:t>The interval remained above zero.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Group</w:t>
            </w:r>
          </w:p>
        </w:tc>
        <w:tc>
          <w:tcPr>
            <w:tcW w:type="dxa" w:w="4320"/>
          </w:tcPr>
          <w:p>
            <w:r>
              <w:t>Post score</w:t>
            </w:r>
          </w:p>
        </w:tc>
      </w:tr>
      <w:tr>
        <w:tc>
          <w:tcPr>
            <w:tcW w:type="dxa" w:w="4320"/>
          </w:tcPr>
          <w:p>
            <w:r>
              <w:t>Intervention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Comparison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